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Heading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Heading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Hyperlink"/>
            <w:lang w:eastAsia="ja-JP"/>
          </w:rPr>
          <w:t>R2-2302449</w:t>
        </w:r>
      </w:hyperlink>
      <w:r w:rsidR="0026773D">
        <w:rPr>
          <w:lang w:eastAsia="ja-JP"/>
        </w:rPr>
        <w:t xml:space="preserve"> [1]:</w:t>
      </w:r>
    </w:p>
    <w:tbl>
      <w:tblPr>
        <w:tblStyle w:val="TableGrid"/>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Header"/>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Header"/>
              <w:rPr>
                <w:rFonts w:ascii="Arial" w:hAnsi="Arial" w:cs="Arial"/>
                <w:sz w:val="18"/>
                <w:szCs w:val="18"/>
              </w:rPr>
            </w:pPr>
          </w:p>
          <w:p w14:paraId="3BAFF270"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Header"/>
              <w:rPr>
                <w:rFonts w:ascii="Arial" w:hAnsi="Arial" w:cs="Arial"/>
                <w:sz w:val="18"/>
                <w:szCs w:val="18"/>
              </w:rPr>
            </w:pPr>
          </w:p>
          <w:bookmarkEnd w:id="2"/>
          <w:bookmarkEnd w:id="3"/>
          <w:p w14:paraId="296CE37D"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Header"/>
              <w:rPr>
                <w:rFonts w:ascii="Arial" w:hAnsi="Arial" w:cs="Arial"/>
                <w:sz w:val="18"/>
                <w:szCs w:val="18"/>
              </w:rPr>
            </w:pPr>
          </w:p>
          <w:p w14:paraId="684D9843"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Header"/>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Hyperlink"/>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TableGrid"/>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LPP,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Hyperlink"/>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Hyperlink"/>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Heading1"/>
      </w:pPr>
      <w:r>
        <w:lastRenderedPageBreak/>
        <w:t>3</w:t>
      </w:r>
      <w:r w:rsidR="00D46C6F">
        <w:t>.</w:t>
      </w:r>
      <w:r w:rsidR="00D46C6F">
        <w:tab/>
        <w:t>Discussion</w:t>
      </w:r>
    </w:p>
    <w:p w14:paraId="468019DE" w14:textId="65F6C0DE" w:rsidR="00E128CF" w:rsidRDefault="006D62BF" w:rsidP="00F75C6E">
      <w:pPr>
        <w:pStyle w:val="Heading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Header"/>
              <w:rPr>
                <w:rFonts w:ascii="Arial" w:hAnsi="Arial" w:cs="Arial"/>
                <w:sz w:val="18"/>
                <w:szCs w:val="18"/>
              </w:rPr>
            </w:pPr>
          </w:p>
          <w:p w14:paraId="19D8C406" w14:textId="55E1C4F7" w:rsidR="0025064D" w:rsidRPr="0025064D" w:rsidRDefault="0025064D" w:rsidP="0025064D">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TableGrid"/>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3B2ACA" w14:paraId="6525519C" w14:textId="77777777" w:rsidTr="003B2ACA">
        <w:tc>
          <w:tcPr>
            <w:tcW w:w="1696" w:type="dxa"/>
          </w:tcPr>
          <w:p w14:paraId="67EA264D" w14:textId="77777777" w:rsidR="003B2ACA" w:rsidRDefault="003B2ACA" w:rsidP="008A125C">
            <w:pPr>
              <w:pStyle w:val="TAL"/>
              <w:keepNext w:val="0"/>
              <w:keepLines w:val="0"/>
              <w:widowControl w:val="0"/>
              <w:rPr>
                <w:lang w:eastAsia="ja-JP"/>
              </w:rPr>
            </w:pPr>
          </w:p>
        </w:tc>
        <w:tc>
          <w:tcPr>
            <w:tcW w:w="993" w:type="dxa"/>
          </w:tcPr>
          <w:p w14:paraId="1CCC35A3" w14:textId="77777777" w:rsidR="003B2ACA" w:rsidRDefault="003B2ACA" w:rsidP="008A125C">
            <w:pPr>
              <w:pStyle w:val="TAL"/>
              <w:keepNext w:val="0"/>
              <w:keepLines w:val="0"/>
              <w:widowControl w:val="0"/>
              <w:rPr>
                <w:lang w:eastAsia="ja-JP"/>
              </w:rPr>
            </w:pPr>
          </w:p>
        </w:tc>
        <w:tc>
          <w:tcPr>
            <w:tcW w:w="6942" w:type="dxa"/>
          </w:tcPr>
          <w:p w14:paraId="613263A3" w14:textId="77777777" w:rsidR="003B2ACA" w:rsidRDefault="003B2ACA" w:rsidP="008A125C">
            <w:pPr>
              <w:pStyle w:val="TAL"/>
              <w:keepNext w:val="0"/>
              <w:keepLines w:val="0"/>
              <w:widowControl w:val="0"/>
              <w:rPr>
                <w:lang w:eastAsia="ja-JP"/>
              </w:rPr>
            </w:pPr>
          </w:p>
        </w:tc>
      </w:tr>
      <w:tr w:rsidR="003B2ACA" w14:paraId="0A6F2D70" w14:textId="77777777" w:rsidTr="003B2ACA">
        <w:tc>
          <w:tcPr>
            <w:tcW w:w="1696" w:type="dxa"/>
          </w:tcPr>
          <w:p w14:paraId="63B8AF00" w14:textId="77777777" w:rsidR="003B2ACA" w:rsidRDefault="003B2ACA" w:rsidP="008A125C">
            <w:pPr>
              <w:pStyle w:val="TAL"/>
              <w:keepNext w:val="0"/>
              <w:keepLines w:val="0"/>
              <w:widowControl w:val="0"/>
              <w:rPr>
                <w:lang w:eastAsia="ja-JP"/>
              </w:rPr>
            </w:pPr>
          </w:p>
        </w:tc>
        <w:tc>
          <w:tcPr>
            <w:tcW w:w="993" w:type="dxa"/>
          </w:tcPr>
          <w:p w14:paraId="3F1E9154" w14:textId="77777777" w:rsidR="003B2ACA" w:rsidRDefault="003B2ACA" w:rsidP="008A125C">
            <w:pPr>
              <w:pStyle w:val="TAL"/>
              <w:keepNext w:val="0"/>
              <w:keepLines w:val="0"/>
              <w:widowControl w:val="0"/>
              <w:rPr>
                <w:lang w:eastAsia="ja-JP"/>
              </w:rPr>
            </w:pPr>
          </w:p>
        </w:tc>
        <w:tc>
          <w:tcPr>
            <w:tcW w:w="6942" w:type="dxa"/>
          </w:tcPr>
          <w:p w14:paraId="12BA26CC" w14:textId="77777777" w:rsidR="003B2ACA" w:rsidRDefault="003B2ACA" w:rsidP="008A125C">
            <w:pPr>
              <w:pStyle w:val="TAL"/>
              <w:keepNext w:val="0"/>
              <w:keepLines w:val="0"/>
              <w:widowControl w:val="0"/>
              <w:rPr>
                <w:lang w:eastAsia="ja-JP"/>
              </w:rPr>
            </w:pPr>
          </w:p>
        </w:tc>
      </w:tr>
      <w:tr w:rsidR="003B2ACA" w14:paraId="1266E477" w14:textId="77777777" w:rsidTr="003B2ACA">
        <w:tc>
          <w:tcPr>
            <w:tcW w:w="1696" w:type="dxa"/>
          </w:tcPr>
          <w:p w14:paraId="662EE68B" w14:textId="77777777" w:rsidR="003B2ACA" w:rsidRDefault="003B2ACA" w:rsidP="008A125C">
            <w:pPr>
              <w:pStyle w:val="TAL"/>
              <w:keepNext w:val="0"/>
              <w:keepLines w:val="0"/>
              <w:widowControl w:val="0"/>
              <w:rPr>
                <w:lang w:eastAsia="ja-JP"/>
              </w:rPr>
            </w:pPr>
          </w:p>
        </w:tc>
        <w:tc>
          <w:tcPr>
            <w:tcW w:w="993" w:type="dxa"/>
          </w:tcPr>
          <w:p w14:paraId="304F5FED" w14:textId="77777777" w:rsidR="003B2ACA" w:rsidRDefault="003B2ACA" w:rsidP="008A125C">
            <w:pPr>
              <w:pStyle w:val="TAL"/>
              <w:keepNext w:val="0"/>
              <w:keepLines w:val="0"/>
              <w:widowControl w:val="0"/>
              <w:rPr>
                <w:lang w:eastAsia="ja-JP"/>
              </w:rPr>
            </w:pPr>
          </w:p>
        </w:tc>
        <w:tc>
          <w:tcPr>
            <w:tcW w:w="6942" w:type="dxa"/>
          </w:tcPr>
          <w:p w14:paraId="701FE37B" w14:textId="77777777" w:rsidR="003B2ACA" w:rsidRDefault="003B2ACA" w:rsidP="008A125C">
            <w:pPr>
              <w:pStyle w:val="TAL"/>
              <w:keepNext w:val="0"/>
              <w:keepLines w:val="0"/>
              <w:widowControl w:val="0"/>
              <w:rPr>
                <w:lang w:eastAsia="ja-JP"/>
              </w:rPr>
            </w:pPr>
          </w:p>
        </w:tc>
      </w:tr>
      <w:tr w:rsidR="003B2ACA" w14:paraId="04C45604" w14:textId="77777777" w:rsidTr="003B2ACA">
        <w:tc>
          <w:tcPr>
            <w:tcW w:w="1696" w:type="dxa"/>
          </w:tcPr>
          <w:p w14:paraId="10576999" w14:textId="77777777" w:rsidR="003B2ACA" w:rsidRDefault="003B2ACA" w:rsidP="008A125C">
            <w:pPr>
              <w:pStyle w:val="TAL"/>
              <w:keepNext w:val="0"/>
              <w:keepLines w:val="0"/>
              <w:widowControl w:val="0"/>
              <w:rPr>
                <w:lang w:eastAsia="ja-JP"/>
              </w:rPr>
            </w:pPr>
          </w:p>
        </w:tc>
        <w:tc>
          <w:tcPr>
            <w:tcW w:w="993" w:type="dxa"/>
          </w:tcPr>
          <w:p w14:paraId="047AC730" w14:textId="77777777" w:rsidR="003B2ACA" w:rsidRDefault="003B2ACA" w:rsidP="008A125C">
            <w:pPr>
              <w:pStyle w:val="TAL"/>
              <w:keepNext w:val="0"/>
              <w:keepLines w:val="0"/>
              <w:widowControl w:val="0"/>
              <w:rPr>
                <w:lang w:eastAsia="ja-JP"/>
              </w:rPr>
            </w:pPr>
          </w:p>
        </w:tc>
        <w:tc>
          <w:tcPr>
            <w:tcW w:w="6942" w:type="dxa"/>
          </w:tcPr>
          <w:p w14:paraId="75381D2E" w14:textId="77777777" w:rsidR="003B2ACA" w:rsidRDefault="003B2ACA" w:rsidP="008A125C">
            <w:pPr>
              <w:pStyle w:val="TAL"/>
              <w:keepNext w:val="0"/>
              <w:keepLines w:val="0"/>
              <w:widowControl w:val="0"/>
              <w:rPr>
                <w:lang w:eastAsia="ja-JP"/>
              </w:rPr>
            </w:pPr>
          </w:p>
        </w:tc>
      </w:tr>
      <w:tr w:rsidR="003B2ACA" w14:paraId="6CC491C4" w14:textId="77777777" w:rsidTr="003B2ACA">
        <w:tc>
          <w:tcPr>
            <w:tcW w:w="1696" w:type="dxa"/>
          </w:tcPr>
          <w:p w14:paraId="7B2484EE" w14:textId="77777777" w:rsidR="003B2ACA" w:rsidRDefault="003B2ACA" w:rsidP="008A125C">
            <w:pPr>
              <w:pStyle w:val="TAL"/>
              <w:keepNext w:val="0"/>
              <w:keepLines w:val="0"/>
              <w:widowControl w:val="0"/>
              <w:rPr>
                <w:lang w:eastAsia="ja-JP"/>
              </w:rPr>
            </w:pPr>
          </w:p>
        </w:tc>
        <w:tc>
          <w:tcPr>
            <w:tcW w:w="993" w:type="dxa"/>
          </w:tcPr>
          <w:p w14:paraId="430CA87B" w14:textId="77777777" w:rsidR="003B2ACA" w:rsidRDefault="003B2ACA" w:rsidP="008A125C">
            <w:pPr>
              <w:pStyle w:val="TAL"/>
              <w:keepNext w:val="0"/>
              <w:keepLines w:val="0"/>
              <w:widowControl w:val="0"/>
              <w:rPr>
                <w:lang w:eastAsia="ja-JP"/>
              </w:rPr>
            </w:pPr>
          </w:p>
        </w:tc>
        <w:tc>
          <w:tcPr>
            <w:tcW w:w="6942" w:type="dxa"/>
          </w:tcPr>
          <w:p w14:paraId="57A840A3" w14:textId="77777777" w:rsidR="003B2ACA" w:rsidRDefault="003B2ACA" w:rsidP="008A125C">
            <w:pPr>
              <w:pStyle w:val="TAL"/>
              <w:keepNext w:val="0"/>
              <w:keepLines w:val="0"/>
              <w:widowControl w:val="0"/>
              <w:rPr>
                <w:lang w:eastAsia="ja-JP"/>
              </w:rPr>
            </w:pPr>
          </w:p>
        </w:tc>
      </w:tr>
      <w:tr w:rsidR="001C4C8D" w14:paraId="181A19EE" w14:textId="77777777" w:rsidTr="003B2ACA">
        <w:tc>
          <w:tcPr>
            <w:tcW w:w="1696" w:type="dxa"/>
          </w:tcPr>
          <w:p w14:paraId="14CF988C" w14:textId="77777777" w:rsidR="001C4C8D" w:rsidRDefault="001C4C8D" w:rsidP="008A125C">
            <w:pPr>
              <w:pStyle w:val="TAL"/>
              <w:keepNext w:val="0"/>
              <w:keepLines w:val="0"/>
              <w:widowControl w:val="0"/>
              <w:rPr>
                <w:lang w:eastAsia="ja-JP"/>
              </w:rPr>
            </w:pPr>
          </w:p>
        </w:tc>
        <w:tc>
          <w:tcPr>
            <w:tcW w:w="993" w:type="dxa"/>
          </w:tcPr>
          <w:p w14:paraId="7B1BE548" w14:textId="77777777" w:rsidR="001C4C8D" w:rsidRDefault="001C4C8D" w:rsidP="008A125C">
            <w:pPr>
              <w:pStyle w:val="TAL"/>
              <w:keepNext w:val="0"/>
              <w:keepLines w:val="0"/>
              <w:widowControl w:val="0"/>
              <w:rPr>
                <w:lang w:eastAsia="ja-JP"/>
              </w:rPr>
            </w:pPr>
          </w:p>
        </w:tc>
        <w:tc>
          <w:tcPr>
            <w:tcW w:w="6942" w:type="dxa"/>
          </w:tcPr>
          <w:p w14:paraId="783804B9" w14:textId="77777777" w:rsidR="001C4C8D" w:rsidRDefault="001C4C8D" w:rsidP="008A125C">
            <w:pPr>
              <w:pStyle w:val="TAL"/>
              <w:keepNext w:val="0"/>
              <w:keepLines w:val="0"/>
              <w:widowControl w:val="0"/>
              <w:rPr>
                <w:lang w:eastAsia="ja-JP"/>
              </w:rPr>
            </w:pPr>
          </w:p>
        </w:tc>
      </w:tr>
      <w:tr w:rsidR="001C4C8D" w14:paraId="2CC26E51" w14:textId="77777777" w:rsidTr="003B2ACA">
        <w:tc>
          <w:tcPr>
            <w:tcW w:w="1696" w:type="dxa"/>
          </w:tcPr>
          <w:p w14:paraId="578A34AF" w14:textId="77777777" w:rsidR="001C4C8D" w:rsidRDefault="001C4C8D" w:rsidP="008A125C">
            <w:pPr>
              <w:pStyle w:val="TAL"/>
              <w:keepNext w:val="0"/>
              <w:keepLines w:val="0"/>
              <w:widowControl w:val="0"/>
              <w:rPr>
                <w:lang w:eastAsia="ja-JP"/>
              </w:rPr>
            </w:pPr>
          </w:p>
        </w:tc>
        <w:tc>
          <w:tcPr>
            <w:tcW w:w="993" w:type="dxa"/>
          </w:tcPr>
          <w:p w14:paraId="6C13FEE7" w14:textId="77777777" w:rsidR="001C4C8D" w:rsidRDefault="001C4C8D" w:rsidP="008A125C">
            <w:pPr>
              <w:pStyle w:val="TAL"/>
              <w:keepNext w:val="0"/>
              <w:keepLines w:val="0"/>
              <w:widowControl w:val="0"/>
              <w:rPr>
                <w:lang w:eastAsia="ja-JP"/>
              </w:rPr>
            </w:pPr>
          </w:p>
        </w:tc>
        <w:tc>
          <w:tcPr>
            <w:tcW w:w="6942" w:type="dxa"/>
          </w:tcPr>
          <w:p w14:paraId="5626E23F" w14:textId="77777777" w:rsidR="001C4C8D" w:rsidRDefault="001C4C8D" w:rsidP="008A125C">
            <w:pPr>
              <w:pStyle w:val="TAL"/>
              <w:keepNext w:val="0"/>
              <w:keepLines w:val="0"/>
              <w:widowControl w:val="0"/>
              <w:rPr>
                <w:lang w:eastAsia="ja-JP"/>
              </w:rPr>
            </w:pPr>
          </w:p>
        </w:tc>
      </w:tr>
      <w:tr w:rsidR="001C4C8D" w14:paraId="2014B6DD" w14:textId="77777777" w:rsidTr="003B2ACA">
        <w:tc>
          <w:tcPr>
            <w:tcW w:w="1696" w:type="dxa"/>
          </w:tcPr>
          <w:p w14:paraId="163B0FC9" w14:textId="77777777" w:rsidR="001C4C8D" w:rsidRDefault="001C4C8D" w:rsidP="008A125C">
            <w:pPr>
              <w:pStyle w:val="TAL"/>
              <w:keepNext w:val="0"/>
              <w:keepLines w:val="0"/>
              <w:widowControl w:val="0"/>
              <w:rPr>
                <w:lang w:eastAsia="ja-JP"/>
              </w:rPr>
            </w:pPr>
          </w:p>
        </w:tc>
        <w:tc>
          <w:tcPr>
            <w:tcW w:w="993" w:type="dxa"/>
          </w:tcPr>
          <w:p w14:paraId="72D9414C" w14:textId="77777777" w:rsidR="001C4C8D" w:rsidRDefault="001C4C8D" w:rsidP="008A125C">
            <w:pPr>
              <w:pStyle w:val="TAL"/>
              <w:keepNext w:val="0"/>
              <w:keepLines w:val="0"/>
              <w:widowControl w:val="0"/>
              <w:rPr>
                <w:lang w:eastAsia="ja-JP"/>
              </w:rPr>
            </w:pPr>
          </w:p>
        </w:tc>
        <w:tc>
          <w:tcPr>
            <w:tcW w:w="6942" w:type="dxa"/>
          </w:tcPr>
          <w:p w14:paraId="13AAF20E" w14:textId="77777777" w:rsidR="001C4C8D" w:rsidRDefault="001C4C8D" w:rsidP="008A125C">
            <w:pPr>
              <w:pStyle w:val="TAL"/>
              <w:keepNext w:val="0"/>
              <w:keepLines w:val="0"/>
              <w:widowControl w:val="0"/>
              <w:rPr>
                <w:lang w:eastAsia="ja-JP"/>
              </w:rPr>
            </w:pPr>
          </w:p>
        </w:tc>
      </w:tr>
      <w:tr w:rsidR="001C4C8D" w14:paraId="527EB4CD" w14:textId="77777777" w:rsidTr="003B2ACA">
        <w:tc>
          <w:tcPr>
            <w:tcW w:w="1696" w:type="dxa"/>
          </w:tcPr>
          <w:p w14:paraId="5B34A7BC" w14:textId="77777777" w:rsidR="001C4C8D" w:rsidRDefault="001C4C8D" w:rsidP="008A125C">
            <w:pPr>
              <w:pStyle w:val="TAL"/>
              <w:keepNext w:val="0"/>
              <w:keepLines w:val="0"/>
              <w:widowControl w:val="0"/>
              <w:rPr>
                <w:lang w:eastAsia="ja-JP"/>
              </w:rPr>
            </w:pPr>
          </w:p>
        </w:tc>
        <w:tc>
          <w:tcPr>
            <w:tcW w:w="993" w:type="dxa"/>
          </w:tcPr>
          <w:p w14:paraId="0E13C405" w14:textId="77777777" w:rsidR="001C4C8D" w:rsidRDefault="001C4C8D" w:rsidP="008A125C">
            <w:pPr>
              <w:pStyle w:val="TAL"/>
              <w:keepNext w:val="0"/>
              <w:keepLines w:val="0"/>
              <w:widowControl w:val="0"/>
              <w:rPr>
                <w:lang w:eastAsia="ja-JP"/>
              </w:rPr>
            </w:pPr>
          </w:p>
        </w:tc>
        <w:tc>
          <w:tcPr>
            <w:tcW w:w="6942" w:type="dxa"/>
          </w:tcPr>
          <w:p w14:paraId="2753BCCC" w14:textId="77777777" w:rsidR="001C4C8D" w:rsidRDefault="001C4C8D" w:rsidP="008A125C">
            <w:pPr>
              <w:pStyle w:val="TAL"/>
              <w:keepNext w:val="0"/>
              <w:keepLines w:val="0"/>
              <w:widowControl w:val="0"/>
              <w:rPr>
                <w:lang w:eastAsia="ja-JP"/>
              </w:rPr>
            </w:pPr>
          </w:p>
        </w:tc>
      </w:tr>
      <w:tr w:rsidR="008A125C" w14:paraId="39DF70E5" w14:textId="77777777" w:rsidTr="003B2ACA">
        <w:tc>
          <w:tcPr>
            <w:tcW w:w="1696" w:type="dxa"/>
          </w:tcPr>
          <w:p w14:paraId="792A9330" w14:textId="77777777" w:rsidR="008A125C" w:rsidRDefault="008A125C" w:rsidP="008A125C">
            <w:pPr>
              <w:pStyle w:val="TAL"/>
              <w:keepNext w:val="0"/>
              <w:keepLines w:val="0"/>
              <w:widowControl w:val="0"/>
              <w:rPr>
                <w:lang w:eastAsia="ja-JP"/>
              </w:rPr>
            </w:pPr>
          </w:p>
        </w:tc>
        <w:tc>
          <w:tcPr>
            <w:tcW w:w="993" w:type="dxa"/>
          </w:tcPr>
          <w:p w14:paraId="715D8E26" w14:textId="77777777" w:rsidR="008A125C" w:rsidRDefault="008A125C" w:rsidP="008A125C">
            <w:pPr>
              <w:pStyle w:val="TAL"/>
              <w:keepNext w:val="0"/>
              <w:keepLines w:val="0"/>
              <w:widowControl w:val="0"/>
              <w:rPr>
                <w:lang w:eastAsia="ja-JP"/>
              </w:rPr>
            </w:pPr>
          </w:p>
        </w:tc>
        <w:tc>
          <w:tcPr>
            <w:tcW w:w="6942" w:type="dxa"/>
          </w:tcPr>
          <w:p w14:paraId="2D232F6F" w14:textId="77777777" w:rsidR="008A125C" w:rsidRDefault="008A125C" w:rsidP="008A125C">
            <w:pPr>
              <w:pStyle w:val="TAL"/>
              <w:keepNext w:val="0"/>
              <w:keepLines w:val="0"/>
              <w:widowControl w:val="0"/>
              <w:rPr>
                <w:lang w:eastAsia="ja-JP"/>
              </w:rPr>
            </w:pPr>
          </w:p>
        </w:tc>
      </w:tr>
      <w:tr w:rsidR="008A125C" w14:paraId="70B7FCEA" w14:textId="77777777" w:rsidTr="003B2ACA">
        <w:tc>
          <w:tcPr>
            <w:tcW w:w="1696" w:type="dxa"/>
          </w:tcPr>
          <w:p w14:paraId="46DE34EA" w14:textId="77777777" w:rsidR="008A125C" w:rsidRDefault="008A125C" w:rsidP="008A125C">
            <w:pPr>
              <w:pStyle w:val="TAL"/>
              <w:keepNext w:val="0"/>
              <w:keepLines w:val="0"/>
              <w:widowControl w:val="0"/>
              <w:rPr>
                <w:lang w:eastAsia="ja-JP"/>
              </w:rPr>
            </w:pPr>
          </w:p>
        </w:tc>
        <w:tc>
          <w:tcPr>
            <w:tcW w:w="993" w:type="dxa"/>
          </w:tcPr>
          <w:p w14:paraId="55A0C0AF" w14:textId="77777777" w:rsidR="008A125C" w:rsidRDefault="008A125C" w:rsidP="008A125C">
            <w:pPr>
              <w:pStyle w:val="TAL"/>
              <w:keepNext w:val="0"/>
              <w:keepLines w:val="0"/>
              <w:widowControl w:val="0"/>
              <w:rPr>
                <w:lang w:eastAsia="ja-JP"/>
              </w:rPr>
            </w:pPr>
          </w:p>
        </w:tc>
        <w:tc>
          <w:tcPr>
            <w:tcW w:w="6942" w:type="dxa"/>
          </w:tcPr>
          <w:p w14:paraId="130CE4F3" w14:textId="77777777" w:rsidR="008A125C" w:rsidRDefault="008A125C" w:rsidP="008A125C">
            <w:pPr>
              <w:pStyle w:val="TAL"/>
              <w:keepNext w:val="0"/>
              <w:keepLines w:val="0"/>
              <w:widowControl w:val="0"/>
              <w:rPr>
                <w:lang w:eastAsia="ja-JP"/>
              </w:rPr>
            </w:pPr>
          </w:p>
        </w:tc>
      </w:tr>
      <w:tr w:rsidR="008A125C" w14:paraId="138683FC" w14:textId="77777777" w:rsidTr="003B2ACA">
        <w:tc>
          <w:tcPr>
            <w:tcW w:w="1696" w:type="dxa"/>
          </w:tcPr>
          <w:p w14:paraId="2349184A" w14:textId="77777777" w:rsidR="008A125C" w:rsidRDefault="008A125C" w:rsidP="008A125C">
            <w:pPr>
              <w:pStyle w:val="TAL"/>
              <w:keepNext w:val="0"/>
              <w:keepLines w:val="0"/>
              <w:widowControl w:val="0"/>
              <w:rPr>
                <w:lang w:eastAsia="ja-JP"/>
              </w:rPr>
            </w:pPr>
          </w:p>
        </w:tc>
        <w:tc>
          <w:tcPr>
            <w:tcW w:w="993" w:type="dxa"/>
          </w:tcPr>
          <w:p w14:paraId="463581C2" w14:textId="77777777" w:rsidR="008A125C" w:rsidRDefault="008A125C" w:rsidP="008A125C">
            <w:pPr>
              <w:pStyle w:val="TAL"/>
              <w:keepNext w:val="0"/>
              <w:keepLines w:val="0"/>
              <w:widowControl w:val="0"/>
              <w:rPr>
                <w:lang w:eastAsia="ja-JP"/>
              </w:rPr>
            </w:pPr>
          </w:p>
        </w:tc>
        <w:tc>
          <w:tcPr>
            <w:tcW w:w="6942" w:type="dxa"/>
          </w:tcPr>
          <w:p w14:paraId="0DBFD622" w14:textId="77777777" w:rsidR="008A125C" w:rsidRDefault="008A125C" w:rsidP="008A125C">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Heading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lastRenderedPageBreak/>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TableGrid"/>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TableGrid"/>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r>
      <w:r w:rsidRPr="001C4C8D">
        <w:rPr>
          <w:highlight w:val="cyan"/>
        </w:rPr>
        <w:lastRenderedPageBreak/>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84"/>
        <w:gridCol w:w="1117"/>
        <w:gridCol w:w="6830"/>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r>
              <w:rPr>
                <w:lang w:eastAsia="zh-CN"/>
              </w:rPr>
              <w:t xml:space="preserve">Yes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a "PRU can transmit SRS to enable TRPs to measure and report UL positioning measurements (e.g., RTOA, UL-</w:t>
            </w:r>
            <w:proofErr w:type="spellStart"/>
            <w:r w:rsidRPr="0065268C">
              <w:rPr>
                <w:lang w:eastAsia="ja-JP"/>
              </w:rPr>
              <w:t>AoA</w:t>
            </w:r>
            <w:proofErr w:type="spellEnd"/>
            <w:r w:rsidRPr="0065268C">
              <w:rPr>
                <w:lang w:eastAsia="ja-JP"/>
              </w:rPr>
              <w:t xml:space="preserve">, </w:t>
            </w:r>
            <w:proofErr w:type="spellStart"/>
            <w:r w:rsidRPr="0065268C">
              <w:rPr>
                <w:lang w:eastAsia="ja-JP"/>
              </w:rPr>
              <w:t>gNB</w:t>
            </w:r>
            <w:proofErr w:type="spellEnd"/>
            <w:r w:rsidRPr="0065268C">
              <w:rPr>
                <w:lang w:eastAsia="ja-JP"/>
              </w:rPr>
              <w:t xml:space="preserve">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 xml:space="preserve">This seems </w:t>
            </w:r>
            <w:proofErr w:type="gramStart"/>
            <w:r w:rsidR="0086313A">
              <w:rPr>
                <w:lang w:eastAsia="ja-JP"/>
              </w:rPr>
              <w:t>actually also</w:t>
            </w:r>
            <w:proofErr w:type="gramEnd"/>
            <w:r w:rsidR="0086313A">
              <w:rPr>
                <w:lang w:eastAsia="ja-JP"/>
              </w:rPr>
              <w:t xml:space="preserve"> aligned with RAN1 response LS.</w:t>
            </w:r>
          </w:p>
        </w:tc>
      </w:tr>
      <w:tr w:rsidR="001C4C8D" w14:paraId="4D8C1F49" w14:textId="77777777" w:rsidTr="00AF640E">
        <w:tc>
          <w:tcPr>
            <w:tcW w:w="1696" w:type="dxa"/>
          </w:tcPr>
          <w:p w14:paraId="232BF45B" w14:textId="77777777" w:rsidR="001C4C8D" w:rsidRDefault="001C4C8D" w:rsidP="008A125C">
            <w:pPr>
              <w:pStyle w:val="TAL"/>
              <w:keepNext w:val="0"/>
              <w:keepLines w:val="0"/>
              <w:widowControl w:val="0"/>
              <w:rPr>
                <w:lang w:eastAsia="ja-JP"/>
              </w:rPr>
            </w:pPr>
          </w:p>
        </w:tc>
        <w:tc>
          <w:tcPr>
            <w:tcW w:w="993" w:type="dxa"/>
          </w:tcPr>
          <w:p w14:paraId="6849FD61" w14:textId="77777777" w:rsidR="001C4C8D" w:rsidRDefault="001C4C8D" w:rsidP="008A125C">
            <w:pPr>
              <w:pStyle w:val="TAL"/>
              <w:keepNext w:val="0"/>
              <w:keepLines w:val="0"/>
              <w:widowControl w:val="0"/>
              <w:rPr>
                <w:lang w:eastAsia="ja-JP"/>
              </w:rPr>
            </w:pPr>
          </w:p>
        </w:tc>
        <w:tc>
          <w:tcPr>
            <w:tcW w:w="6942" w:type="dxa"/>
          </w:tcPr>
          <w:p w14:paraId="798A6686" w14:textId="77777777" w:rsidR="001C4C8D" w:rsidRDefault="001C4C8D" w:rsidP="008A125C">
            <w:pPr>
              <w:pStyle w:val="TAL"/>
              <w:keepNext w:val="0"/>
              <w:keepLines w:val="0"/>
              <w:widowControl w:val="0"/>
              <w:rPr>
                <w:lang w:eastAsia="ja-JP"/>
              </w:rPr>
            </w:pPr>
          </w:p>
        </w:tc>
      </w:tr>
      <w:tr w:rsidR="001C4C8D" w14:paraId="1429A5C6" w14:textId="77777777" w:rsidTr="00AF640E">
        <w:tc>
          <w:tcPr>
            <w:tcW w:w="1696" w:type="dxa"/>
          </w:tcPr>
          <w:p w14:paraId="1399100F" w14:textId="77777777" w:rsidR="001C4C8D" w:rsidRDefault="001C4C8D" w:rsidP="008A125C">
            <w:pPr>
              <w:pStyle w:val="TAL"/>
              <w:keepNext w:val="0"/>
              <w:keepLines w:val="0"/>
              <w:widowControl w:val="0"/>
              <w:rPr>
                <w:lang w:eastAsia="ja-JP"/>
              </w:rPr>
            </w:pP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77777777" w:rsidR="001C4C8D" w:rsidRDefault="001C4C8D" w:rsidP="008A125C">
            <w:pPr>
              <w:pStyle w:val="TAL"/>
              <w:keepNext w:val="0"/>
              <w:keepLines w:val="0"/>
              <w:widowControl w:val="0"/>
              <w:rPr>
                <w:lang w:eastAsia="ja-JP"/>
              </w:rPr>
            </w:pPr>
          </w:p>
        </w:tc>
        <w:tc>
          <w:tcPr>
            <w:tcW w:w="993" w:type="dxa"/>
          </w:tcPr>
          <w:p w14:paraId="750F9591" w14:textId="77777777" w:rsidR="001C4C8D" w:rsidRDefault="001C4C8D" w:rsidP="008A125C">
            <w:pPr>
              <w:pStyle w:val="TAL"/>
              <w:keepNext w:val="0"/>
              <w:keepLines w:val="0"/>
              <w:widowControl w:val="0"/>
              <w:rPr>
                <w:lang w:eastAsia="ja-JP"/>
              </w:rPr>
            </w:pPr>
          </w:p>
        </w:tc>
        <w:tc>
          <w:tcPr>
            <w:tcW w:w="6942" w:type="dxa"/>
          </w:tcPr>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Heading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lastRenderedPageBreak/>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4546" w14:textId="77777777" w:rsidR="009C35E1" w:rsidRDefault="009C35E1">
      <w:r>
        <w:separator/>
      </w:r>
    </w:p>
  </w:endnote>
  <w:endnote w:type="continuationSeparator" w:id="0">
    <w:p w14:paraId="32168C53" w14:textId="77777777" w:rsidR="009C35E1" w:rsidRDefault="009C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555C" w14:textId="77777777" w:rsidR="009C35E1" w:rsidRDefault="009C35E1">
      <w:r>
        <w:separator/>
      </w:r>
    </w:p>
  </w:footnote>
  <w:footnote w:type="continuationSeparator" w:id="0">
    <w:p w14:paraId="4B15281F" w14:textId="77777777" w:rsidR="009C35E1" w:rsidRDefault="009C3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267754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437257419">
    <w:abstractNumId w:val="6"/>
  </w:num>
  <w:num w:numId="3" w16cid:durableId="1149249005">
    <w:abstractNumId w:val="5"/>
  </w:num>
  <w:num w:numId="4" w16cid:durableId="115686405">
    <w:abstractNumId w:val="1"/>
  </w:num>
  <w:num w:numId="5" w16cid:durableId="478770781">
    <w:abstractNumId w:val="3"/>
  </w:num>
  <w:num w:numId="6" w16cid:durableId="1316295225">
    <w:abstractNumId w:val="2"/>
  </w:num>
  <w:num w:numId="7" w16cid:durableId="20552276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UnresolvedMention">
    <w:name w:val="Unresolved Mention"/>
    <w:basedOn w:val="DefaultParagraphFont"/>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2D16B-9675-4A95-A88C-58D6686B173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49</TotalTime>
  <Pages>7</Pages>
  <Words>2586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16897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39</cp:revision>
  <cp:lastPrinted>2023-03-23T17:15:00Z</cp:lastPrinted>
  <dcterms:created xsi:type="dcterms:W3CDTF">2023-04-18T02:37:00Z</dcterms:created>
  <dcterms:modified xsi:type="dcterms:W3CDTF">2023-04-18T07:01:00Z</dcterms:modified>
</cp:coreProperties>
</file>