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8"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48896920" w:rsidR="004F7B5C" w:rsidRPr="00D17F2C" w:rsidRDefault="004F7B5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5130" w:type="dxa"/>
            <w:vAlign w:val="center"/>
          </w:tcPr>
          <w:p w14:paraId="592E824C" w14:textId="0E71A53F" w:rsidR="004F7B5C" w:rsidRPr="00D17F2C" w:rsidRDefault="004F7B5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F7B5C" w:rsidRPr="00D17F2C" w14:paraId="01516CC9" w14:textId="77777777" w:rsidTr="00DF22F1">
        <w:trPr>
          <w:jc w:val="center"/>
        </w:trPr>
        <w:tc>
          <w:tcPr>
            <w:tcW w:w="3487" w:type="dxa"/>
            <w:vAlign w:val="center"/>
          </w:tcPr>
          <w:p w14:paraId="1CDC4D3A" w14:textId="1493DE1D" w:rsidR="004F7B5C" w:rsidRPr="00D17F2C" w:rsidRDefault="004F7B5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5130" w:type="dxa"/>
            <w:vAlign w:val="center"/>
          </w:tcPr>
          <w:p w14:paraId="5963A1EC" w14:textId="4DFD96ED" w:rsidR="004F7B5C" w:rsidRPr="00D17F2C" w:rsidRDefault="004F7B5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F7B5C" w:rsidRPr="00D17F2C" w14:paraId="598FEBB4" w14:textId="77777777" w:rsidTr="00DF22F1">
        <w:trPr>
          <w:jc w:val="center"/>
        </w:trPr>
        <w:tc>
          <w:tcPr>
            <w:tcW w:w="3487" w:type="dxa"/>
            <w:vAlign w:val="center"/>
          </w:tcPr>
          <w:p w14:paraId="745807BD" w14:textId="27591D2B" w:rsidR="004F7B5C" w:rsidRPr="00D17F2C" w:rsidRDefault="004F7B5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5130" w:type="dxa"/>
            <w:vAlign w:val="center"/>
          </w:tcPr>
          <w:p w14:paraId="2BC6F984" w14:textId="6D566B23" w:rsidR="004F7B5C" w:rsidRPr="00D17F2C" w:rsidRDefault="004F7B5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F7B5C" w:rsidRPr="00D17F2C" w14:paraId="37031DF7" w14:textId="77777777" w:rsidTr="00DF22F1">
        <w:trPr>
          <w:jc w:val="center"/>
        </w:trPr>
        <w:tc>
          <w:tcPr>
            <w:tcW w:w="3487" w:type="dxa"/>
            <w:vAlign w:val="center"/>
          </w:tcPr>
          <w:p w14:paraId="7038DA1F" w14:textId="3446B10E" w:rsidR="004F7B5C" w:rsidRPr="00D17F2C" w:rsidRDefault="004F7B5C"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5130" w:type="dxa"/>
            <w:vAlign w:val="center"/>
          </w:tcPr>
          <w:p w14:paraId="01523F75" w14:textId="207B465A" w:rsidR="004F7B5C" w:rsidRPr="00D17F2C" w:rsidRDefault="004F7B5C"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F7B5C" w:rsidRPr="00D17F2C" w14:paraId="4E7EC731" w14:textId="77777777" w:rsidTr="00DF22F1">
        <w:trPr>
          <w:jc w:val="center"/>
        </w:trPr>
        <w:tc>
          <w:tcPr>
            <w:tcW w:w="3487" w:type="dxa"/>
            <w:vAlign w:val="center"/>
          </w:tcPr>
          <w:p w14:paraId="02DC3338" w14:textId="3483A58F" w:rsidR="004F7B5C" w:rsidRPr="00D17F2C" w:rsidRDefault="004F7B5C"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5130" w:type="dxa"/>
            <w:vAlign w:val="center"/>
          </w:tcPr>
          <w:p w14:paraId="54A594EE" w14:textId="703175DD" w:rsidR="004F7B5C" w:rsidRPr="00040F96" w:rsidRDefault="004F7B5C"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4F7B5C" w:rsidRPr="00D17F2C" w14:paraId="58591C63" w14:textId="77777777" w:rsidTr="00DF22F1">
        <w:trPr>
          <w:jc w:val="center"/>
        </w:trPr>
        <w:tc>
          <w:tcPr>
            <w:tcW w:w="3487" w:type="dxa"/>
            <w:vAlign w:val="center"/>
          </w:tcPr>
          <w:p w14:paraId="70AC833B" w14:textId="0C856178" w:rsidR="004F7B5C" w:rsidRPr="00D17F2C" w:rsidRDefault="004F7B5C"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5130" w:type="dxa"/>
            <w:vAlign w:val="center"/>
          </w:tcPr>
          <w:p w14:paraId="253365DF" w14:textId="1176902A" w:rsidR="004F7B5C" w:rsidRPr="00D17F2C" w:rsidRDefault="004F7B5C"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F7B5C" w:rsidRPr="00D17F2C" w14:paraId="46BCF9E8" w14:textId="77777777" w:rsidTr="00DF22F1">
        <w:trPr>
          <w:jc w:val="center"/>
        </w:trPr>
        <w:tc>
          <w:tcPr>
            <w:tcW w:w="3487" w:type="dxa"/>
            <w:vAlign w:val="center"/>
          </w:tcPr>
          <w:p w14:paraId="6DA2E8D7" w14:textId="27C4F80A" w:rsidR="004F7B5C" w:rsidRPr="00282EED" w:rsidRDefault="004F7B5C"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5130" w:type="dxa"/>
            <w:vAlign w:val="center"/>
          </w:tcPr>
          <w:p w14:paraId="1DCB6902" w14:textId="30A79326" w:rsidR="004F7B5C" w:rsidRPr="00282EED" w:rsidRDefault="004F7B5C"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4F7B5C" w:rsidRPr="00D17F2C" w14:paraId="3D156226" w14:textId="77777777" w:rsidTr="00DF22F1">
        <w:trPr>
          <w:jc w:val="center"/>
        </w:trPr>
        <w:tc>
          <w:tcPr>
            <w:tcW w:w="3487" w:type="dxa"/>
            <w:vAlign w:val="center"/>
          </w:tcPr>
          <w:p w14:paraId="3DF9F29A" w14:textId="220C6F6D" w:rsidR="004F7B5C" w:rsidRPr="00D17F2C" w:rsidRDefault="004F7B5C"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5130" w:type="dxa"/>
            <w:vAlign w:val="center"/>
          </w:tcPr>
          <w:p w14:paraId="38DCE1C0" w14:textId="3C83A98E" w:rsidR="004F7B5C" w:rsidRPr="00D17F2C" w:rsidRDefault="004F7B5C"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F7B5C" w:rsidRPr="00D17F2C" w14:paraId="03C84FEE" w14:textId="77777777" w:rsidTr="00DF22F1">
        <w:trPr>
          <w:jc w:val="center"/>
        </w:trPr>
        <w:tc>
          <w:tcPr>
            <w:tcW w:w="3487" w:type="dxa"/>
            <w:vAlign w:val="center"/>
          </w:tcPr>
          <w:p w14:paraId="5ACC0615" w14:textId="3CC3D57B" w:rsidR="004F7B5C" w:rsidRPr="00F42A18" w:rsidRDefault="004F7B5C"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p>
        </w:tc>
        <w:tc>
          <w:tcPr>
            <w:tcW w:w="5130" w:type="dxa"/>
            <w:vAlign w:val="center"/>
          </w:tcPr>
          <w:p w14:paraId="6012346F" w14:textId="7ECA9505" w:rsidR="004F7B5C" w:rsidRPr="00F42A18" w:rsidRDefault="004F7B5C"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4F7B5C" w:rsidRPr="00D17F2C" w14:paraId="61B7C833" w14:textId="77777777" w:rsidTr="00DF22F1">
        <w:trPr>
          <w:jc w:val="center"/>
        </w:trPr>
        <w:tc>
          <w:tcPr>
            <w:tcW w:w="3487" w:type="dxa"/>
            <w:vAlign w:val="center"/>
          </w:tcPr>
          <w:p w14:paraId="1CC58846" w14:textId="3349B35D" w:rsidR="004F7B5C" w:rsidRPr="00D17F2C" w:rsidRDefault="004F7B5C"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5130" w:type="dxa"/>
            <w:vAlign w:val="center"/>
          </w:tcPr>
          <w:p w14:paraId="0DA17110" w14:textId="4E231782" w:rsidR="004F7B5C" w:rsidRPr="00D17F2C" w:rsidRDefault="004F7B5C"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F7B5C" w:rsidRPr="00D17F2C" w14:paraId="40CC7C57" w14:textId="77777777" w:rsidTr="00DF22F1">
        <w:trPr>
          <w:jc w:val="center"/>
        </w:trPr>
        <w:tc>
          <w:tcPr>
            <w:tcW w:w="3487" w:type="dxa"/>
            <w:vAlign w:val="center"/>
          </w:tcPr>
          <w:p w14:paraId="738A5082" w14:textId="77777777" w:rsidR="004F7B5C" w:rsidRPr="00D17F2C" w:rsidRDefault="004F7B5C"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5130" w:type="dxa"/>
            <w:vAlign w:val="center"/>
          </w:tcPr>
          <w:p w14:paraId="2C0715F3" w14:textId="0AFEFF06" w:rsidR="004F7B5C" w:rsidRPr="00D17F2C" w:rsidRDefault="004F7B5C"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 xml:space="preserve">Which </w:t>
      </w:r>
      <w:r w:rsidR="008F4D7C" w:rsidRPr="00625B2A">
        <w:rPr>
          <w:b/>
          <w:bCs/>
          <w:lang w:eastAsia="zh-CN"/>
        </w:rPr>
        <w:t xml:space="preserve">of the following two </w:t>
      </w:r>
      <w:r w:rsidR="008F4D7C" w:rsidRPr="00625B2A">
        <w:rPr>
          <w:b/>
          <w:bCs/>
          <w:lang w:eastAsia="zh-CN"/>
        </w:rPr>
        <w:t>option</w:t>
      </w:r>
      <w:r w:rsidR="008F4D7C" w:rsidRPr="00625B2A">
        <w:rPr>
          <w:b/>
          <w:bCs/>
          <w:lang w:eastAsia="zh-CN"/>
        </w:rPr>
        <w:t>s</w:t>
      </w:r>
      <w:r w:rsidR="008F4D7C" w:rsidRPr="00625B2A">
        <w:rPr>
          <w:b/>
          <w:bCs/>
          <w:lang w:eastAsia="zh-CN"/>
        </w:rPr>
        <w:t xml:space="preserve">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Default="00AA6865" w:rsidP="00BD7ACF">
      <w:pPr>
        <w:pStyle w:val="ListParagraph"/>
        <w:numPr>
          <w:ilvl w:val="0"/>
          <w:numId w:val="12"/>
        </w:numPr>
        <w:snapToGrid w:val="0"/>
        <w:contextualSpacing w:val="0"/>
        <w:rPr>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w:t>
            </w: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r>
              <w:rPr>
                <w:rFonts w:eastAsia="Times New Roman" w:cs="Arial"/>
                <w:bCs/>
                <w:szCs w:val="20"/>
                <w:lang w:val="en-GB" w:eastAsia="zh-CN"/>
              </w:rPr>
              <w:t>)</w:t>
            </w:r>
          </w:p>
        </w:tc>
        <w:tc>
          <w:tcPr>
            <w:tcW w:w="5125" w:type="dxa"/>
            <w:shd w:val="clear" w:color="auto" w:fill="BFBFBF"/>
          </w:tcPr>
          <w:p w14:paraId="1F16665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r>
              <w:rPr>
                <w:rFonts w:eastAsia="Times New Roman" w:cs="Arial"/>
                <w:bCs/>
                <w:szCs w:val="20"/>
                <w:lang w:val="en-GB" w:eastAsia="zh-CN"/>
              </w:rPr>
              <w:t>e.g. Pros and cons of these two options</w:t>
            </w:r>
            <w:r>
              <w:rPr>
                <w:rFonts w:eastAsia="Times New Roman" w:cs="Arial"/>
                <w:bCs/>
                <w:szCs w:val="20"/>
                <w:lang w:val="en-GB" w:eastAsia="zh-CN"/>
              </w:rPr>
              <w:t>)</w:t>
            </w:r>
          </w:p>
        </w:tc>
      </w:tr>
      <w:tr w:rsidR="00B3618D" w:rsidRPr="00D17F2C" w14:paraId="43EA31B9" w14:textId="77777777" w:rsidTr="00B3618D">
        <w:trPr>
          <w:trHeight w:val="43"/>
        </w:trPr>
        <w:tc>
          <w:tcPr>
            <w:tcW w:w="2250" w:type="dxa"/>
          </w:tcPr>
          <w:p w14:paraId="2CAA004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BC9D9B" w14:textId="22F85A39"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4F7079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3A27EE3C" w14:textId="77777777" w:rsidTr="00B3618D">
        <w:trPr>
          <w:trHeight w:val="43"/>
        </w:trPr>
        <w:tc>
          <w:tcPr>
            <w:tcW w:w="2250" w:type="dxa"/>
          </w:tcPr>
          <w:p w14:paraId="0D292E68"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A825D5A" w14:textId="68F8001C"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4402B0"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7C5E477B" w14:textId="77777777" w:rsidTr="00B3618D">
        <w:trPr>
          <w:trHeight w:val="43"/>
        </w:trPr>
        <w:tc>
          <w:tcPr>
            <w:tcW w:w="2250" w:type="dxa"/>
          </w:tcPr>
          <w:p w14:paraId="0EEE78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8EB3489" w14:textId="1DA99CBB"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24B4336"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7631DB1E" w14:textId="77777777" w:rsidTr="00B3618D">
        <w:trPr>
          <w:trHeight w:val="43"/>
        </w:trPr>
        <w:tc>
          <w:tcPr>
            <w:tcW w:w="2250" w:type="dxa"/>
          </w:tcPr>
          <w:p w14:paraId="0F98DF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7E923DB" w14:textId="2A9E225C"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611713B"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34620FB" w14:textId="77777777" w:rsidTr="00B3618D">
        <w:trPr>
          <w:trHeight w:val="43"/>
        </w:trPr>
        <w:tc>
          <w:tcPr>
            <w:tcW w:w="2250" w:type="dxa"/>
          </w:tcPr>
          <w:p w14:paraId="349309E8"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1B0034F" w14:textId="6EE72568"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7BDFD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67C7A01E" w14:textId="77777777" w:rsidTr="00B3618D">
        <w:trPr>
          <w:trHeight w:val="43"/>
        </w:trPr>
        <w:tc>
          <w:tcPr>
            <w:tcW w:w="2250" w:type="dxa"/>
          </w:tcPr>
          <w:p w14:paraId="3AC5D63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46BFEAD" w14:textId="29624A3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E15DCE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896BD1E" w14:textId="77777777" w:rsidTr="00B3618D">
        <w:trPr>
          <w:trHeight w:val="43"/>
        </w:trPr>
        <w:tc>
          <w:tcPr>
            <w:tcW w:w="2250" w:type="dxa"/>
          </w:tcPr>
          <w:p w14:paraId="4A4924DF"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0568CD1" w14:textId="48B45C63"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6519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3D31334F" w14:textId="77777777" w:rsidTr="00B3618D">
        <w:trPr>
          <w:trHeight w:val="43"/>
        </w:trPr>
        <w:tc>
          <w:tcPr>
            <w:tcW w:w="2250" w:type="dxa"/>
          </w:tcPr>
          <w:p w14:paraId="02FF6F4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9E1F55F" w14:textId="092F9F50"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8F36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5E6B3D6A" w14:textId="77777777" w:rsidTr="00B3618D">
        <w:trPr>
          <w:trHeight w:val="43"/>
        </w:trPr>
        <w:tc>
          <w:tcPr>
            <w:tcW w:w="2250" w:type="dxa"/>
          </w:tcPr>
          <w:p w14:paraId="0A40ACA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w:t>
      </w:r>
      <w:r w:rsidRPr="00A210E6">
        <w:rPr>
          <w:b/>
          <w:bCs/>
          <w:lang w:eastAsia="zh-CN"/>
        </w:rPr>
        <w:t xml:space="preserve">hich </w:t>
      </w:r>
      <w:r w:rsidRPr="00A210E6">
        <w:rPr>
          <w:b/>
          <w:bCs/>
          <w:lang w:eastAsia="zh-CN"/>
        </w:rPr>
        <w:t xml:space="preserve">of the following </w:t>
      </w:r>
      <w:r w:rsidRPr="00A210E6">
        <w:rPr>
          <w:b/>
          <w:bCs/>
          <w:lang w:eastAsia="zh-CN"/>
        </w:rPr>
        <w:t>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5E89F5E8"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602329">
        <w:rPr>
          <w:lang w:eastAsia="zh-CN"/>
        </w:rPr>
        <w:t>three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2077DCF" w14:textId="77777777" w:rsidTr="00E64054">
        <w:trPr>
          <w:trHeight w:val="360"/>
        </w:trPr>
        <w:tc>
          <w:tcPr>
            <w:tcW w:w="2250" w:type="dxa"/>
            <w:shd w:val="clear" w:color="auto" w:fill="BFBFBF"/>
          </w:tcPr>
          <w:p w14:paraId="1A1BBF14"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Pr>
                <w:rFonts w:eastAsia="Times New Roman" w:cs="Arial"/>
                <w:bCs/>
                <w:szCs w:val="20"/>
                <w:lang w:val="en-GB" w:eastAsia="zh-CN"/>
              </w:rPr>
              <w:t>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E64054">
        <w:trPr>
          <w:trHeight w:val="43"/>
        </w:trPr>
        <w:tc>
          <w:tcPr>
            <w:tcW w:w="2250" w:type="dxa"/>
          </w:tcPr>
          <w:p w14:paraId="2472718D"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57AF1B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8988605"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258C23C8" w14:textId="77777777" w:rsidTr="00E64054">
        <w:trPr>
          <w:trHeight w:val="43"/>
        </w:trPr>
        <w:tc>
          <w:tcPr>
            <w:tcW w:w="2250" w:type="dxa"/>
          </w:tcPr>
          <w:p w14:paraId="2E3B877D"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CC99FCD"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0449B3"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4C7B2D92" w14:textId="77777777" w:rsidTr="00E64054">
        <w:trPr>
          <w:trHeight w:val="43"/>
        </w:trPr>
        <w:tc>
          <w:tcPr>
            <w:tcW w:w="2250" w:type="dxa"/>
          </w:tcPr>
          <w:p w14:paraId="0C457BA3"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0A4D6B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CEBED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293EAF0D" w14:textId="77777777" w:rsidTr="00E64054">
        <w:trPr>
          <w:trHeight w:val="43"/>
        </w:trPr>
        <w:tc>
          <w:tcPr>
            <w:tcW w:w="2250" w:type="dxa"/>
          </w:tcPr>
          <w:p w14:paraId="2C90051E"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C2129E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F50C914"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2E542C03" w14:textId="77777777" w:rsidTr="00E64054">
        <w:trPr>
          <w:trHeight w:val="43"/>
        </w:trPr>
        <w:tc>
          <w:tcPr>
            <w:tcW w:w="2250" w:type="dxa"/>
          </w:tcPr>
          <w:p w14:paraId="64CE54B2"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41BBC"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EF8EAC9"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25CC9250" w14:textId="77777777" w:rsidTr="00E64054">
        <w:trPr>
          <w:trHeight w:val="43"/>
        </w:trPr>
        <w:tc>
          <w:tcPr>
            <w:tcW w:w="2250" w:type="dxa"/>
          </w:tcPr>
          <w:p w14:paraId="6E2946D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08F27C1"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F4F0F4"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0EA36E6" w14:textId="77777777" w:rsidTr="00E64054">
        <w:trPr>
          <w:trHeight w:val="43"/>
        </w:trPr>
        <w:tc>
          <w:tcPr>
            <w:tcW w:w="2250" w:type="dxa"/>
          </w:tcPr>
          <w:p w14:paraId="3415E07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50905E"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BF31E7"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044DBE5" w14:textId="77777777" w:rsidTr="00E64054">
        <w:trPr>
          <w:trHeight w:val="43"/>
        </w:trPr>
        <w:tc>
          <w:tcPr>
            <w:tcW w:w="2250" w:type="dxa"/>
          </w:tcPr>
          <w:p w14:paraId="0448D01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633D6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2382DE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0C547935" w14:textId="77777777" w:rsidTr="00E64054">
        <w:trPr>
          <w:trHeight w:val="43"/>
        </w:trPr>
        <w:tc>
          <w:tcPr>
            <w:tcW w:w="2250" w:type="dxa"/>
          </w:tcPr>
          <w:p w14:paraId="3CB49AC9"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E64054">
        <w:trPr>
          <w:trHeight w:val="360"/>
        </w:trPr>
        <w:tc>
          <w:tcPr>
            <w:tcW w:w="2250" w:type="dxa"/>
            <w:shd w:val="clear" w:color="auto" w:fill="BFBFBF"/>
          </w:tcPr>
          <w:p w14:paraId="138C0F64"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Pr>
                <w:rFonts w:eastAsia="Times New Roman" w:cs="Arial"/>
                <w:bCs/>
                <w:szCs w:val="20"/>
                <w:lang w:val="en-GB" w:eastAsia="zh-CN"/>
              </w:rPr>
              <w:t>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E64054">
        <w:trPr>
          <w:trHeight w:val="43"/>
        </w:trPr>
        <w:tc>
          <w:tcPr>
            <w:tcW w:w="2250" w:type="dxa"/>
          </w:tcPr>
          <w:p w14:paraId="68A1210C"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87DA680"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7692782"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29C16F06" w14:textId="77777777" w:rsidTr="00E64054">
        <w:trPr>
          <w:trHeight w:val="43"/>
        </w:trPr>
        <w:tc>
          <w:tcPr>
            <w:tcW w:w="2250" w:type="dxa"/>
          </w:tcPr>
          <w:p w14:paraId="20480C85"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151493"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C2FF1A"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3232CFE6" w14:textId="77777777" w:rsidTr="00E64054">
        <w:trPr>
          <w:trHeight w:val="43"/>
        </w:trPr>
        <w:tc>
          <w:tcPr>
            <w:tcW w:w="2250" w:type="dxa"/>
          </w:tcPr>
          <w:p w14:paraId="7CCD0634"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073EE9A"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A957192"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540F08DF" w14:textId="77777777" w:rsidTr="00E64054">
        <w:trPr>
          <w:trHeight w:val="43"/>
        </w:trPr>
        <w:tc>
          <w:tcPr>
            <w:tcW w:w="2250" w:type="dxa"/>
          </w:tcPr>
          <w:p w14:paraId="625E6692"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1DBD5"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AB70B1"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43AD5D4C" w14:textId="77777777" w:rsidTr="00E64054">
        <w:trPr>
          <w:trHeight w:val="43"/>
        </w:trPr>
        <w:tc>
          <w:tcPr>
            <w:tcW w:w="2250" w:type="dxa"/>
          </w:tcPr>
          <w:p w14:paraId="5FD4334B"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AC0ADBE"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CD648A2"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451198D3" w14:textId="77777777" w:rsidTr="00E64054">
        <w:trPr>
          <w:trHeight w:val="43"/>
        </w:trPr>
        <w:tc>
          <w:tcPr>
            <w:tcW w:w="2250" w:type="dxa"/>
          </w:tcPr>
          <w:p w14:paraId="6CE0FC8E"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45CC86"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C3EAC0"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3A9A8DCE" w14:textId="77777777" w:rsidTr="00E64054">
        <w:trPr>
          <w:trHeight w:val="43"/>
        </w:trPr>
        <w:tc>
          <w:tcPr>
            <w:tcW w:w="2250" w:type="dxa"/>
          </w:tcPr>
          <w:p w14:paraId="4F209EA8"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73823A"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757B3D4"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1282C60C" w14:textId="77777777" w:rsidTr="00E64054">
        <w:trPr>
          <w:trHeight w:val="43"/>
        </w:trPr>
        <w:tc>
          <w:tcPr>
            <w:tcW w:w="2250" w:type="dxa"/>
          </w:tcPr>
          <w:p w14:paraId="563EDDBE"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CDADEC"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195FFCB"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66E4B60D" w14:textId="77777777" w:rsidTr="00E64054">
        <w:trPr>
          <w:trHeight w:val="43"/>
        </w:trPr>
        <w:tc>
          <w:tcPr>
            <w:tcW w:w="2250" w:type="dxa"/>
          </w:tcPr>
          <w:p w14:paraId="3DF46FC9"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of the following</w:t>
      </w:r>
      <w:r w:rsidR="000819B0" w:rsidRPr="009618C4">
        <w:rPr>
          <w:b/>
          <w:bCs/>
          <w:lang w:eastAsia="zh-CN"/>
        </w:rPr>
        <w:t xml:space="preserve">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E64054">
        <w:trPr>
          <w:trHeight w:val="360"/>
        </w:trPr>
        <w:tc>
          <w:tcPr>
            <w:tcW w:w="2250" w:type="dxa"/>
            <w:shd w:val="clear" w:color="auto" w:fill="BFBFBF"/>
          </w:tcPr>
          <w:p w14:paraId="1DE728E1"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E64054">
        <w:trPr>
          <w:trHeight w:val="43"/>
        </w:trPr>
        <w:tc>
          <w:tcPr>
            <w:tcW w:w="2250" w:type="dxa"/>
          </w:tcPr>
          <w:p w14:paraId="225D7F36"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E604B8"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4FF955"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143A4B05" w14:textId="77777777" w:rsidTr="00E64054">
        <w:trPr>
          <w:trHeight w:val="43"/>
        </w:trPr>
        <w:tc>
          <w:tcPr>
            <w:tcW w:w="2250" w:type="dxa"/>
          </w:tcPr>
          <w:p w14:paraId="117C3F4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69569E0"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D0BAEB7"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05EF3AD9" w14:textId="77777777" w:rsidTr="00E64054">
        <w:trPr>
          <w:trHeight w:val="43"/>
        </w:trPr>
        <w:tc>
          <w:tcPr>
            <w:tcW w:w="2250" w:type="dxa"/>
          </w:tcPr>
          <w:p w14:paraId="1B5CBC8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FBA8733"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1E193C8"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07737D07" w14:textId="77777777" w:rsidTr="00E64054">
        <w:trPr>
          <w:trHeight w:val="43"/>
        </w:trPr>
        <w:tc>
          <w:tcPr>
            <w:tcW w:w="2250" w:type="dxa"/>
          </w:tcPr>
          <w:p w14:paraId="45B14C7B"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DCFE69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BCF36BA"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19FC8DDD" w14:textId="77777777" w:rsidTr="00E64054">
        <w:trPr>
          <w:trHeight w:val="43"/>
        </w:trPr>
        <w:tc>
          <w:tcPr>
            <w:tcW w:w="2250" w:type="dxa"/>
          </w:tcPr>
          <w:p w14:paraId="749027F8"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5A384C"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52EA854"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21A9414D" w14:textId="77777777" w:rsidTr="00E64054">
        <w:trPr>
          <w:trHeight w:val="43"/>
        </w:trPr>
        <w:tc>
          <w:tcPr>
            <w:tcW w:w="2250" w:type="dxa"/>
          </w:tcPr>
          <w:p w14:paraId="08DB07C4"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5C5B1A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3E6B5B"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0E4CF74C" w14:textId="77777777" w:rsidTr="00E64054">
        <w:trPr>
          <w:trHeight w:val="43"/>
        </w:trPr>
        <w:tc>
          <w:tcPr>
            <w:tcW w:w="2250" w:type="dxa"/>
          </w:tcPr>
          <w:p w14:paraId="753AE622"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9BAB46"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2067F43"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1AA85307" w14:textId="77777777" w:rsidTr="00E64054">
        <w:trPr>
          <w:trHeight w:val="43"/>
        </w:trPr>
        <w:tc>
          <w:tcPr>
            <w:tcW w:w="2250" w:type="dxa"/>
          </w:tcPr>
          <w:p w14:paraId="39B7DCCD"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D9E752B"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301E484"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4E9ACB37" w14:textId="77777777" w:rsidTr="00E64054">
        <w:trPr>
          <w:trHeight w:val="43"/>
        </w:trPr>
        <w:tc>
          <w:tcPr>
            <w:tcW w:w="2250" w:type="dxa"/>
          </w:tcPr>
          <w:p w14:paraId="4685FA6D"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w:t>
      </w:r>
      <w:r w:rsidR="008D429B">
        <w:rPr>
          <w:lang w:eastAsia="zh-CN"/>
        </w:rPr>
        <w:t xml:space="preserve">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E64054">
        <w:trPr>
          <w:trHeight w:val="360"/>
        </w:trPr>
        <w:tc>
          <w:tcPr>
            <w:tcW w:w="2250" w:type="dxa"/>
            <w:shd w:val="clear" w:color="auto" w:fill="BFBFBF"/>
          </w:tcPr>
          <w:p w14:paraId="2DA5D808"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E64054">
        <w:trPr>
          <w:trHeight w:val="43"/>
        </w:trPr>
        <w:tc>
          <w:tcPr>
            <w:tcW w:w="2250" w:type="dxa"/>
          </w:tcPr>
          <w:p w14:paraId="64204A58"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5D0F6E6"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C9CA2BA"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5EA8A685" w14:textId="77777777" w:rsidTr="00E64054">
        <w:trPr>
          <w:trHeight w:val="43"/>
        </w:trPr>
        <w:tc>
          <w:tcPr>
            <w:tcW w:w="2250" w:type="dxa"/>
          </w:tcPr>
          <w:p w14:paraId="6336ECBA"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D247E2D"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C095FB0"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3FD0A192" w14:textId="77777777" w:rsidTr="00E64054">
        <w:trPr>
          <w:trHeight w:val="43"/>
        </w:trPr>
        <w:tc>
          <w:tcPr>
            <w:tcW w:w="2250" w:type="dxa"/>
          </w:tcPr>
          <w:p w14:paraId="07093661"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77D699"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705745"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4BD9CB9F" w14:textId="77777777" w:rsidTr="00E64054">
        <w:trPr>
          <w:trHeight w:val="43"/>
        </w:trPr>
        <w:tc>
          <w:tcPr>
            <w:tcW w:w="2250" w:type="dxa"/>
          </w:tcPr>
          <w:p w14:paraId="41D33E06"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FFF39CE"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D597491"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7307958E" w14:textId="77777777" w:rsidTr="00E64054">
        <w:trPr>
          <w:trHeight w:val="43"/>
        </w:trPr>
        <w:tc>
          <w:tcPr>
            <w:tcW w:w="2250" w:type="dxa"/>
          </w:tcPr>
          <w:p w14:paraId="7D6570A5"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79F5AA2"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764D9E1"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30F3202F" w14:textId="77777777" w:rsidTr="00E64054">
        <w:trPr>
          <w:trHeight w:val="43"/>
        </w:trPr>
        <w:tc>
          <w:tcPr>
            <w:tcW w:w="2250" w:type="dxa"/>
          </w:tcPr>
          <w:p w14:paraId="05015C81"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0467457"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E9FF47"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5670F49C" w14:textId="77777777" w:rsidTr="00E64054">
        <w:trPr>
          <w:trHeight w:val="43"/>
        </w:trPr>
        <w:tc>
          <w:tcPr>
            <w:tcW w:w="2250" w:type="dxa"/>
          </w:tcPr>
          <w:p w14:paraId="7A26794C"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084ABA"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278DA0"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0705DA6E" w14:textId="77777777" w:rsidTr="00E64054">
        <w:trPr>
          <w:trHeight w:val="43"/>
        </w:trPr>
        <w:tc>
          <w:tcPr>
            <w:tcW w:w="2250" w:type="dxa"/>
          </w:tcPr>
          <w:p w14:paraId="4664FB6F"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B0EA758"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36A286"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319C37E0" w14:textId="77777777" w:rsidTr="00E64054">
        <w:trPr>
          <w:trHeight w:val="43"/>
        </w:trPr>
        <w:tc>
          <w:tcPr>
            <w:tcW w:w="2250" w:type="dxa"/>
          </w:tcPr>
          <w:p w14:paraId="0699693C"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w:t>
      </w:r>
      <w:r>
        <w:rPr>
          <w:lang w:eastAsia="zh-CN"/>
        </w:rPr>
        <w:t>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E64054">
        <w:trPr>
          <w:trHeight w:val="360"/>
        </w:trPr>
        <w:tc>
          <w:tcPr>
            <w:tcW w:w="2250" w:type="dxa"/>
            <w:shd w:val="clear" w:color="auto" w:fill="BFBFBF"/>
          </w:tcPr>
          <w:p w14:paraId="2E41A319"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Pr>
                <w:rFonts w:eastAsia="Times New Roman" w:cs="Arial"/>
                <w:bCs/>
                <w:szCs w:val="20"/>
                <w:lang w:val="en-GB" w:eastAsia="zh-CN"/>
              </w:rPr>
              <w:t>6</w:t>
            </w:r>
            <w:r>
              <w:rPr>
                <w:rFonts w:eastAsia="Times New Roman" w:cs="Arial"/>
                <w:bCs/>
                <w:szCs w:val="20"/>
                <w:lang w:val="en-GB" w:eastAsia="zh-CN"/>
              </w:rPr>
              <w:t>a/b/c)</w:t>
            </w:r>
          </w:p>
        </w:tc>
        <w:tc>
          <w:tcPr>
            <w:tcW w:w="5125" w:type="dxa"/>
            <w:shd w:val="clear" w:color="auto" w:fill="BFBFBF"/>
          </w:tcPr>
          <w:p w14:paraId="1ACD4812" w14:textId="77777777" w:rsidR="000309C5" w:rsidRPr="001D4363" w:rsidRDefault="000309C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E64054">
        <w:trPr>
          <w:trHeight w:val="43"/>
        </w:trPr>
        <w:tc>
          <w:tcPr>
            <w:tcW w:w="2250" w:type="dxa"/>
          </w:tcPr>
          <w:p w14:paraId="0BD10D9A"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E037781"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60C704D"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3726AB90" w14:textId="77777777" w:rsidTr="00E64054">
        <w:trPr>
          <w:trHeight w:val="43"/>
        </w:trPr>
        <w:tc>
          <w:tcPr>
            <w:tcW w:w="2250" w:type="dxa"/>
          </w:tcPr>
          <w:p w14:paraId="1920B574"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6DDE801"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A1A1F11"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18C18183" w14:textId="77777777" w:rsidTr="00E64054">
        <w:trPr>
          <w:trHeight w:val="43"/>
        </w:trPr>
        <w:tc>
          <w:tcPr>
            <w:tcW w:w="2250" w:type="dxa"/>
          </w:tcPr>
          <w:p w14:paraId="61908BBA"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14D454D"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C684F93"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70F47C20" w14:textId="77777777" w:rsidTr="00E64054">
        <w:trPr>
          <w:trHeight w:val="43"/>
        </w:trPr>
        <w:tc>
          <w:tcPr>
            <w:tcW w:w="2250" w:type="dxa"/>
          </w:tcPr>
          <w:p w14:paraId="52924C07"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7B8B09"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91BC61"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585BEAC2" w14:textId="77777777" w:rsidTr="00E64054">
        <w:trPr>
          <w:trHeight w:val="43"/>
        </w:trPr>
        <w:tc>
          <w:tcPr>
            <w:tcW w:w="2250" w:type="dxa"/>
          </w:tcPr>
          <w:p w14:paraId="6E4ABBE0"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168213"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88FCED"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3D671CB2" w14:textId="77777777" w:rsidTr="00E64054">
        <w:trPr>
          <w:trHeight w:val="43"/>
        </w:trPr>
        <w:tc>
          <w:tcPr>
            <w:tcW w:w="2250" w:type="dxa"/>
          </w:tcPr>
          <w:p w14:paraId="594A0C6F"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8CBF71D"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D3BF85"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7DA94422" w14:textId="77777777" w:rsidTr="00E64054">
        <w:trPr>
          <w:trHeight w:val="43"/>
        </w:trPr>
        <w:tc>
          <w:tcPr>
            <w:tcW w:w="2250" w:type="dxa"/>
          </w:tcPr>
          <w:p w14:paraId="37C4A82A"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742263"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857DC40"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017BD37F" w14:textId="77777777" w:rsidTr="00E64054">
        <w:trPr>
          <w:trHeight w:val="43"/>
        </w:trPr>
        <w:tc>
          <w:tcPr>
            <w:tcW w:w="2250" w:type="dxa"/>
          </w:tcPr>
          <w:p w14:paraId="61A7D817"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F19E16A"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E99167"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4E0F9B82" w14:textId="77777777" w:rsidTr="00E64054">
        <w:trPr>
          <w:trHeight w:val="43"/>
        </w:trPr>
        <w:tc>
          <w:tcPr>
            <w:tcW w:w="2250" w:type="dxa"/>
          </w:tcPr>
          <w:p w14:paraId="066D4FA9"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Option 7</w:t>
      </w:r>
      <w:r>
        <w:rPr>
          <w:lang w:eastAsia="zh-CN"/>
        </w:rPr>
        <w:t>a</w:t>
      </w:r>
      <w:r>
        <w:rPr>
          <w:lang w:eastAsia="zh-CN"/>
        </w:rPr>
        <w:t xml:space="preserve">.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w:t>
      </w:r>
      <w:r>
        <w:rPr>
          <w:lang w:eastAsia="zh-CN"/>
        </w:rPr>
        <w:t>b</w:t>
      </w:r>
      <w:r>
        <w:rPr>
          <w:lang w:eastAsia="zh-CN"/>
        </w:rPr>
        <w:t>.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E64054">
        <w:trPr>
          <w:trHeight w:val="360"/>
        </w:trPr>
        <w:tc>
          <w:tcPr>
            <w:tcW w:w="2250" w:type="dxa"/>
            <w:shd w:val="clear" w:color="auto" w:fill="BFBFBF"/>
          </w:tcPr>
          <w:p w14:paraId="41214BFC"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Pr>
                <w:rFonts w:eastAsia="Times New Roman" w:cs="Arial"/>
                <w:bCs/>
                <w:szCs w:val="20"/>
                <w:lang w:val="en-GB" w:eastAsia="zh-CN"/>
              </w:rPr>
              <w:t>7</w:t>
            </w:r>
            <w:r>
              <w:rPr>
                <w:rFonts w:eastAsia="Times New Roman" w:cs="Arial"/>
                <w:bCs/>
                <w:szCs w:val="20"/>
                <w:lang w:val="en-GB" w:eastAsia="zh-CN"/>
              </w:rPr>
              <w:t>a/b/c</w:t>
            </w:r>
            <w:r>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2771F6EF" w14:textId="77777777" w:rsidR="00C40D15" w:rsidRPr="001D4363" w:rsidRDefault="00C40D1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E64054">
        <w:trPr>
          <w:trHeight w:val="43"/>
        </w:trPr>
        <w:tc>
          <w:tcPr>
            <w:tcW w:w="2250" w:type="dxa"/>
          </w:tcPr>
          <w:p w14:paraId="54A7B2CC"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0832DED"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385B392"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5FA4CE67" w14:textId="77777777" w:rsidTr="00E64054">
        <w:trPr>
          <w:trHeight w:val="43"/>
        </w:trPr>
        <w:tc>
          <w:tcPr>
            <w:tcW w:w="2250" w:type="dxa"/>
          </w:tcPr>
          <w:p w14:paraId="1C8FC23C"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1B352A"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8D35D07"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010086AD" w14:textId="77777777" w:rsidTr="00E64054">
        <w:trPr>
          <w:trHeight w:val="43"/>
        </w:trPr>
        <w:tc>
          <w:tcPr>
            <w:tcW w:w="2250" w:type="dxa"/>
          </w:tcPr>
          <w:p w14:paraId="508F1ECF"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D9DB96D"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DF565A"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12AE4A78" w14:textId="77777777" w:rsidTr="00E64054">
        <w:trPr>
          <w:trHeight w:val="43"/>
        </w:trPr>
        <w:tc>
          <w:tcPr>
            <w:tcW w:w="2250" w:type="dxa"/>
          </w:tcPr>
          <w:p w14:paraId="0C3B555F"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B46CBAB"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004044"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18DC3FD0" w14:textId="77777777" w:rsidTr="00E64054">
        <w:trPr>
          <w:trHeight w:val="43"/>
        </w:trPr>
        <w:tc>
          <w:tcPr>
            <w:tcW w:w="2250" w:type="dxa"/>
          </w:tcPr>
          <w:p w14:paraId="436BA84C"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424491F"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F15F81D"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6383080B" w14:textId="77777777" w:rsidTr="00E64054">
        <w:trPr>
          <w:trHeight w:val="43"/>
        </w:trPr>
        <w:tc>
          <w:tcPr>
            <w:tcW w:w="2250" w:type="dxa"/>
          </w:tcPr>
          <w:p w14:paraId="5488C8C8"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E8B7FAB"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8AD82E2"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7F8BF960" w14:textId="77777777" w:rsidTr="00E64054">
        <w:trPr>
          <w:trHeight w:val="43"/>
        </w:trPr>
        <w:tc>
          <w:tcPr>
            <w:tcW w:w="2250" w:type="dxa"/>
          </w:tcPr>
          <w:p w14:paraId="34D87613"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3675D7"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53A920"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418BBE80" w14:textId="77777777" w:rsidTr="00E64054">
        <w:trPr>
          <w:trHeight w:val="43"/>
        </w:trPr>
        <w:tc>
          <w:tcPr>
            <w:tcW w:w="2250" w:type="dxa"/>
          </w:tcPr>
          <w:p w14:paraId="37EAE664"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9955063"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039B970"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528D02AD" w14:textId="77777777" w:rsidTr="00E64054">
        <w:trPr>
          <w:trHeight w:val="43"/>
        </w:trPr>
        <w:tc>
          <w:tcPr>
            <w:tcW w:w="2250" w:type="dxa"/>
          </w:tcPr>
          <w:p w14:paraId="291812EA"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w:t>
      </w:r>
      <w:r w:rsidR="00857824">
        <w:rPr>
          <w:lang w:eastAsia="zh-CN"/>
        </w:rPr>
        <w:t xml:space="preserve">nly UEs </w:t>
      </w:r>
      <w:r w:rsidR="00857824">
        <w:rPr>
          <w:lang w:eastAsia="zh-CN"/>
        </w:rPr>
        <w:t>supporting</w:t>
      </w:r>
      <w:r w:rsidR="00857824">
        <w:rPr>
          <w:lang w:eastAsia="zh-CN"/>
        </w:rPr>
        <w:t xml:space="preserve">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r w:rsidR="00857824">
        <w:rPr>
          <w:lang w:eastAsia="zh-CN"/>
        </w:rPr>
        <w:t>Any UEs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E64054">
        <w:trPr>
          <w:trHeight w:val="360"/>
        </w:trPr>
        <w:tc>
          <w:tcPr>
            <w:tcW w:w="2250" w:type="dxa"/>
            <w:shd w:val="clear" w:color="auto" w:fill="BFBFBF"/>
          </w:tcPr>
          <w:p w14:paraId="60D351E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Pr>
                <w:rFonts w:eastAsia="Times New Roman" w:cs="Arial"/>
                <w:bCs/>
                <w:szCs w:val="20"/>
                <w:lang w:val="en-GB" w:eastAsia="zh-CN"/>
              </w:rPr>
              <w:t>8</w:t>
            </w:r>
            <w:r>
              <w:rPr>
                <w:rFonts w:eastAsia="Times New Roman" w:cs="Arial"/>
                <w:bCs/>
                <w:szCs w:val="20"/>
                <w:lang w:val="en-GB" w:eastAsia="zh-CN"/>
              </w:rPr>
              <w:t>a/b)</w:t>
            </w:r>
          </w:p>
        </w:tc>
        <w:tc>
          <w:tcPr>
            <w:tcW w:w="5125" w:type="dxa"/>
            <w:shd w:val="clear" w:color="auto" w:fill="BFBFBF"/>
          </w:tcPr>
          <w:p w14:paraId="1574357B" w14:textId="77777777" w:rsidR="004751FD" w:rsidRPr="001D4363" w:rsidRDefault="004751F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E64054">
        <w:trPr>
          <w:trHeight w:val="43"/>
        </w:trPr>
        <w:tc>
          <w:tcPr>
            <w:tcW w:w="2250" w:type="dxa"/>
          </w:tcPr>
          <w:p w14:paraId="44429CC1"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A8472DA"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636EDC2"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78156AED" w14:textId="77777777" w:rsidTr="00E64054">
        <w:trPr>
          <w:trHeight w:val="43"/>
        </w:trPr>
        <w:tc>
          <w:tcPr>
            <w:tcW w:w="2250" w:type="dxa"/>
          </w:tcPr>
          <w:p w14:paraId="4779D7CD"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8589B55"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4BC6C5"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1068CFFE" w14:textId="77777777" w:rsidTr="00E64054">
        <w:trPr>
          <w:trHeight w:val="43"/>
        </w:trPr>
        <w:tc>
          <w:tcPr>
            <w:tcW w:w="2250" w:type="dxa"/>
          </w:tcPr>
          <w:p w14:paraId="68B3ED7F"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AB1473"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3C6E86"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6CE1DF2C" w14:textId="77777777" w:rsidTr="00E64054">
        <w:trPr>
          <w:trHeight w:val="43"/>
        </w:trPr>
        <w:tc>
          <w:tcPr>
            <w:tcW w:w="2250" w:type="dxa"/>
          </w:tcPr>
          <w:p w14:paraId="1FFFF76D"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C3D442"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B2C2A4"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3AA1BF9D" w14:textId="77777777" w:rsidTr="00E64054">
        <w:trPr>
          <w:trHeight w:val="43"/>
        </w:trPr>
        <w:tc>
          <w:tcPr>
            <w:tcW w:w="2250" w:type="dxa"/>
          </w:tcPr>
          <w:p w14:paraId="303B93C5"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A0BEE9"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C8E263"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01E987B3" w14:textId="77777777" w:rsidTr="00E64054">
        <w:trPr>
          <w:trHeight w:val="43"/>
        </w:trPr>
        <w:tc>
          <w:tcPr>
            <w:tcW w:w="2250" w:type="dxa"/>
          </w:tcPr>
          <w:p w14:paraId="6A40C718"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22D47C"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D3E810D"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7CC6E2D8" w14:textId="77777777" w:rsidTr="00E64054">
        <w:trPr>
          <w:trHeight w:val="43"/>
        </w:trPr>
        <w:tc>
          <w:tcPr>
            <w:tcW w:w="2250" w:type="dxa"/>
          </w:tcPr>
          <w:p w14:paraId="77078570"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697085B"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2886C5"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5DECF2AA" w14:textId="77777777" w:rsidTr="00E64054">
        <w:trPr>
          <w:trHeight w:val="43"/>
        </w:trPr>
        <w:tc>
          <w:tcPr>
            <w:tcW w:w="2250" w:type="dxa"/>
          </w:tcPr>
          <w:p w14:paraId="74F969E8"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F60E9C9"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3F58B46"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4C23D8E1" w14:textId="77777777" w:rsidTr="00E64054">
        <w:trPr>
          <w:trHeight w:val="43"/>
        </w:trPr>
        <w:tc>
          <w:tcPr>
            <w:tcW w:w="2250" w:type="dxa"/>
          </w:tcPr>
          <w:p w14:paraId="662655B9"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6"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6"/>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7"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7"/>
    </w:p>
    <w:p w14:paraId="737F2E58" w14:textId="62EE3F8D" w:rsidR="00273E73"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8" w:name="_Ref132661073"/>
      <w:r w:rsidRPr="00AF0BE3">
        <w:rPr>
          <w:rFonts w:cs="Arial"/>
          <w:lang w:val="de-DE"/>
        </w:rPr>
        <w:t>R2-2303862</w:t>
      </w:r>
      <w:r>
        <w:rPr>
          <w:rFonts w:cs="Arial"/>
          <w:lang w:val="de-DE"/>
        </w:rPr>
        <w:t xml:space="preserve">, </w:t>
      </w:r>
      <w:r w:rsidRPr="00AF0BE3">
        <w:rPr>
          <w:rFonts w:cs="Arial"/>
          <w:lang w:val="de-DE"/>
        </w:rPr>
        <w:t>BSR enhancements for XR</w:t>
      </w:r>
      <w:r>
        <w:rPr>
          <w:rFonts w:cs="Arial"/>
          <w:lang w:val="de-DE"/>
        </w:rPr>
        <w:t xml:space="preserve">, </w:t>
      </w:r>
      <w:r w:rsidRPr="00AF0BE3">
        <w:rPr>
          <w:rFonts w:cs="Arial"/>
          <w:lang w:val="de-DE"/>
        </w:rPr>
        <w:t>Nokia, Nokia Shanghai Bell</w:t>
      </w:r>
      <w:r>
        <w:rPr>
          <w:rFonts w:cs="Arial"/>
          <w:lang w:val="de-DE"/>
        </w:rPr>
        <w:t>.</w:t>
      </w:r>
      <w:bookmarkEnd w:id="8"/>
    </w:p>
    <w:p w14:paraId="6908E9C0" w14:textId="5F1EC6C8" w:rsidR="00AF0BE3" w:rsidRPr="0061053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9" w:name="_Ref132661075"/>
      <w:r w:rsidRPr="00C243EF">
        <w:rPr>
          <w:rFonts w:cs="Arial"/>
          <w:lang w:val="de-DE"/>
        </w:rPr>
        <w:t>R2-2302851</w:t>
      </w:r>
      <w:r>
        <w:rPr>
          <w:rFonts w:cs="Arial"/>
          <w:lang w:val="de-DE"/>
        </w:rPr>
        <w:t xml:space="preserve">, </w:t>
      </w:r>
      <w:r w:rsidRPr="00C243EF">
        <w:rPr>
          <w:rFonts w:cs="Arial"/>
          <w:lang w:val="de-DE"/>
        </w:rPr>
        <w:t>BSR enhancements for XR</w:t>
      </w:r>
      <w:r>
        <w:rPr>
          <w:rFonts w:cs="Arial"/>
          <w:lang w:val="de-DE"/>
        </w:rPr>
        <w:t xml:space="preserve">, </w:t>
      </w:r>
      <w:r w:rsidRPr="00C243EF">
        <w:rPr>
          <w:rFonts w:cs="Arial"/>
          <w:lang w:val="de-DE"/>
        </w:rPr>
        <w:t>ZTE Corporation, Sanechips</w:t>
      </w:r>
      <w:r>
        <w:rPr>
          <w:rFonts w:cs="Arial"/>
          <w:lang w:val="de-DE"/>
        </w:rPr>
        <w:t>.</w:t>
      </w:r>
      <w:bookmarkEnd w:id="9"/>
    </w:p>
    <w:sectPr w:rsidR="00AF0BE3" w:rsidRPr="00610534" w:rsidSect="001069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897A" w14:textId="77777777" w:rsidR="003C0ACF" w:rsidRDefault="003C0ACF">
      <w:r>
        <w:separator/>
      </w:r>
    </w:p>
  </w:endnote>
  <w:endnote w:type="continuationSeparator" w:id="0">
    <w:p w14:paraId="01C72912" w14:textId="77777777" w:rsidR="003C0ACF" w:rsidRDefault="003C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89BA" w14:textId="77777777" w:rsidR="003C0ACF" w:rsidRDefault="003C0ACF">
      <w:r>
        <w:separator/>
      </w:r>
    </w:p>
  </w:footnote>
  <w:footnote w:type="continuationSeparator" w:id="0">
    <w:p w14:paraId="4C43F697" w14:textId="77777777" w:rsidR="003C0ACF" w:rsidRDefault="003C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886460">
    <w:abstractNumId w:val="2"/>
  </w:num>
  <w:num w:numId="2" w16cid:durableId="552696670">
    <w:abstractNumId w:val="8"/>
  </w:num>
  <w:num w:numId="3" w16cid:durableId="528182234">
    <w:abstractNumId w:val="9"/>
  </w:num>
  <w:num w:numId="4" w16cid:durableId="255943221">
    <w:abstractNumId w:val="9"/>
  </w:num>
  <w:num w:numId="5" w16cid:durableId="634875108">
    <w:abstractNumId w:val="4"/>
  </w:num>
  <w:num w:numId="6" w16cid:durableId="1030104159">
    <w:abstractNumId w:val="6"/>
  </w:num>
  <w:num w:numId="7" w16cid:durableId="1351562344">
    <w:abstractNumId w:val="7"/>
  </w:num>
  <w:num w:numId="8" w16cid:durableId="1447310213">
    <w:abstractNumId w:val="1"/>
  </w:num>
  <w:num w:numId="9" w16cid:durableId="269508038">
    <w:abstractNumId w:val="3"/>
  </w:num>
  <w:num w:numId="10" w16cid:durableId="1092778164">
    <w:abstractNumId w:val="10"/>
  </w:num>
  <w:num w:numId="11" w16cid:durableId="61027617">
    <w:abstractNumId w:val="11"/>
  </w:num>
  <w:num w:numId="12" w16cid:durableId="853763712">
    <w:abstractNumId w:val="0"/>
  </w:num>
  <w:num w:numId="13" w16cid:durableId="16582510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Ua1AKgn8YUsAAAA"/>
  </w:docVars>
  <w:rsids>
    <w:rsidRoot w:val="00104C28"/>
    <w:rsid w:val="00000070"/>
    <w:rsid w:val="000028DD"/>
    <w:rsid w:val="0000311A"/>
    <w:rsid w:val="000036D8"/>
    <w:rsid w:val="0000455C"/>
    <w:rsid w:val="000059B7"/>
    <w:rsid w:val="00006CE2"/>
    <w:rsid w:val="00006F1F"/>
    <w:rsid w:val="00007885"/>
    <w:rsid w:val="0001045F"/>
    <w:rsid w:val="00011902"/>
    <w:rsid w:val="00012285"/>
    <w:rsid w:val="00012317"/>
    <w:rsid w:val="00012D91"/>
    <w:rsid w:val="0001394D"/>
    <w:rsid w:val="00013C93"/>
    <w:rsid w:val="00015343"/>
    <w:rsid w:val="0001538D"/>
    <w:rsid w:val="00015E9A"/>
    <w:rsid w:val="00020287"/>
    <w:rsid w:val="00020FFE"/>
    <w:rsid w:val="0002181B"/>
    <w:rsid w:val="00022169"/>
    <w:rsid w:val="0002273B"/>
    <w:rsid w:val="00022FBC"/>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4991"/>
    <w:rsid w:val="000549C2"/>
    <w:rsid w:val="000559F7"/>
    <w:rsid w:val="0005707A"/>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88"/>
    <w:rsid w:val="000A7328"/>
    <w:rsid w:val="000A787E"/>
    <w:rsid w:val="000A7D94"/>
    <w:rsid w:val="000B47D4"/>
    <w:rsid w:val="000C0661"/>
    <w:rsid w:val="000C183F"/>
    <w:rsid w:val="000C1C71"/>
    <w:rsid w:val="000C2E15"/>
    <w:rsid w:val="000C3430"/>
    <w:rsid w:val="000C4050"/>
    <w:rsid w:val="000C4330"/>
    <w:rsid w:val="000C6C63"/>
    <w:rsid w:val="000D0D00"/>
    <w:rsid w:val="000D1253"/>
    <w:rsid w:val="000E2DC8"/>
    <w:rsid w:val="000E3401"/>
    <w:rsid w:val="000E47A9"/>
    <w:rsid w:val="000F2D1B"/>
    <w:rsid w:val="000F32FC"/>
    <w:rsid w:val="000F38FA"/>
    <w:rsid w:val="000F4E42"/>
    <w:rsid w:val="000F66AE"/>
    <w:rsid w:val="000F7033"/>
    <w:rsid w:val="00103464"/>
    <w:rsid w:val="00104ACF"/>
    <w:rsid w:val="00104B6A"/>
    <w:rsid w:val="00104C28"/>
    <w:rsid w:val="001065E3"/>
    <w:rsid w:val="001069AD"/>
    <w:rsid w:val="00106C7C"/>
    <w:rsid w:val="00110ACC"/>
    <w:rsid w:val="001117D5"/>
    <w:rsid w:val="001119D7"/>
    <w:rsid w:val="00111AA3"/>
    <w:rsid w:val="001125AB"/>
    <w:rsid w:val="00113632"/>
    <w:rsid w:val="001159CB"/>
    <w:rsid w:val="00116F90"/>
    <w:rsid w:val="00117AF8"/>
    <w:rsid w:val="00120D47"/>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067"/>
    <w:rsid w:val="00164767"/>
    <w:rsid w:val="001648FB"/>
    <w:rsid w:val="001659F2"/>
    <w:rsid w:val="00166B2C"/>
    <w:rsid w:val="00170458"/>
    <w:rsid w:val="001707AA"/>
    <w:rsid w:val="00172C20"/>
    <w:rsid w:val="00173E9E"/>
    <w:rsid w:val="00175BDE"/>
    <w:rsid w:val="00176198"/>
    <w:rsid w:val="0017765F"/>
    <w:rsid w:val="0018001E"/>
    <w:rsid w:val="00182EDA"/>
    <w:rsid w:val="0018431E"/>
    <w:rsid w:val="0018457F"/>
    <w:rsid w:val="001855F5"/>
    <w:rsid w:val="00185705"/>
    <w:rsid w:val="00191C5C"/>
    <w:rsid w:val="001924EE"/>
    <w:rsid w:val="00192610"/>
    <w:rsid w:val="00192AC1"/>
    <w:rsid w:val="001934BF"/>
    <w:rsid w:val="00194E7F"/>
    <w:rsid w:val="001957E0"/>
    <w:rsid w:val="001970E1"/>
    <w:rsid w:val="0019751B"/>
    <w:rsid w:val="001A241E"/>
    <w:rsid w:val="001A3300"/>
    <w:rsid w:val="001A7BB7"/>
    <w:rsid w:val="001A7EED"/>
    <w:rsid w:val="001B241A"/>
    <w:rsid w:val="001B24BB"/>
    <w:rsid w:val="001B27D9"/>
    <w:rsid w:val="001B3F84"/>
    <w:rsid w:val="001B6DCD"/>
    <w:rsid w:val="001B78F8"/>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6996"/>
    <w:rsid w:val="001E6A9C"/>
    <w:rsid w:val="001E7986"/>
    <w:rsid w:val="001F13E9"/>
    <w:rsid w:val="001F5CA1"/>
    <w:rsid w:val="001F6DD2"/>
    <w:rsid w:val="002013B3"/>
    <w:rsid w:val="002013B8"/>
    <w:rsid w:val="002114D0"/>
    <w:rsid w:val="00211629"/>
    <w:rsid w:val="002124EE"/>
    <w:rsid w:val="00212767"/>
    <w:rsid w:val="002129BC"/>
    <w:rsid w:val="00212EAC"/>
    <w:rsid w:val="002145A5"/>
    <w:rsid w:val="002151D5"/>
    <w:rsid w:val="0021635A"/>
    <w:rsid w:val="00217ECC"/>
    <w:rsid w:val="002201DA"/>
    <w:rsid w:val="0022348B"/>
    <w:rsid w:val="0022461D"/>
    <w:rsid w:val="00224D9F"/>
    <w:rsid w:val="0022515C"/>
    <w:rsid w:val="002251BE"/>
    <w:rsid w:val="00225596"/>
    <w:rsid w:val="00225E2B"/>
    <w:rsid w:val="00226C55"/>
    <w:rsid w:val="0023429F"/>
    <w:rsid w:val="00235187"/>
    <w:rsid w:val="0023605A"/>
    <w:rsid w:val="00236C80"/>
    <w:rsid w:val="002411BF"/>
    <w:rsid w:val="00241971"/>
    <w:rsid w:val="00243FD5"/>
    <w:rsid w:val="00244267"/>
    <w:rsid w:val="00245247"/>
    <w:rsid w:val="00245BEF"/>
    <w:rsid w:val="00246E62"/>
    <w:rsid w:val="00247E98"/>
    <w:rsid w:val="00250587"/>
    <w:rsid w:val="00251125"/>
    <w:rsid w:val="00253207"/>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BCA"/>
    <w:rsid w:val="00281CBD"/>
    <w:rsid w:val="00282D57"/>
    <w:rsid w:val="00282EED"/>
    <w:rsid w:val="00283532"/>
    <w:rsid w:val="00283E2E"/>
    <w:rsid w:val="00284BB3"/>
    <w:rsid w:val="0028711E"/>
    <w:rsid w:val="002902F8"/>
    <w:rsid w:val="00290477"/>
    <w:rsid w:val="002910E8"/>
    <w:rsid w:val="00292931"/>
    <w:rsid w:val="00295270"/>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EF6"/>
    <w:rsid w:val="002C36EB"/>
    <w:rsid w:val="002C4082"/>
    <w:rsid w:val="002C59C4"/>
    <w:rsid w:val="002C64D1"/>
    <w:rsid w:val="002C6AEE"/>
    <w:rsid w:val="002D0EED"/>
    <w:rsid w:val="002D4900"/>
    <w:rsid w:val="002D744D"/>
    <w:rsid w:val="002E0414"/>
    <w:rsid w:val="002E1A79"/>
    <w:rsid w:val="002E2E10"/>
    <w:rsid w:val="002E319E"/>
    <w:rsid w:val="002E3B0E"/>
    <w:rsid w:val="002E4760"/>
    <w:rsid w:val="002E4EEF"/>
    <w:rsid w:val="002E5DB0"/>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4374B"/>
    <w:rsid w:val="00344425"/>
    <w:rsid w:val="0034600C"/>
    <w:rsid w:val="003460C2"/>
    <w:rsid w:val="00352AF7"/>
    <w:rsid w:val="00352BFE"/>
    <w:rsid w:val="00354E24"/>
    <w:rsid w:val="0035547C"/>
    <w:rsid w:val="00357E63"/>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7793"/>
    <w:rsid w:val="003A5C51"/>
    <w:rsid w:val="003A650D"/>
    <w:rsid w:val="003A6DB9"/>
    <w:rsid w:val="003B78DC"/>
    <w:rsid w:val="003C0ACF"/>
    <w:rsid w:val="003C1556"/>
    <w:rsid w:val="003C1C5D"/>
    <w:rsid w:val="003C45F5"/>
    <w:rsid w:val="003D0396"/>
    <w:rsid w:val="003D09AA"/>
    <w:rsid w:val="003D0D78"/>
    <w:rsid w:val="003D1447"/>
    <w:rsid w:val="003D47A5"/>
    <w:rsid w:val="003D49F3"/>
    <w:rsid w:val="003D63E9"/>
    <w:rsid w:val="003D7733"/>
    <w:rsid w:val="003E0B06"/>
    <w:rsid w:val="003E1155"/>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3769"/>
    <w:rsid w:val="00404870"/>
    <w:rsid w:val="00406447"/>
    <w:rsid w:val="004074EE"/>
    <w:rsid w:val="004077CE"/>
    <w:rsid w:val="004079C4"/>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41F37"/>
    <w:rsid w:val="004436AD"/>
    <w:rsid w:val="00445733"/>
    <w:rsid w:val="00445A1F"/>
    <w:rsid w:val="00445F25"/>
    <w:rsid w:val="00445FD8"/>
    <w:rsid w:val="00446567"/>
    <w:rsid w:val="00446BDF"/>
    <w:rsid w:val="00447C05"/>
    <w:rsid w:val="00450FA7"/>
    <w:rsid w:val="00451134"/>
    <w:rsid w:val="00451A3A"/>
    <w:rsid w:val="00454A42"/>
    <w:rsid w:val="0045505F"/>
    <w:rsid w:val="00455C91"/>
    <w:rsid w:val="004564A2"/>
    <w:rsid w:val="0046226A"/>
    <w:rsid w:val="00462E26"/>
    <w:rsid w:val="0046391B"/>
    <w:rsid w:val="00463D82"/>
    <w:rsid w:val="0046458C"/>
    <w:rsid w:val="004661AB"/>
    <w:rsid w:val="0047097D"/>
    <w:rsid w:val="00471D94"/>
    <w:rsid w:val="004751FD"/>
    <w:rsid w:val="00475854"/>
    <w:rsid w:val="00481F24"/>
    <w:rsid w:val="00482878"/>
    <w:rsid w:val="0048287D"/>
    <w:rsid w:val="0048475F"/>
    <w:rsid w:val="00491971"/>
    <w:rsid w:val="004937FA"/>
    <w:rsid w:val="00495D5A"/>
    <w:rsid w:val="00496613"/>
    <w:rsid w:val="004976F2"/>
    <w:rsid w:val="004A10CE"/>
    <w:rsid w:val="004A5FD9"/>
    <w:rsid w:val="004A65C8"/>
    <w:rsid w:val="004A6A78"/>
    <w:rsid w:val="004A7071"/>
    <w:rsid w:val="004B0216"/>
    <w:rsid w:val="004B0DE7"/>
    <w:rsid w:val="004B10DE"/>
    <w:rsid w:val="004B1399"/>
    <w:rsid w:val="004B24C3"/>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273A"/>
    <w:rsid w:val="00503F4B"/>
    <w:rsid w:val="00504D78"/>
    <w:rsid w:val="00505AC7"/>
    <w:rsid w:val="005068DE"/>
    <w:rsid w:val="00506CD5"/>
    <w:rsid w:val="005073E2"/>
    <w:rsid w:val="00507AAC"/>
    <w:rsid w:val="00510DAC"/>
    <w:rsid w:val="00513A0A"/>
    <w:rsid w:val="00514C2F"/>
    <w:rsid w:val="00517B15"/>
    <w:rsid w:val="00520C68"/>
    <w:rsid w:val="00521890"/>
    <w:rsid w:val="0052219A"/>
    <w:rsid w:val="00522620"/>
    <w:rsid w:val="00522CAB"/>
    <w:rsid w:val="00523C5D"/>
    <w:rsid w:val="005241C8"/>
    <w:rsid w:val="0052581A"/>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75BA"/>
    <w:rsid w:val="00560550"/>
    <w:rsid w:val="0056154E"/>
    <w:rsid w:val="00561EA2"/>
    <w:rsid w:val="005628F6"/>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0F8F"/>
    <w:rsid w:val="005A10D4"/>
    <w:rsid w:val="005A75B8"/>
    <w:rsid w:val="005B0E5B"/>
    <w:rsid w:val="005B175F"/>
    <w:rsid w:val="005B4B64"/>
    <w:rsid w:val="005B71A4"/>
    <w:rsid w:val="005B7C5E"/>
    <w:rsid w:val="005B7E9E"/>
    <w:rsid w:val="005C068D"/>
    <w:rsid w:val="005C1432"/>
    <w:rsid w:val="005C16E7"/>
    <w:rsid w:val="005C35B3"/>
    <w:rsid w:val="005C37C3"/>
    <w:rsid w:val="005C4644"/>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C02"/>
    <w:rsid w:val="005F6FED"/>
    <w:rsid w:val="005F7274"/>
    <w:rsid w:val="005F72A4"/>
    <w:rsid w:val="005F7968"/>
    <w:rsid w:val="0060026E"/>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3000F"/>
    <w:rsid w:val="00630099"/>
    <w:rsid w:val="00630BF2"/>
    <w:rsid w:val="006326B2"/>
    <w:rsid w:val="006339DA"/>
    <w:rsid w:val="00634B5D"/>
    <w:rsid w:val="0064144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45C2"/>
    <w:rsid w:val="00685EC0"/>
    <w:rsid w:val="0069035F"/>
    <w:rsid w:val="00690466"/>
    <w:rsid w:val="00691624"/>
    <w:rsid w:val="006917D0"/>
    <w:rsid w:val="00691AA7"/>
    <w:rsid w:val="006A27CD"/>
    <w:rsid w:val="006A3181"/>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4154"/>
    <w:rsid w:val="006D4E7E"/>
    <w:rsid w:val="006D5962"/>
    <w:rsid w:val="006E0D06"/>
    <w:rsid w:val="006E27D1"/>
    <w:rsid w:val="006E712A"/>
    <w:rsid w:val="006E7D43"/>
    <w:rsid w:val="006F19EB"/>
    <w:rsid w:val="006F1DF0"/>
    <w:rsid w:val="006F30A0"/>
    <w:rsid w:val="006F313D"/>
    <w:rsid w:val="006F334A"/>
    <w:rsid w:val="00700574"/>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EDE"/>
    <w:rsid w:val="00743221"/>
    <w:rsid w:val="0074389C"/>
    <w:rsid w:val="00745917"/>
    <w:rsid w:val="00745D72"/>
    <w:rsid w:val="00745F51"/>
    <w:rsid w:val="00746EFD"/>
    <w:rsid w:val="00747D1D"/>
    <w:rsid w:val="00750D3B"/>
    <w:rsid w:val="00754D02"/>
    <w:rsid w:val="00755199"/>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183B"/>
    <w:rsid w:val="007A1F3A"/>
    <w:rsid w:val="007A30B3"/>
    <w:rsid w:val="007A3946"/>
    <w:rsid w:val="007A51D9"/>
    <w:rsid w:val="007B0272"/>
    <w:rsid w:val="007B149C"/>
    <w:rsid w:val="007B3F01"/>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6506"/>
    <w:rsid w:val="00837521"/>
    <w:rsid w:val="00837548"/>
    <w:rsid w:val="00837DB0"/>
    <w:rsid w:val="00840192"/>
    <w:rsid w:val="00842FC0"/>
    <w:rsid w:val="008439DF"/>
    <w:rsid w:val="008440E1"/>
    <w:rsid w:val="00845A19"/>
    <w:rsid w:val="008475FA"/>
    <w:rsid w:val="00856A5F"/>
    <w:rsid w:val="008576A8"/>
    <w:rsid w:val="00857824"/>
    <w:rsid w:val="00857E07"/>
    <w:rsid w:val="008602CC"/>
    <w:rsid w:val="008602D1"/>
    <w:rsid w:val="008609A4"/>
    <w:rsid w:val="00861205"/>
    <w:rsid w:val="00861C5F"/>
    <w:rsid w:val="00864238"/>
    <w:rsid w:val="008703ED"/>
    <w:rsid w:val="008751B4"/>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807"/>
    <w:rsid w:val="008B7A19"/>
    <w:rsid w:val="008C1C17"/>
    <w:rsid w:val="008C226A"/>
    <w:rsid w:val="008C24A8"/>
    <w:rsid w:val="008C3CEF"/>
    <w:rsid w:val="008C3D3B"/>
    <w:rsid w:val="008C3DE9"/>
    <w:rsid w:val="008C48B7"/>
    <w:rsid w:val="008C5D0F"/>
    <w:rsid w:val="008C68D2"/>
    <w:rsid w:val="008C6B29"/>
    <w:rsid w:val="008D117D"/>
    <w:rsid w:val="008D1AA1"/>
    <w:rsid w:val="008D29D3"/>
    <w:rsid w:val="008D3369"/>
    <w:rsid w:val="008D429B"/>
    <w:rsid w:val="008D511C"/>
    <w:rsid w:val="008D5FF4"/>
    <w:rsid w:val="008D6B87"/>
    <w:rsid w:val="008E0B00"/>
    <w:rsid w:val="008E1744"/>
    <w:rsid w:val="008E203F"/>
    <w:rsid w:val="008E32C7"/>
    <w:rsid w:val="008E6AB8"/>
    <w:rsid w:val="008E78DC"/>
    <w:rsid w:val="008F0178"/>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20727"/>
    <w:rsid w:val="009216EB"/>
    <w:rsid w:val="00926CC2"/>
    <w:rsid w:val="009300B3"/>
    <w:rsid w:val="00930436"/>
    <w:rsid w:val="0093141D"/>
    <w:rsid w:val="00931710"/>
    <w:rsid w:val="00933EDB"/>
    <w:rsid w:val="009350CE"/>
    <w:rsid w:val="00942157"/>
    <w:rsid w:val="009421DE"/>
    <w:rsid w:val="009436E5"/>
    <w:rsid w:val="00943939"/>
    <w:rsid w:val="00945C7C"/>
    <w:rsid w:val="00946BC1"/>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7330"/>
    <w:rsid w:val="009C0ACC"/>
    <w:rsid w:val="009C1EC5"/>
    <w:rsid w:val="009C38E7"/>
    <w:rsid w:val="009C3E47"/>
    <w:rsid w:val="009C6E39"/>
    <w:rsid w:val="009C704F"/>
    <w:rsid w:val="009D11CF"/>
    <w:rsid w:val="009D3FEF"/>
    <w:rsid w:val="009D6008"/>
    <w:rsid w:val="009D6279"/>
    <w:rsid w:val="009D725A"/>
    <w:rsid w:val="009D750F"/>
    <w:rsid w:val="009E2E2D"/>
    <w:rsid w:val="009E4CF7"/>
    <w:rsid w:val="009E5F43"/>
    <w:rsid w:val="009E63F8"/>
    <w:rsid w:val="009E6872"/>
    <w:rsid w:val="009E76FD"/>
    <w:rsid w:val="009E7C72"/>
    <w:rsid w:val="009E7DAD"/>
    <w:rsid w:val="009F139E"/>
    <w:rsid w:val="009F1629"/>
    <w:rsid w:val="009F285E"/>
    <w:rsid w:val="009F39CF"/>
    <w:rsid w:val="009F567F"/>
    <w:rsid w:val="009F58B8"/>
    <w:rsid w:val="009F6FA5"/>
    <w:rsid w:val="009F751D"/>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FCB"/>
    <w:rsid w:val="00A42B69"/>
    <w:rsid w:val="00A4449E"/>
    <w:rsid w:val="00A4484B"/>
    <w:rsid w:val="00A45455"/>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77"/>
    <w:rsid w:val="00A611FD"/>
    <w:rsid w:val="00A612B3"/>
    <w:rsid w:val="00A61A6E"/>
    <w:rsid w:val="00A62738"/>
    <w:rsid w:val="00A63CBB"/>
    <w:rsid w:val="00A64957"/>
    <w:rsid w:val="00A67B53"/>
    <w:rsid w:val="00A70266"/>
    <w:rsid w:val="00A7159D"/>
    <w:rsid w:val="00A71D51"/>
    <w:rsid w:val="00A73236"/>
    <w:rsid w:val="00A75301"/>
    <w:rsid w:val="00A7536A"/>
    <w:rsid w:val="00A7695D"/>
    <w:rsid w:val="00A769F6"/>
    <w:rsid w:val="00A76DFF"/>
    <w:rsid w:val="00A819B0"/>
    <w:rsid w:val="00A8485B"/>
    <w:rsid w:val="00A863E6"/>
    <w:rsid w:val="00A87D00"/>
    <w:rsid w:val="00A91674"/>
    <w:rsid w:val="00A92227"/>
    <w:rsid w:val="00A94311"/>
    <w:rsid w:val="00A94406"/>
    <w:rsid w:val="00A95FE8"/>
    <w:rsid w:val="00A965A7"/>
    <w:rsid w:val="00A97391"/>
    <w:rsid w:val="00A97F4D"/>
    <w:rsid w:val="00AA093D"/>
    <w:rsid w:val="00AA3277"/>
    <w:rsid w:val="00AA36EE"/>
    <w:rsid w:val="00AA384B"/>
    <w:rsid w:val="00AA44F4"/>
    <w:rsid w:val="00AA61B3"/>
    <w:rsid w:val="00AA6865"/>
    <w:rsid w:val="00AA7495"/>
    <w:rsid w:val="00AA7EF8"/>
    <w:rsid w:val="00AB0352"/>
    <w:rsid w:val="00AB0C1E"/>
    <w:rsid w:val="00AB1BAC"/>
    <w:rsid w:val="00AB2702"/>
    <w:rsid w:val="00AB49FE"/>
    <w:rsid w:val="00AB5F1A"/>
    <w:rsid w:val="00AB6C0A"/>
    <w:rsid w:val="00AB6F51"/>
    <w:rsid w:val="00AB701F"/>
    <w:rsid w:val="00AB7475"/>
    <w:rsid w:val="00AB7A56"/>
    <w:rsid w:val="00AB7C1C"/>
    <w:rsid w:val="00AC0455"/>
    <w:rsid w:val="00AC13BF"/>
    <w:rsid w:val="00AC2E18"/>
    <w:rsid w:val="00AC2EA6"/>
    <w:rsid w:val="00AC613D"/>
    <w:rsid w:val="00AC644A"/>
    <w:rsid w:val="00AC6A18"/>
    <w:rsid w:val="00AD0067"/>
    <w:rsid w:val="00AD2FCC"/>
    <w:rsid w:val="00AE052B"/>
    <w:rsid w:val="00AE26F4"/>
    <w:rsid w:val="00AE3D1E"/>
    <w:rsid w:val="00AE4484"/>
    <w:rsid w:val="00AE4A63"/>
    <w:rsid w:val="00AE55BF"/>
    <w:rsid w:val="00AE574F"/>
    <w:rsid w:val="00AE57F7"/>
    <w:rsid w:val="00AE77FF"/>
    <w:rsid w:val="00AE7F43"/>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B51"/>
    <w:rsid w:val="00B1766A"/>
    <w:rsid w:val="00B250D5"/>
    <w:rsid w:val="00B26CFB"/>
    <w:rsid w:val="00B270CE"/>
    <w:rsid w:val="00B301E5"/>
    <w:rsid w:val="00B32D49"/>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4B99"/>
    <w:rsid w:val="00B77417"/>
    <w:rsid w:val="00B7795F"/>
    <w:rsid w:val="00B821A7"/>
    <w:rsid w:val="00B843DF"/>
    <w:rsid w:val="00B845DD"/>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9E9"/>
    <w:rsid w:val="00BB58AE"/>
    <w:rsid w:val="00BC02B0"/>
    <w:rsid w:val="00BC740F"/>
    <w:rsid w:val="00BD0495"/>
    <w:rsid w:val="00BD0CC3"/>
    <w:rsid w:val="00BD12AC"/>
    <w:rsid w:val="00BD34F9"/>
    <w:rsid w:val="00BD57B1"/>
    <w:rsid w:val="00BD64D2"/>
    <w:rsid w:val="00BD7ACF"/>
    <w:rsid w:val="00BE286E"/>
    <w:rsid w:val="00BE4B38"/>
    <w:rsid w:val="00BE4D1B"/>
    <w:rsid w:val="00BE6047"/>
    <w:rsid w:val="00BF144B"/>
    <w:rsid w:val="00BF263D"/>
    <w:rsid w:val="00BF59CB"/>
    <w:rsid w:val="00BF5BA1"/>
    <w:rsid w:val="00BF5E6F"/>
    <w:rsid w:val="00BF7D26"/>
    <w:rsid w:val="00C00654"/>
    <w:rsid w:val="00C01B12"/>
    <w:rsid w:val="00C02D53"/>
    <w:rsid w:val="00C03882"/>
    <w:rsid w:val="00C03A50"/>
    <w:rsid w:val="00C03E9D"/>
    <w:rsid w:val="00C04BF5"/>
    <w:rsid w:val="00C04DC6"/>
    <w:rsid w:val="00C07320"/>
    <w:rsid w:val="00C126DD"/>
    <w:rsid w:val="00C126E2"/>
    <w:rsid w:val="00C1291C"/>
    <w:rsid w:val="00C145B6"/>
    <w:rsid w:val="00C157C3"/>
    <w:rsid w:val="00C17882"/>
    <w:rsid w:val="00C20CA4"/>
    <w:rsid w:val="00C243EF"/>
    <w:rsid w:val="00C2573C"/>
    <w:rsid w:val="00C26256"/>
    <w:rsid w:val="00C26776"/>
    <w:rsid w:val="00C27811"/>
    <w:rsid w:val="00C31BD2"/>
    <w:rsid w:val="00C35252"/>
    <w:rsid w:val="00C36420"/>
    <w:rsid w:val="00C36C06"/>
    <w:rsid w:val="00C40D15"/>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B7B"/>
    <w:rsid w:val="00C669E7"/>
    <w:rsid w:val="00C67066"/>
    <w:rsid w:val="00C73834"/>
    <w:rsid w:val="00C7413F"/>
    <w:rsid w:val="00C74C29"/>
    <w:rsid w:val="00C7694B"/>
    <w:rsid w:val="00C800BD"/>
    <w:rsid w:val="00C80682"/>
    <w:rsid w:val="00C80F08"/>
    <w:rsid w:val="00C81E71"/>
    <w:rsid w:val="00C827E0"/>
    <w:rsid w:val="00C8643C"/>
    <w:rsid w:val="00C953B2"/>
    <w:rsid w:val="00C96A72"/>
    <w:rsid w:val="00C9729B"/>
    <w:rsid w:val="00CA1C76"/>
    <w:rsid w:val="00CA280A"/>
    <w:rsid w:val="00CA2D5F"/>
    <w:rsid w:val="00CA315B"/>
    <w:rsid w:val="00CA6C6A"/>
    <w:rsid w:val="00CA780A"/>
    <w:rsid w:val="00CA7D00"/>
    <w:rsid w:val="00CB1753"/>
    <w:rsid w:val="00CB2B87"/>
    <w:rsid w:val="00CB62FC"/>
    <w:rsid w:val="00CB7442"/>
    <w:rsid w:val="00CB7AFC"/>
    <w:rsid w:val="00CC00D8"/>
    <w:rsid w:val="00CC0FD8"/>
    <w:rsid w:val="00CC148D"/>
    <w:rsid w:val="00CC1F1A"/>
    <w:rsid w:val="00CC20FC"/>
    <w:rsid w:val="00CC2C63"/>
    <w:rsid w:val="00CC308A"/>
    <w:rsid w:val="00CC48E8"/>
    <w:rsid w:val="00CC51F7"/>
    <w:rsid w:val="00CC5C27"/>
    <w:rsid w:val="00CD264B"/>
    <w:rsid w:val="00CD4456"/>
    <w:rsid w:val="00CD51AF"/>
    <w:rsid w:val="00CD63F4"/>
    <w:rsid w:val="00CD67B3"/>
    <w:rsid w:val="00CD6F32"/>
    <w:rsid w:val="00CE0CB7"/>
    <w:rsid w:val="00CE0F0E"/>
    <w:rsid w:val="00CE3462"/>
    <w:rsid w:val="00CE373D"/>
    <w:rsid w:val="00CF0562"/>
    <w:rsid w:val="00CF063B"/>
    <w:rsid w:val="00CF1B9A"/>
    <w:rsid w:val="00CF2221"/>
    <w:rsid w:val="00CF55A0"/>
    <w:rsid w:val="00CF55F3"/>
    <w:rsid w:val="00CF6CA1"/>
    <w:rsid w:val="00D00333"/>
    <w:rsid w:val="00D043A7"/>
    <w:rsid w:val="00D06F55"/>
    <w:rsid w:val="00D121A1"/>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6B64"/>
    <w:rsid w:val="00D87F0D"/>
    <w:rsid w:val="00D9033D"/>
    <w:rsid w:val="00D918AE"/>
    <w:rsid w:val="00D919E7"/>
    <w:rsid w:val="00D92185"/>
    <w:rsid w:val="00D936ED"/>
    <w:rsid w:val="00D94ABB"/>
    <w:rsid w:val="00D95511"/>
    <w:rsid w:val="00D95D58"/>
    <w:rsid w:val="00D97D81"/>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62E80"/>
    <w:rsid w:val="00E62EEC"/>
    <w:rsid w:val="00E63AF7"/>
    <w:rsid w:val="00E63B32"/>
    <w:rsid w:val="00E64E02"/>
    <w:rsid w:val="00E650C9"/>
    <w:rsid w:val="00E6616F"/>
    <w:rsid w:val="00E664B2"/>
    <w:rsid w:val="00E67D5F"/>
    <w:rsid w:val="00E70F2F"/>
    <w:rsid w:val="00E735C3"/>
    <w:rsid w:val="00E73A30"/>
    <w:rsid w:val="00E73A3F"/>
    <w:rsid w:val="00E753B0"/>
    <w:rsid w:val="00E76059"/>
    <w:rsid w:val="00E76466"/>
    <w:rsid w:val="00E806E2"/>
    <w:rsid w:val="00E83856"/>
    <w:rsid w:val="00E84D8A"/>
    <w:rsid w:val="00E852A2"/>
    <w:rsid w:val="00E861C7"/>
    <w:rsid w:val="00E87830"/>
    <w:rsid w:val="00E93554"/>
    <w:rsid w:val="00E95697"/>
    <w:rsid w:val="00E95D22"/>
    <w:rsid w:val="00EA242B"/>
    <w:rsid w:val="00EA2B3C"/>
    <w:rsid w:val="00EB0DA4"/>
    <w:rsid w:val="00EB3575"/>
    <w:rsid w:val="00EB4152"/>
    <w:rsid w:val="00EB478B"/>
    <w:rsid w:val="00EB63D8"/>
    <w:rsid w:val="00EB6504"/>
    <w:rsid w:val="00EB78EC"/>
    <w:rsid w:val="00EC002E"/>
    <w:rsid w:val="00EC06E6"/>
    <w:rsid w:val="00EC2DAD"/>
    <w:rsid w:val="00EC4A3E"/>
    <w:rsid w:val="00EC5518"/>
    <w:rsid w:val="00EC6E26"/>
    <w:rsid w:val="00EC76DA"/>
    <w:rsid w:val="00ED6687"/>
    <w:rsid w:val="00ED679C"/>
    <w:rsid w:val="00ED715D"/>
    <w:rsid w:val="00ED774A"/>
    <w:rsid w:val="00EE126B"/>
    <w:rsid w:val="00EE1477"/>
    <w:rsid w:val="00EE1D42"/>
    <w:rsid w:val="00EE2F4B"/>
    <w:rsid w:val="00EE4333"/>
    <w:rsid w:val="00EE4652"/>
    <w:rsid w:val="00EE7973"/>
    <w:rsid w:val="00EF0AF6"/>
    <w:rsid w:val="00EF2136"/>
    <w:rsid w:val="00EF23D2"/>
    <w:rsid w:val="00EF3564"/>
    <w:rsid w:val="00EF3F7D"/>
    <w:rsid w:val="00EF4D82"/>
    <w:rsid w:val="00EF6744"/>
    <w:rsid w:val="00F00B9C"/>
    <w:rsid w:val="00F0507B"/>
    <w:rsid w:val="00F06A51"/>
    <w:rsid w:val="00F070E0"/>
    <w:rsid w:val="00F117AC"/>
    <w:rsid w:val="00F120D3"/>
    <w:rsid w:val="00F124D1"/>
    <w:rsid w:val="00F13A97"/>
    <w:rsid w:val="00F1506E"/>
    <w:rsid w:val="00F151A0"/>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BD6"/>
    <w:rsid w:val="00F342CC"/>
    <w:rsid w:val="00F34380"/>
    <w:rsid w:val="00F35331"/>
    <w:rsid w:val="00F36ACA"/>
    <w:rsid w:val="00F40111"/>
    <w:rsid w:val="00F40933"/>
    <w:rsid w:val="00F40A16"/>
    <w:rsid w:val="00F41EAD"/>
    <w:rsid w:val="00F42A18"/>
    <w:rsid w:val="00F42E1E"/>
    <w:rsid w:val="00F42FEF"/>
    <w:rsid w:val="00F52A9B"/>
    <w:rsid w:val="00F53732"/>
    <w:rsid w:val="00F53D54"/>
    <w:rsid w:val="00F555FB"/>
    <w:rsid w:val="00F558B4"/>
    <w:rsid w:val="00F55A37"/>
    <w:rsid w:val="00F56FC3"/>
    <w:rsid w:val="00F57840"/>
    <w:rsid w:val="00F611EB"/>
    <w:rsid w:val="00F64394"/>
    <w:rsid w:val="00F70250"/>
    <w:rsid w:val="00F7069A"/>
    <w:rsid w:val="00F709BF"/>
    <w:rsid w:val="00F726B8"/>
    <w:rsid w:val="00F804CF"/>
    <w:rsid w:val="00F86087"/>
    <w:rsid w:val="00F87918"/>
    <w:rsid w:val="00F9277A"/>
    <w:rsid w:val="00F9288C"/>
    <w:rsid w:val="00F96788"/>
    <w:rsid w:val="00FA06EB"/>
    <w:rsid w:val="00FA1742"/>
    <w:rsid w:val="00FA239A"/>
    <w:rsid w:val="00FA27C0"/>
    <w:rsid w:val="00FA2C54"/>
    <w:rsid w:val="00FA4143"/>
    <w:rsid w:val="00FA532B"/>
    <w:rsid w:val="00FA62B9"/>
    <w:rsid w:val="00FA69D3"/>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7801"/>
    <w:rsid w:val="00FE49DD"/>
    <w:rsid w:val="00FE4A83"/>
    <w:rsid w:val="00FE53A3"/>
    <w:rsid w:val="00FF1F80"/>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43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688</TotalTime>
  <Pages>8</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10878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QC</cp:lastModifiedBy>
  <cp:revision>331</cp:revision>
  <cp:lastPrinted>2009-10-21T14:47:00Z</cp:lastPrinted>
  <dcterms:created xsi:type="dcterms:W3CDTF">2023-04-17T22:04:00Z</dcterms:created>
  <dcterms:modified xsi:type="dcterms:W3CDTF">2023-04-18T18:58:00Z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