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89C" w14:textId="77777777"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[AT121bis-e][108][NR NTN Enh]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Heading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Strong"/>
          <w:rFonts w:ascii="Wingdings" w:hAnsi="Wingdings"/>
          <w:b/>
          <w:bCs w:val="0"/>
        </w:rPr>
        <w:t></w:t>
      </w:r>
      <w:r>
        <w:rPr>
          <w:rStyle w:val="Strong"/>
          <w:b/>
          <w:bCs w:val="0"/>
        </w:rPr>
        <w:t>[AT121bis-e][108][NR NTN Enh]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r>
              <w:rPr>
                <w:rFonts w:eastAsia="SimSun"/>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w:t>
            </w:r>
            <w:r>
              <w:rPr>
                <w:rFonts w:eastAsiaTheme="minorEastAsia"/>
                <w:sz w:val="20"/>
                <w:lang w:val="en-US" w:eastAsia="zh-CN"/>
              </w:rPr>
              <w:t>iaolong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Zhihong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Transsion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A</w:t>
            </w:r>
            <w:r w:rsidRPr="00BC48F3">
              <w:rPr>
                <w:rFonts w:eastAsia="DengXian"/>
                <w:sz w:val="20"/>
                <w:lang w:val="en-US" w:eastAsia="zh-CN"/>
              </w:rPr>
              <w:t>SUSTeK</w:t>
            </w:r>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hint="eastAsia"/>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hint="eastAsia"/>
                <w:sz w:val="20"/>
                <w:lang w:val="en-US" w:eastAsia="zh-CN"/>
              </w:rPr>
            </w:pPr>
            <w:r>
              <w:rPr>
                <w:rFonts w:eastAsia="DengXian"/>
                <w:sz w:val="20"/>
                <w:lang w:val="en-US" w:eastAsia="zh-CN"/>
              </w:rPr>
              <w:t>Tangxun</w:t>
            </w:r>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hint="eastAsia"/>
                <w:sz w:val="20"/>
                <w:lang w:val="en-US" w:eastAsia="zh-CN"/>
              </w:rPr>
            </w:pPr>
            <w:r>
              <w:rPr>
                <w:rFonts w:eastAsia="DengXian"/>
                <w:sz w:val="20"/>
                <w:lang w:val="en-US" w:eastAsia="zh-CN"/>
              </w:rPr>
              <w:t>xun.tang@intel.com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Heading1"/>
      </w:pPr>
      <w:r>
        <w:t>Discussion</w:t>
      </w:r>
    </w:p>
    <w:p w14:paraId="2C98197C" w14:textId="77777777" w:rsidR="007D43C4" w:rsidRDefault="00285976">
      <w:pPr>
        <w:pStyle w:val="Heading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ListParagraph"/>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ListParagraph"/>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ListParagraph"/>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ListParagraph"/>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t>The objective of this offline is to evaluate the possible signalling gains of common signalling. Note that group-based handover proposals are to be treated separately.</w:t>
      </w:r>
    </w:p>
    <w:p w14:paraId="7E613FA6" w14:textId="77777777" w:rsidR="007D43C4" w:rsidRDefault="00285976">
      <w:pPr>
        <w:pStyle w:val="Heading2"/>
      </w:pPr>
      <w:r>
        <w:lastRenderedPageBreak/>
        <w:t>Analysis</w:t>
      </w:r>
      <w:r>
        <w:rPr>
          <w:i/>
          <w:iCs/>
        </w:rPr>
        <w:t xml:space="preserve"> ServingCellConfigCommon</w:t>
      </w:r>
    </w:p>
    <w:p w14:paraId="73D3C84D" w14:textId="77777777" w:rsidR="007D43C4" w:rsidRDefault="00285976">
      <w:pPr>
        <w:rPr>
          <w:lang w:eastAsia="zh-CN"/>
        </w:rPr>
      </w:pPr>
      <w:r>
        <w:rPr>
          <w:lang w:eastAsia="zh-CN"/>
        </w:rPr>
        <w:t xml:space="preserve">As noted by several companies, the IE, which is part of the </w:t>
      </w:r>
      <w:r>
        <w:rPr>
          <w:i/>
          <w:iCs/>
          <w:lang w:eastAsia="zh-CN"/>
        </w:rPr>
        <w:t>RRCReconfiguration</w:t>
      </w:r>
      <w:r>
        <w:rPr>
          <w:lang w:eastAsia="zh-CN"/>
        </w:rPr>
        <w:t xml:space="preserve"> message with </w:t>
      </w:r>
      <w:r>
        <w:rPr>
          <w:i/>
          <w:iCs/>
          <w:lang w:eastAsia="zh-CN"/>
        </w:rPr>
        <w:t>ReconfigurationWithSync</w:t>
      </w:r>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r>
        <w:rPr>
          <w:rFonts w:eastAsiaTheme="minorEastAsia"/>
          <w:i/>
          <w:iCs/>
          <w:lang w:val="en-US"/>
        </w:rPr>
        <w:t>RRCReconfiguration</w:t>
      </w:r>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ListParagraph"/>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ListParagraph"/>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fullConfig intra-frequency handover).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Heading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lastRenderedPageBreak/>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6pt;height:149.4pt" o:ole="">
                  <v:imagedata r:id="rId7" o:title=""/>
                </v:shape>
                <o:OLEObject Type="Embed" ProgID="Visio.Drawing.11" ShapeID="_x0000_i1025" DrawAspect="Content" ObjectID="_1743858040"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handovered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Quite a lot of signaling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Agree with Apple and CATT that common signalling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Firstly, the potential gain of providing common target cell configuration through common signaling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w:t>
            </w:r>
            <w:r>
              <w:rPr>
                <w:rFonts w:eastAsiaTheme="minorEastAsia"/>
                <w:lang w:eastAsia="zh-CN"/>
              </w:rPr>
              <w:lastRenderedPageBreak/>
              <w:t>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Agree with Apple and CATT. The benefits of common signalling, e.g. signalling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Huawei, HiSilicon</w:t>
            </w:r>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Even for the delta configuration, network should configure the common cell specific parameters of the target cell to all UEs by RRC signalling, which still leads to large signalling overhead.</w:t>
            </w:r>
          </w:p>
          <w:p w14:paraId="2F47E136" w14:textId="77777777" w:rsidR="007D43C4" w:rsidRDefault="00285976">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Considering the satellite orbit is fixed, the target cell for UE can be predicted, thus network can only broadcast the common configuration of one target cel, and there is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cell.Therefore,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can not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signalling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As we repeated mentioned, only reducing the TBS size does not help. Because massive number of UE specific signalings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r>
              <w:rPr>
                <w:rFonts w:eastAsia="SimSun" w:hint="eastAsia"/>
                <w:lang w:val="en-US" w:eastAsia="zh-CN"/>
              </w:rPr>
              <w:lastRenderedPageBreak/>
              <w:t>Transsion</w:t>
            </w:r>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From network perspective, even the common configuration is broadcast through SIB, but network still need to dedicate or broadcast the RRC handover command to tirgger UE handover which lead to signaling comsumption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r w:rsidR="001E680D" w:rsidRPr="001E680D">
              <w:rPr>
                <w:i/>
                <w:iCs/>
              </w:rPr>
              <w:t>smtc</w:t>
            </w:r>
            <w:r w:rsidR="001E680D" w:rsidRPr="00B55E3E">
              <w:t xml:space="preserve"> </w:t>
            </w:r>
            <w:r w:rsidR="001E680D">
              <w:t xml:space="preserve">in </w:t>
            </w:r>
            <w:r w:rsidR="001E680D" w:rsidRPr="001E680D">
              <w:rPr>
                <w:i/>
                <w:iCs/>
              </w:rPr>
              <w:t>ReconfigurationWithSync</w:t>
            </w:r>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(except for the existing neighbour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r w:rsidRPr="00EF67F6">
              <w:rPr>
                <w:lang w:eastAsia="zh-CN"/>
              </w:rPr>
              <w:t>fullConfig intra-frequency handover</w:t>
            </w:r>
            <w:r>
              <w:rPr>
                <w:lang w:eastAsia="zh-CN"/>
              </w:rPr>
              <w:t xml:space="preserve">). The size of </w:t>
            </w:r>
            <w:r>
              <w:rPr>
                <w:i/>
                <w:iCs/>
                <w:lang w:eastAsia="zh-CN"/>
              </w:rPr>
              <w:t>ServingCellConfigCommon</w:t>
            </w:r>
            <w:r>
              <w:rPr>
                <w:lang w:eastAsia="zh-CN"/>
              </w:rPr>
              <w:t xml:space="preserve"> is around 500 bits, the size of the whole </w:t>
            </w:r>
            <w:r>
              <w:rPr>
                <w:i/>
                <w:iCs/>
                <w:lang w:eastAsia="zh-CN"/>
              </w:rPr>
              <w:t>RRCReconfiguration</w:t>
            </w:r>
            <w:r>
              <w:rPr>
                <w:lang w:eastAsia="zh-CN"/>
              </w:rPr>
              <w:t xml:space="preserve"> message is around 500 bytes. The potential signalling saving amounts to only 12,5% of the message, 500 bits per UE, the remaining 440 bytes need to be sent via a dedicated </w:t>
            </w:r>
            <w:r>
              <w:rPr>
                <w:i/>
                <w:iCs/>
                <w:lang w:eastAsia="zh-CN"/>
              </w:rPr>
              <w:t>RRCReconfiguration</w:t>
            </w:r>
            <w:r>
              <w:rPr>
                <w:lang w:eastAsia="zh-CN"/>
              </w:rPr>
              <w:t xml:space="preserve"> message. The case of handover using </w:t>
            </w:r>
            <w:r>
              <w:rPr>
                <w:i/>
                <w:iCs/>
                <w:lang w:eastAsia="zh-CN"/>
              </w:rPr>
              <w:t>fullConfig</w:t>
            </w:r>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r>
              <w:rPr>
                <w:rFonts w:eastAsia="PMingLiU" w:hint="eastAsia"/>
                <w:lang w:val="en-US" w:eastAsia="zh-TW"/>
              </w:rPr>
              <w:t>A</w:t>
            </w:r>
            <w:r>
              <w:rPr>
                <w:rFonts w:eastAsia="PMingLiU"/>
                <w:lang w:val="en-US" w:eastAsia="zh-TW"/>
              </w:rPr>
              <w:t>SUSTeK</w:t>
            </w:r>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lastRenderedPageBreak/>
              <w:t>A</w:t>
            </w:r>
            <w:r>
              <w:rPr>
                <w:rFonts w:eastAsia="PMingLiU"/>
                <w:lang w:val="en-US" w:eastAsia="zh-TW"/>
              </w:rPr>
              <w:t xml:space="preserve">s analysis by rapporteur, reducing </w:t>
            </w:r>
            <w:r w:rsidRPr="00BA7854">
              <w:rPr>
                <w:rFonts w:eastAsia="PMingLiU"/>
                <w:i/>
                <w:lang w:val="en-US" w:eastAsia="zh-TW"/>
              </w:rPr>
              <w:t>ServingCellConfigCommon</w:t>
            </w:r>
            <w:r>
              <w:rPr>
                <w:rFonts w:eastAsia="PMingLiU"/>
                <w:lang w:val="en-US" w:eastAsia="zh-TW"/>
              </w:rPr>
              <w:t xml:space="preserve"> in a dedicated signalling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hint="eastAsia"/>
                <w:lang w:val="en-US" w:eastAsia="zh-TW"/>
              </w:rPr>
            </w:pPr>
            <w:r>
              <w:rPr>
                <w:rFonts w:eastAsia="PMingLiU"/>
                <w:lang w:val="en-US" w:eastAsia="zh-TW"/>
              </w:rPr>
              <w:lastRenderedPageBreak/>
              <w:t>Intel</w:t>
            </w:r>
          </w:p>
        </w:tc>
        <w:tc>
          <w:tcPr>
            <w:tcW w:w="1316" w:type="dxa"/>
          </w:tcPr>
          <w:p w14:paraId="14A7A7BF" w14:textId="3B1C0E4D" w:rsidR="004E6379" w:rsidRDefault="004E6379" w:rsidP="00773F10">
            <w:pPr>
              <w:rPr>
                <w:rFonts w:eastAsia="PMingLiU" w:hint="eastAsia"/>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bl>
    <w:p w14:paraId="11F2ABC8" w14:textId="77777777" w:rsidR="007D43C4" w:rsidRPr="00CC11D6" w:rsidRDefault="007D43C4">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TableGri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1. The delta configuration is only applicable to the parameters which are optionally present upon SpCell change. For the parameters which are mandatorily present upon SpCell change, the related signalling overhead cannot be reduced. So using delta signaling is not as efficient as broadcasting common configuration to save signaling.</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broadcast for a while before the stopping time of the serving cell. Even if the SIB needs to be broadcast many times before the stopping time of the serving cell, it will be more signaling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3. The SIB can carry at least configuration information of one target cell. The majority of UEs in a cell need to switch to the same target cell such as the feeder link switch occurs. So the signaling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lastRenderedPageBreak/>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lastRenderedPageBreak/>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r>
              <w:rPr>
                <w:rFonts w:eastAsia="PMingLiU" w:hint="eastAsia"/>
                <w:lang w:val="en-US" w:eastAsia="zh-TW"/>
              </w:rPr>
              <w:t>A</w:t>
            </w:r>
            <w:r>
              <w:rPr>
                <w:rFonts w:eastAsia="PMingLiU"/>
                <w:lang w:val="en-US" w:eastAsia="zh-TW"/>
              </w:rPr>
              <w:t>SUSTeK</w:t>
            </w:r>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77777777" w:rsidR="00BC48F3" w:rsidRDefault="00BC48F3" w:rsidP="00BC48F3">
            <w:pPr>
              <w:rPr>
                <w:rFonts w:eastAsia="Malgun Gothic"/>
                <w:lang w:eastAsia="ko-KR"/>
              </w:rPr>
            </w:pPr>
          </w:p>
        </w:tc>
        <w:tc>
          <w:tcPr>
            <w:tcW w:w="7080" w:type="dxa"/>
          </w:tcPr>
          <w:p w14:paraId="403F8710" w14:textId="77777777" w:rsidR="00BC48F3" w:rsidRDefault="00BC48F3" w:rsidP="00BC48F3">
            <w:pPr>
              <w:rPr>
                <w:rFonts w:eastAsia="DengXian"/>
              </w:rPr>
            </w:pP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2.6pt;height:149.4pt" o:ole="">
                  <v:imagedata r:id="rId7" o:title=""/>
                </v:shape>
                <o:OLEObject Type="Embed" ProgID="Visio.Drawing.11" ShapeID="_x0000_i1026" DrawAspect="Content" ObjectID="_1743858041" r:id="rId9"/>
              </w:object>
            </w:r>
          </w:p>
          <w:p w14:paraId="5498511F" w14:textId="77777777" w:rsidR="007D43C4" w:rsidRDefault="00285976">
            <w:pPr>
              <w:rPr>
                <w:rFonts w:eastAsiaTheme="minorEastAsia"/>
              </w:rPr>
            </w:pPr>
            <w:r>
              <w:rPr>
                <w:rFonts w:eastAsiaTheme="minorEastAsia"/>
                <w:lang w:eastAsia="zh-CN"/>
              </w:rPr>
              <w:lastRenderedPageBreak/>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lastRenderedPageBreak/>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or quasi-earth fixed cell case, providing one neighbor cell is sufficient; for earth-moving cell, UEs with similar geographic locations may switch to the same target cell, multiple neighbor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For quasi-earth fixed cell scenario, providing one neighbour cell is sufficient. Fo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r>
              <w:rPr>
                <w:rFonts w:eastAsia="PMingLiU" w:hint="eastAsia"/>
                <w:lang w:val="en-US" w:eastAsia="zh-TW"/>
              </w:rPr>
              <w:t>A</w:t>
            </w:r>
            <w:r>
              <w:rPr>
                <w:rFonts w:eastAsia="PMingLiU"/>
                <w:lang w:val="en-US" w:eastAsia="zh-TW"/>
              </w:rPr>
              <w:t>SUSTeK</w:t>
            </w:r>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Malgun Gothic"/>
                <w:lang w:eastAsia="ko-KR"/>
              </w:rPr>
              <w:t>MediaTek.</w:t>
            </w:r>
          </w:p>
        </w:tc>
      </w:tr>
      <w:tr w:rsidR="00BC48F3" w14:paraId="651D1551" w14:textId="77777777">
        <w:tc>
          <w:tcPr>
            <w:tcW w:w="1317" w:type="dxa"/>
          </w:tcPr>
          <w:p w14:paraId="684BD54A" w14:textId="77777777" w:rsidR="00BC48F3" w:rsidRDefault="00BC48F3" w:rsidP="00BC48F3">
            <w:pPr>
              <w:rPr>
                <w:rFonts w:eastAsia="Malgun Gothic"/>
                <w:lang w:eastAsia="ko-KR"/>
              </w:rPr>
            </w:pPr>
          </w:p>
        </w:tc>
        <w:tc>
          <w:tcPr>
            <w:tcW w:w="1316" w:type="dxa"/>
          </w:tcPr>
          <w:p w14:paraId="404275EA" w14:textId="77777777" w:rsidR="00BC48F3" w:rsidRDefault="00BC48F3" w:rsidP="00BC48F3">
            <w:pPr>
              <w:rPr>
                <w:rFonts w:eastAsia="Malgun Gothic"/>
                <w:lang w:eastAsia="ko-KR"/>
              </w:rPr>
            </w:pP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77777777" w:rsidR="00BC48F3" w:rsidRDefault="00BC48F3" w:rsidP="00BC48F3">
            <w:pPr>
              <w:rPr>
                <w:rFonts w:eastAsia="Malgun Gothic"/>
                <w:lang w:eastAsia="ko-KR"/>
              </w:rPr>
            </w:pPr>
          </w:p>
        </w:tc>
        <w:tc>
          <w:tcPr>
            <w:tcW w:w="1316" w:type="dxa"/>
          </w:tcPr>
          <w:p w14:paraId="3270CCF6" w14:textId="77777777" w:rsidR="00BC48F3" w:rsidRDefault="00BC48F3" w:rsidP="00BC48F3">
            <w:pPr>
              <w:rPr>
                <w:rFonts w:eastAsia="Malgun Gothic"/>
                <w:lang w:eastAsia="ko-KR"/>
              </w:rPr>
            </w:pPr>
          </w:p>
        </w:tc>
        <w:tc>
          <w:tcPr>
            <w:tcW w:w="7080" w:type="dxa"/>
          </w:tcPr>
          <w:p w14:paraId="2C73B516" w14:textId="77777777" w:rsidR="00BC48F3" w:rsidRDefault="00BC48F3" w:rsidP="00BC48F3">
            <w:pPr>
              <w:rPr>
                <w:rFonts w:eastAsia="DengXian"/>
              </w:rPr>
            </w:pPr>
          </w:p>
        </w:tc>
      </w:tr>
      <w:tr w:rsidR="00BC48F3" w14:paraId="5468C292" w14:textId="77777777">
        <w:tc>
          <w:tcPr>
            <w:tcW w:w="1317" w:type="dxa"/>
          </w:tcPr>
          <w:p w14:paraId="32AC3A71" w14:textId="77777777" w:rsidR="00BC48F3" w:rsidRDefault="00BC48F3" w:rsidP="00BC48F3">
            <w:pPr>
              <w:rPr>
                <w:rFonts w:eastAsia="Malgun Gothic"/>
                <w:lang w:eastAsia="ko-KR"/>
              </w:rPr>
            </w:pPr>
          </w:p>
        </w:tc>
        <w:tc>
          <w:tcPr>
            <w:tcW w:w="1316" w:type="dxa"/>
          </w:tcPr>
          <w:p w14:paraId="144AD233" w14:textId="77777777" w:rsidR="00BC48F3" w:rsidRDefault="00BC48F3" w:rsidP="00BC48F3">
            <w:pPr>
              <w:rPr>
                <w:rFonts w:eastAsia="Malgun Gothic"/>
                <w:lang w:eastAsia="ko-KR"/>
              </w:rPr>
            </w:pPr>
          </w:p>
        </w:tc>
        <w:tc>
          <w:tcPr>
            <w:tcW w:w="7080" w:type="dxa"/>
          </w:tcPr>
          <w:p w14:paraId="156EBD81" w14:textId="77777777" w:rsidR="00BC48F3" w:rsidRDefault="00BC48F3" w:rsidP="00BC48F3">
            <w:pPr>
              <w:rPr>
                <w:rFonts w:eastAsia="DengXian"/>
              </w:rPr>
            </w:pPr>
          </w:p>
        </w:tc>
      </w:tr>
      <w:tr w:rsidR="00BC48F3" w14:paraId="1C0896BF" w14:textId="77777777">
        <w:tc>
          <w:tcPr>
            <w:tcW w:w="1317" w:type="dxa"/>
          </w:tcPr>
          <w:p w14:paraId="51FD4A88" w14:textId="77777777" w:rsidR="00BC48F3" w:rsidRDefault="00BC48F3" w:rsidP="00BC48F3">
            <w:pPr>
              <w:rPr>
                <w:rFonts w:eastAsia="Malgun Gothic"/>
                <w:lang w:eastAsia="ko-KR"/>
              </w:rPr>
            </w:pPr>
          </w:p>
        </w:tc>
        <w:tc>
          <w:tcPr>
            <w:tcW w:w="1316" w:type="dxa"/>
          </w:tcPr>
          <w:p w14:paraId="7D212808" w14:textId="77777777" w:rsidR="00BC48F3" w:rsidRDefault="00BC48F3" w:rsidP="00BC48F3">
            <w:pPr>
              <w:rPr>
                <w:rFonts w:eastAsia="Malgun Gothic"/>
                <w:lang w:eastAsia="ko-KR"/>
              </w:rPr>
            </w:pPr>
          </w:p>
        </w:tc>
        <w:tc>
          <w:tcPr>
            <w:tcW w:w="7080" w:type="dxa"/>
          </w:tcPr>
          <w:p w14:paraId="7C09B8EF" w14:textId="77777777" w:rsidR="00BC48F3" w:rsidRDefault="00BC48F3" w:rsidP="00BC48F3">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285976">
      <w:pPr>
        <w:pStyle w:val="Heading1"/>
      </w:pPr>
      <w:r>
        <w:t>Conclusions</w:t>
      </w:r>
    </w:p>
    <w:p w14:paraId="14B4F928" w14:textId="77777777" w:rsidR="007D43C4" w:rsidRDefault="00285976">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285976">
      <w:pPr>
        <w:pStyle w:val="Heading1"/>
      </w:pPr>
      <w:r>
        <w:lastRenderedPageBreak/>
        <w:t>References</w:t>
      </w:r>
    </w:p>
    <w:p w14:paraId="7B5509F8" w14:textId="77777777" w:rsidR="007D43C4" w:rsidRDefault="00285976">
      <w:pPr>
        <w:pStyle w:val="Reference"/>
        <w:numPr>
          <w:ilvl w:val="0"/>
          <w:numId w:val="8"/>
        </w:numPr>
        <w:spacing w:after="120"/>
      </w:pPr>
      <w:r>
        <w:t>R2-2303933, Discussion on handover enhancement with common signalling, ASUSTeK, RAN2#121bis-e, April 2023.</w:t>
      </w:r>
    </w:p>
    <w:p w14:paraId="086C5719" w14:textId="77777777" w:rsidR="007D43C4" w:rsidRDefault="00285976">
      <w:pPr>
        <w:pStyle w:val="Reference"/>
        <w:numPr>
          <w:ilvl w:val="0"/>
          <w:numId w:val="8"/>
        </w:numPr>
        <w:spacing w:after="120"/>
      </w:pPr>
      <w:r>
        <w:t>R2-2303141, Consideration on HO enhancements in NTN, ZTE corporation, Sanechips,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R2-2303076, Consideration of HO common signaling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R2-2303099, Discussion on NTN handover enhancements, Huawei, HiSilicon, Turkcell, RAN2#121bis-e, April 2023.</w:t>
      </w:r>
    </w:p>
    <w:p w14:paraId="4424B6C4" w14:textId="77777777" w:rsidR="007D43C4" w:rsidRDefault="00285976">
      <w:pPr>
        <w:pStyle w:val="Reference"/>
        <w:numPr>
          <w:ilvl w:val="0"/>
          <w:numId w:val="8"/>
        </w:numPr>
        <w:spacing w:after="120"/>
      </w:pPr>
      <w:r>
        <w:t>R2-2303417, Signaling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301D" w14:textId="77777777" w:rsidR="00EB4AF9" w:rsidRDefault="00EB4AF9">
      <w:pPr>
        <w:spacing w:line="240" w:lineRule="auto"/>
      </w:pPr>
      <w:r>
        <w:separator/>
      </w:r>
    </w:p>
  </w:endnote>
  <w:endnote w:type="continuationSeparator" w:id="0">
    <w:p w14:paraId="103CBEC6" w14:textId="77777777" w:rsidR="00EB4AF9" w:rsidRDefault="00EB4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293C0481" w:rsidR="007D43C4" w:rsidRDefault="002859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48F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48F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C8F1" w14:textId="77777777" w:rsidR="00EB4AF9" w:rsidRDefault="00EB4AF9">
      <w:pPr>
        <w:spacing w:after="0"/>
      </w:pPr>
      <w:r>
        <w:separator/>
      </w:r>
    </w:p>
  </w:footnote>
  <w:footnote w:type="continuationSeparator" w:id="0">
    <w:p w14:paraId="3B84E74E" w14:textId="77777777" w:rsidR="00EB4AF9" w:rsidRDefault="00EB4A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792704">
    <w:abstractNumId w:val="0"/>
  </w:num>
  <w:num w:numId="2" w16cid:durableId="1858957887">
    <w:abstractNumId w:val="3"/>
  </w:num>
  <w:num w:numId="3" w16cid:durableId="1234849236">
    <w:abstractNumId w:val="5"/>
  </w:num>
  <w:num w:numId="4" w16cid:durableId="160043580">
    <w:abstractNumId w:val="2"/>
  </w:num>
  <w:num w:numId="5" w16cid:durableId="1078405019">
    <w:abstractNumId w:val="4"/>
  </w:num>
  <w:num w:numId="6" w16cid:durableId="1265767428">
    <w:abstractNumId w:val="1"/>
  </w:num>
  <w:num w:numId="7" w16cid:durableId="1622179107">
    <w:abstractNumId w:val="6"/>
  </w:num>
  <w:num w:numId="8" w16cid:durableId="295989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8597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733A"/>
    <w:rsid w:val="005E5F22"/>
    <w:rsid w:val="00604C38"/>
    <w:rsid w:val="006359F2"/>
    <w:rsid w:val="00651498"/>
    <w:rsid w:val="006871E7"/>
    <w:rsid w:val="00693B5C"/>
    <w:rsid w:val="0069410D"/>
    <w:rsid w:val="00697C08"/>
    <w:rsid w:val="006A71D7"/>
    <w:rsid w:val="006D3048"/>
    <w:rsid w:val="006D42CA"/>
    <w:rsid w:val="006D7825"/>
    <w:rsid w:val="006E731C"/>
    <w:rsid w:val="00700A6E"/>
    <w:rsid w:val="0072011B"/>
    <w:rsid w:val="00736C2E"/>
    <w:rsid w:val="007652B2"/>
    <w:rsid w:val="00781CAC"/>
    <w:rsid w:val="007A6E76"/>
    <w:rsid w:val="007D2599"/>
    <w:rsid w:val="007D43C4"/>
    <w:rsid w:val="00804BB4"/>
    <w:rsid w:val="008167B7"/>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3846</Words>
  <Characters>21927</Characters>
  <Application>Microsoft Office Word</Application>
  <DocSecurity>0</DocSecurity>
  <Lines>182</Lines>
  <Paragraphs>51</Paragraphs>
  <ScaleCrop>false</ScaleCrop>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Xun</cp:lastModifiedBy>
  <cp:revision>4</cp:revision>
  <dcterms:created xsi:type="dcterms:W3CDTF">2023-04-24T07:35:00Z</dcterms:created>
  <dcterms:modified xsi:type="dcterms:W3CDTF">2023-04-24T08:14:00Z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