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1F7CFB83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</w:t>
      </w:r>
      <w:r w:rsidR="004B3AFC">
        <w:rPr>
          <w:rFonts w:cs="Arial"/>
          <w:noProof w:val="0"/>
          <w:sz w:val="28"/>
          <w:szCs w:val="28"/>
          <w:lang w:val="en-US"/>
        </w:rPr>
        <w:t>121</w:t>
      </w:r>
      <w:r w:rsidR="00F27FD2">
        <w:rPr>
          <w:rFonts w:cs="Arial"/>
          <w:noProof w:val="0"/>
          <w:sz w:val="28"/>
          <w:szCs w:val="28"/>
          <w:lang w:val="en-US"/>
        </w:rPr>
        <w:t>-bis</w:t>
      </w:r>
      <w:r w:rsidR="00F44A99">
        <w:rPr>
          <w:rFonts w:cs="Arial"/>
          <w:noProof w:val="0"/>
          <w:sz w:val="28"/>
          <w:szCs w:val="28"/>
          <w:lang w:val="en-US"/>
        </w:rPr>
        <w:t>-e</w:t>
      </w:r>
      <w:r>
        <w:rPr>
          <w:rFonts w:cs="Arial"/>
          <w:noProof w:val="0"/>
          <w:sz w:val="28"/>
          <w:szCs w:val="28"/>
          <w:lang w:val="en-US"/>
        </w:rPr>
        <w:t xml:space="preserve">                        </w:t>
      </w:r>
      <w:r w:rsidR="00A4529D" w:rsidRPr="00A4529D">
        <w:rPr>
          <w:rFonts w:cs="Arial"/>
          <w:bCs/>
          <w:noProof w:val="0"/>
          <w:sz w:val="28"/>
          <w:szCs w:val="28"/>
        </w:rPr>
        <w:t>R2-</w:t>
      </w:r>
      <w:r w:rsidR="002114E0" w:rsidRPr="002114E0">
        <w:rPr>
          <w:rFonts w:eastAsia="MS Gothic" w:cs="Arial"/>
          <w:bCs/>
          <w:noProof w:val="0"/>
          <w:color w:val="808080"/>
          <w:sz w:val="26"/>
          <w:szCs w:val="26"/>
        </w:rPr>
        <w:t xml:space="preserve"> </w:t>
      </w:r>
      <w:r w:rsidR="002114E0" w:rsidRPr="002114E0">
        <w:rPr>
          <w:rFonts w:cs="Arial"/>
          <w:bCs/>
          <w:noProof w:val="0"/>
          <w:sz w:val="28"/>
          <w:szCs w:val="28"/>
        </w:rPr>
        <w:t>2303724</w:t>
      </w:r>
    </w:p>
    <w:p w14:paraId="6E6043E8" w14:textId="5D9FE4B7" w:rsidR="0064539F" w:rsidRDefault="0064539F" w:rsidP="00A4529D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</w:p>
    <w:p w14:paraId="7E19FD22" w14:textId="20FC2FBA" w:rsidR="0064539F" w:rsidRPr="00FB5E4F" w:rsidRDefault="00F27FD2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April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1</w:t>
      </w:r>
      <w:r w:rsidR="00255755">
        <w:rPr>
          <w:rFonts w:cs="Arial"/>
          <w:noProof w:val="0"/>
          <w:sz w:val="28"/>
          <w:szCs w:val="28"/>
          <w:lang w:val="en-US"/>
        </w:rPr>
        <w:t>7</w:t>
      </w:r>
      <w:r w:rsidR="0064539F" w:rsidRPr="00F22373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– </w:t>
      </w:r>
      <w:r>
        <w:rPr>
          <w:rFonts w:cs="Arial"/>
          <w:noProof w:val="0"/>
          <w:sz w:val="28"/>
          <w:szCs w:val="28"/>
          <w:lang w:val="en-US"/>
        </w:rPr>
        <w:t>April 26</w:t>
      </w:r>
      <w:r w:rsidRPr="00F27FD2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</w:t>
      </w:r>
      <w:r w:rsidR="00255755">
        <w:rPr>
          <w:rFonts w:cs="Arial"/>
          <w:noProof w:val="0"/>
          <w:sz w:val="28"/>
          <w:szCs w:val="28"/>
          <w:lang w:val="en-US"/>
        </w:rPr>
        <w:t>3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467E07F6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255755">
        <w:rPr>
          <w:rFonts w:ascii="Arial" w:hAnsi="Arial" w:cs="Arial"/>
          <w:b/>
          <w:sz w:val="28"/>
          <w:szCs w:val="28"/>
          <w:lang w:val="en-US"/>
        </w:rPr>
        <w:t xml:space="preserve">NTN-TN Mobility </w:t>
      </w:r>
      <w:r w:rsidR="006038C2">
        <w:rPr>
          <w:rFonts w:ascii="Arial" w:hAnsi="Arial" w:cs="Arial"/>
          <w:b/>
          <w:sz w:val="28"/>
          <w:szCs w:val="28"/>
          <w:lang w:val="en-US"/>
        </w:rPr>
        <w:t>Cell Reselection</w:t>
      </w:r>
      <w:r w:rsidR="002114E0">
        <w:rPr>
          <w:rFonts w:ascii="Arial" w:hAnsi="Arial" w:cs="Arial"/>
          <w:b/>
          <w:sz w:val="28"/>
          <w:szCs w:val="28"/>
          <w:lang w:val="en-US"/>
        </w:rPr>
        <w:t xml:space="preserve"> and PCI Values</w:t>
      </w:r>
    </w:p>
    <w:p w14:paraId="4E31768E" w14:textId="7CCB41A2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 w:rsidR="002114E0">
        <w:rPr>
          <w:rFonts w:ascii="Arial" w:hAnsi="Arial" w:cs="Arial"/>
          <w:b/>
          <w:sz w:val="28"/>
          <w:szCs w:val="28"/>
          <w:lang w:val="pt-BR"/>
        </w:rPr>
        <w:t>7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4B3AFC">
        <w:rPr>
          <w:rFonts w:ascii="Arial" w:hAnsi="Arial" w:cs="Arial"/>
          <w:b/>
          <w:sz w:val="28"/>
          <w:szCs w:val="28"/>
          <w:lang w:val="pt-BR"/>
        </w:rPr>
        <w:t>7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4B3AFC">
        <w:rPr>
          <w:rFonts w:ascii="Arial" w:hAnsi="Arial" w:cs="Arial"/>
          <w:b/>
          <w:sz w:val="28"/>
          <w:szCs w:val="28"/>
          <w:lang w:val="pt-BR"/>
        </w:rPr>
        <w:t>4</w:t>
      </w:r>
      <w:r w:rsidR="004B1361">
        <w:rPr>
          <w:rFonts w:ascii="Arial" w:hAnsi="Arial" w:cs="Arial"/>
          <w:b/>
          <w:sz w:val="28"/>
          <w:szCs w:val="28"/>
          <w:lang w:val="pt-BR"/>
        </w:rPr>
        <w:t>.1.1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8C49CA1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</w:p>
    <w:p w14:paraId="29B9D5FC" w14:textId="1A0227BC" w:rsidR="0064539F" w:rsidRDefault="00255755" w:rsidP="0064539F">
      <w:pPr>
        <w:rPr>
          <w:lang w:val="en-US" w:eastAsia="x-none"/>
        </w:rPr>
      </w:pPr>
      <w:r>
        <w:rPr>
          <w:lang w:val="en-US" w:eastAsia="x-none"/>
        </w:rPr>
        <w:t>In RAN2#12</w:t>
      </w:r>
      <w:r w:rsidR="00F27FD2">
        <w:rPr>
          <w:lang w:val="en-US" w:eastAsia="x-none"/>
        </w:rPr>
        <w:t>1</w:t>
      </w:r>
      <w:r>
        <w:rPr>
          <w:lang w:val="en-US" w:eastAsia="x-none"/>
        </w:rPr>
        <w:t xml:space="preserve"> meeting, an </w:t>
      </w:r>
      <w:r w:rsidR="00F27FD2">
        <w:rPr>
          <w:lang w:val="en-US" w:eastAsia="x-none"/>
        </w:rPr>
        <w:t>several agreements</w:t>
      </w:r>
      <w:r>
        <w:rPr>
          <w:lang w:val="en-US" w:eastAsia="x-none"/>
        </w:rPr>
        <w:t xml:space="preserve"> w</w:t>
      </w:r>
      <w:r w:rsidR="00F27FD2">
        <w:rPr>
          <w:lang w:val="en-US" w:eastAsia="x-none"/>
        </w:rPr>
        <w:t>ere</w:t>
      </w:r>
      <w:r>
        <w:rPr>
          <w:lang w:val="en-US" w:eastAsia="x-none"/>
        </w:rPr>
        <w:t xml:space="preserve"> made regarding</w:t>
      </w:r>
      <w:r w:rsidR="004B3AFC">
        <w:rPr>
          <w:lang w:val="en-US" w:eastAsia="x-none"/>
        </w:rPr>
        <w:t xml:space="preserve"> </w:t>
      </w:r>
      <w:r w:rsidR="00F27FD2">
        <w:rPr>
          <w:lang w:val="en-US" w:eastAsia="x-none"/>
        </w:rPr>
        <w:t>c</w:t>
      </w:r>
      <w:r w:rsidR="004B3AFC">
        <w:rPr>
          <w:lang w:val="en-US" w:eastAsia="x-none"/>
        </w:rPr>
        <w:t xml:space="preserve">ells for </w:t>
      </w:r>
      <w:r w:rsidR="001708DD">
        <w:rPr>
          <w:lang w:val="en-US" w:eastAsia="x-none"/>
        </w:rPr>
        <w:t xml:space="preserve">NTN-TN </w:t>
      </w:r>
      <w:r w:rsidR="004B3AFC">
        <w:rPr>
          <w:lang w:val="en-US" w:eastAsia="x-none"/>
        </w:rPr>
        <w:t>cell reselection enhancements</w:t>
      </w:r>
      <w:r w:rsidR="0064539F">
        <w:rPr>
          <w:lang w:val="en-US" w:eastAsia="x-none"/>
        </w:rPr>
        <w:t>:</w:t>
      </w:r>
    </w:p>
    <w:p w14:paraId="3A2BCCF0" w14:textId="77777777" w:rsidR="004B3AFC" w:rsidRDefault="004B3AFC" w:rsidP="004B3AFC">
      <w:pPr>
        <w:pStyle w:val="Comments"/>
      </w:pPr>
    </w:p>
    <w:p w14:paraId="3D61D952" w14:textId="77777777" w:rsidR="004B3AFC" w:rsidRDefault="004B3AFC" w:rsidP="004B3AFC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>
        <w:rPr>
          <w:i w:val="0"/>
        </w:rPr>
        <w:t>Agreements:</w:t>
      </w:r>
    </w:p>
    <w:p w14:paraId="6DDAF93A" w14:textId="24D1FC8E" w:rsidR="004B3AFC" w:rsidRPr="00300728" w:rsidRDefault="00237892" w:rsidP="004B3AF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300728">
        <w:rPr>
          <w:highlight w:val="yellow"/>
        </w:rPr>
        <w:t xml:space="preserve">As a baseline, broadcast </w:t>
      </w:r>
      <w:proofErr w:type="spellStart"/>
      <w:r w:rsidRPr="00300728">
        <w:rPr>
          <w:highlight w:val="yellow"/>
        </w:rPr>
        <w:t>signalling</w:t>
      </w:r>
      <w:proofErr w:type="spellEnd"/>
      <w:r w:rsidRPr="00300728">
        <w:rPr>
          <w:highlight w:val="yellow"/>
        </w:rPr>
        <w:t xml:space="preserve"> is used to provide the information on the TN coverage area for UEs supporting NTN.</w:t>
      </w:r>
    </w:p>
    <w:p w14:paraId="36C090EF" w14:textId="77777777" w:rsidR="00991BDF" w:rsidRPr="00300728" w:rsidRDefault="00991BDF" w:rsidP="00991BDF">
      <w:pPr>
        <w:pStyle w:val="Comments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  <w:sz w:val="20"/>
          <w:szCs w:val="20"/>
        </w:rPr>
      </w:pPr>
      <w:r w:rsidRPr="00300728">
        <w:rPr>
          <w:i w:val="0"/>
          <w:sz w:val="20"/>
          <w:szCs w:val="20"/>
        </w:rPr>
        <w:t>Also based on the signalling overhead of the broadcast solution, RAN2 will further consider the option that UE-specific update can be optionally be provided via dedicated signalling, overriding the broadcast configuration (FFS if via RRC or higher layers. FFS on the validity time, if provided by RRC)</w:t>
      </w:r>
    </w:p>
    <w:p w14:paraId="57A2EF8F" w14:textId="77777777" w:rsidR="004B3AFC" w:rsidRDefault="004B3AFC" w:rsidP="004B3AFC">
      <w:pPr>
        <w:pStyle w:val="Comments"/>
      </w:pPr>
    </w:p>
    <w:p w14:paraId="57D8C617" w14:textId="77777777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 xml:space="preserve">This paper discusses further considerations on the highlighted objective shown above.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1B367144" w:rsidR="0064539F" w:rsidRDefault="00351EA7" w:rsidP="0064539F">
      <w:pPr>
        <w:pStyle w:val="Heading2"/>
      </w:pPr>
      <w:r>
        <w:t xml:space="preserve">2.1    </w:t>
      </w:r>
      <w:r w:rsidR="0099061E">
        <w:t>NTN and TN cell differentiation</w:t>
      </w:r>
      <w:r w:rsidR="008247E6">
        <w:t xml:space="preserve"> and PCI conf</w:t>
      </w:r>
      <w:r w:rsidR="007B7034">
        <w:t>usion</w:t>
      </w:r>
      <w:r w:rsidR="008247E6">
        <w:t>/collision</w:t>
      </w:r>
    </w:p>
    <w:p w14:paraId="451173AE" w14:textId="0BB60B6D" w:rsidR="00DF1C08" w:rsidRDefault="00DE09A4" w:rsidP="005C35D4">
      <w:r>
        <w:t xml:space="preserve">In previous RAN2 meeting, </w:t>
      </w:r>
      <w:r w:rsidR="00237892">
        <w:t xml:space="preserve">the use of </w:t>
      </w:r>
      <w:r w:rsidR="00DF1C08">
        <w:t xml:space="preserve">geographic </w:t>
      </w:r>
      <w:r w:rsidR="00237892">
        <w:t xml:space="preserve">coverage information for neighbour cell </w:t>
      </w:r>
      <w:r w:rsidR="00A67D60">
        <w:t>information</w:t>
      </w:r>
      <w:r w:rsidR="00237892">
        <w:t xml:space="preserve"> has been discussed</w:t>
      </w:r>
      <w:r>
        <w:t xml:space="preserve">.  </w:t>
      </w:r>
      <w:r w:rsidR="00A67D60">
        <w:t>G</w:t>
      </w:r>
      <w:r w:rsidR="00DF1C08">
        <w:t xml:space="preserve">eographic coverage information may </w:t>
      </w:r>
      <w:r w:rsidR="00A67D60">
        <w:t>be broadcasted by NTN and may include frequencies and PCI values</w:t>
      </w:r>
      <w:r w:rsidR="00285CC3">
        <w:t xml:space="preserve"> in SIB19</w:t>
      </w:r>
      <w:r w:rsidR="00DF1C08">
        <w:t xml:space="preserve">. </w:t>
      </w:r>
      <w:r w:rsidR="00A67D60">
        <w:t>NTN satellite bands are defined in TS38.101-5</w:t>
      </w:r>
      <w:r w:rsidR="00300728">
        <w:t xml:space="preserve"> [1]</w:t>
      </w:r>
      <w:r w:rsidR="00A67D60">
        <w:t xml:space="preserve"> and states that different frequ</w:t>
      </w:r>
      <w:r w:rsidR="00285CC3">
        <w:t>ency band numbers are to be used for TN and NTN. However, if NTN is HAPS-based</w:t>
      </w:r>
      <w:r w:rsidR="009052F5">
        <w:t xml:space="preserve"> </w:t>
      </w:r>
      <w:r w:rsidR="00285CC3">
        <w:t xml:space="preserve">(High-Altitude Platform Station), </w:t>
      </w:r>
      <w:r w:rsidR="009052F5">
        <w:t>TS</w:t>
      </w:r>
      <w:r w:rsidR="00285CC3">
        <w:t xml:space="preserve"> 38.104 </w:t>
      </w:r>
      <w:r w:rsidR="00300728">
        <w:t xml:space="preserve">[2] </w:t>
      </w:r>
      <w:r w:rsidR="00285CC3">
        <w:t>state</w:t>
      </w:r>
      <w:r w:rsidR="009052F5">
        <w:t>s</w:t>
      </w:r>
      <w:r w:rsidR="00285CC3">
        <w:t xml:space="preserve"> that:</w:t>
      </w:r>
    </w:p>
    <w:p w14:paraId="2EAA698A" w14:textId="77777777" w:rsidR="00285CC3" w:rsidRPr="00285CC3" w:rsidRDefault="00285CC3" w:rsidP="00285C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647"/>
        <w:rPr>
          <w:i/>
          <w:lang w:val="en-GB"/>
        </w:rPr>
      </w:pPr>
      <w:r w:rsidRPr="00285CC3">
        <w:rPr>
          <w:i/>
          <w:lang w:val="en-GB"/>
        </w:rPr>
        <w:t>NR operating band n1, which is defined in Table 5.2-1, can be applied for HAPS operation.</w:t>
      </w:r>
    </w:p>
    <w:p w14:paraId="3AC85762" w14:textId="35F89DFB" w:rsidR="00991BDF" w:rsidRDefault="00991BDF" w:rsidP="0064539F">
      <w:pPr>
        <w:rPr>
          <w:rFonts w:ascii="Arial" w:hAnsi="Arial" w:cs="Arial"/>
          <w:sz w:val="20"/>
        </w:rPr>
      </w:pPr>
      <w:r>
        <w:t>In RAN4#98-bis</w:t>
      </w:r>
      <w:r w:rsidR="00300728">
        <w:t xml:space="preserve"> [3]</w:t>
      </w:r>
      <w:r>
        <w:t>, an agreement was made regarding HAPS and band number:</w:t>
      </w:r>
      <w:r w:rsidRPr="00991BDF">
        <w:rPr>
          <w:rFonts w:ascii="Arial" w:hAnsi="Arial" w:cs="Arial"/>
          <w:sz w:val="20"/>
        </w:rPr>
        <w:t xml:space="preserve"> </w:t>
      </w:r>
    </w:p>
    <w:p w14:paraId="29B55A2E" w14:textId="68CF07B1" w:rsidR="00991BDF" w:rsidRPr="00285CC3" w:rsidRDefault="00991BDF" w:rsidP="00991B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647"/>
        <w:rPr>
          <w:i/>
          <w:lang w:val="en-GB"/>
        </w:rPr>
      </w:pPr>
      <w:r w:rsidRPr="00285CC3">
        <w:rPr>
          <w:i/>
          <w:lang w:val="en-GB"/>
        </w:rPr>
        <w:t xml:space="preserve">NR </w:t>
      </w:r>
      <w:r w:rsidRPr="00991BDF">
        <w:rPr>
          <w:i/>
          <w:lang w:val="en-GB"/>
        </w:rPr>
        <w:t xml:space="preserve">band n1 </w:t>
      </w:r>
      <w:r w:rsidRPr="00991BDF">
        <w:rPr>
          <w:bCs/>
          <w:i/>
          <w:lang w:val="en-GB"/>
        </w:rPr>
        <w:t>as example band</w:t>
      </w:r>
      <w:r w:rsidRPr="00991BDF">
        <w:rPr>
          <w:i/>
          <w:lang w:val="en-GB"/>
        </w:rPr>
        <w:t xml:space="preserve"> for HAPS related coexistence studies </w:t>
      </w:r>
      <w:r w:rsidRPr="00991BDF">
        <w:rPr>
          <w:bCs/>
          <w:i/>
          <w:lang w:val="en-GB"/>
        </w:rPr>
        <w:t>at 2GHz</w:t>
      </w:r>
      <w:r w:rsidRPr="00285CC3">
        <w:rPr>
          <w:i/>
          <w:lang w:val="en-GB"/>
        </w:rPr>
        <w:t>.</w:t>
      </w:r>
    </w:p>
    <w:p w14:paraId="26269F2D" w14:textId="77777777" w:rsidR="00991BDF" w:rsidRDefault="00991BDF" w:rsidP="000525EF">
      <w:pPr>
        <w:rPr>
          <w:rFonts w:ascii="Arial" w:hAnsi="Arial" w:cs="Arial"/>
          <w:sz w:val="20"/>
        </w:rPr>
      </w:pPr>
    </w:p>
    <w:p w14:paraId="5699EE07" w14:textId="415DA65E" w:rsidR="00360E3A" w:rsidRDefault="00360E3A" w:rsidP="00360E3A">
      <w:r>
        <w:lastRenderedPageBreak/>
        <w:t xml:space="preserve">If HAPS is used, the UE may encounter difficulties in differentiating </w:t>
      </w:r>
      <w:r w:rsidR="00991BDF">
        <w:t xml:space="preserve">between </w:t>
      </w:r>
      <w:r>
        <w:t xml:space="preserve">NTN and TN cells. </w:t>
      </w:r>
      <w:r w:rsidR="00D63340">
        <w:t xml:space="preserve">While this issue may be resolved with broadcasted coverage information and/or dedicated signalling, another problem that may occur is </w:t>
      </w:r>
      <w:r>
        <w:t xml:space="preserve">PCI confusion/collision.  </w:t>
      </w:r>
    </w:p>
    <w:p w14:paraId="454590AA" w14:textId="77777777" w:rsidR="00300728" w:rsidRPr="000525EF" w:rsidRDefault="00300728" w:rsidP="00300728">
      <w:pPr>
        <w:rPr>
          <w:b/>
          <w:bCs/>
        </w:rPr>
      </w:pPr>
      <w:r>
        <w:rPr>
          <w:b/>
          <w:bCs/>
        </w:rPr>
        <w:t>Observation</w:t>
      </w:r>
      <w:r w:rsidRPr="009838DA">
        <w:rPr>
          <w:b/>
          <w:bCs/>
        </w:rPr>
        <w:t>:</w:t>
      </w:r>
      <w:r>
        <w:rPr>
          <w:b/>
          <w:bCs/>
        </w:rPr>
        <w:t xml:space="preserve"> If UE is in an area with TN and NTN coverages and band n1 is used, there is a high possibility of PCI confusion/collision if NTN is HAPS.</w:t>
      </w:r>
    </w:p>
    <w:p w14:paraId="08EF9D27" w14:textId="12693FAF" w:rsidR="00810E74" w:rsidRDefault="0050674C" w:rsidP="00810E74">
      <w:pPr>
        <w:keepNext/>
      </w:pPr>
      <w:r>
        <w:rPr>
          <w:noProof/>
        </w:rPr>
        <w:t>g</w:t>
      </w:r>
      <w:r w:rsidR="00B82549">
        <w:rPr>
          <w:noProof/>
        </w:rPr>
        <w:drawing>
          <wp:inline distT="0" distB="0" distL="0" distR="0" wp14:anchorId="1971FA50" wp14:editId="21D00310">
            <wp:extent cx="6327140" cy="3556635"/>
            <wp:effectExtent l="0" t="0" r="0" b="5715"/>
            <wp:docPr id="3" name="Picture 3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355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D154A" w14:textId="57F5E210" w:rsidR="00D63340" w:rsidRDefault="00810E74" w:rsidP="00810E7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1D3A09E2" w14:textId="67AF21C7" w:rsidR="00360E3A" w:rsidRDefault="00360E3A" w:rsidP="0064539F">
      <w:r>
        <w:t>The coverage footprint of HAPS can be high as 200km.  A 200km coverage over a densely populated metropolitan area such as New York City can certainly have more than 1008 TN cells (Figure 1).  Multiple HAPS</w:t>
      </w:r>
      <w:r w:rsidR="00D63340">
        <w:t xml:space="preserve">, each with multiple beams, </w:t>
      </w:r>
      <w:r>
        <w:t>may also be flying in the same coverage area</w:t>
      </w:r>
      <w:r w:rsidR="00D63340">
        <w:t xml:space="preserve"> which may result in PCI conflicts or collisions during handovers.</w:t>
      </w:r>
    </w:p>
    <w:p w14:paraId="6B3BC9A5" w14:textId="1911D7F3" w:rsidR="0064539F" w:rsidRDefault="0086692D" w:rsidP="0064539F">
      <w:pPr>
        <w:rPr>
          <w:b/>
          <w:bCs/>
        </w:rPr>
      </w:pPr>
      <w:r>
        <w:t xml:space="preserve">The TN geographic coverage information </w:t>
      </w:r>
      <w:r w:rsidR="00E43217">
        <w:t xml:space="preserve">is vital for </w:t>
      </w:r>
      <w:r w:rsidR="00300728">
        <w:t>N</w:t>
      </w:r>
      <w:r w:rsidR="00E43217">
        <w:t xml:space="preserve">TN-TN cell reselection.  However, if both the UE and NTN are using the same frequency band, as in the case of HAPS, then </w:t>
      </w:r>
      <w:r w:rsidR="00300728">
        <w:t>solutions</w:t>
      </w:r>
      <w:r w:rsidR="00E43217">
        <w:t xml:space="preserve"> may be necessary to the TN geographic coverage information and/or TN-NTN cell reselection process. </w:t>
      </w:r>
      <w:r w:rsidR="00405EDD">
        <w:rPr>
          <w:b/>
          <w:bCs/>
        </w:rPr>
        <w:t xml:space="preserve"> </w:t>
      </w:r>
      <w:r w:rsidR="0064539F" w:rsidRPr="00AF76F4">
        <w:rPr>
          <w:b/>
          <w:bCs/>
        </w:rPr>
        <w:t xml:space="preserve"> </w:t>
      </w:r>
    </w:p>
    <w:p w14:paraId="59DF58C4" w14:textId="2FD2DEE9" w:rsidR="00300728" w:rsidRDefault="00300728" w:rsidP="00300728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>
        <w:rPr>
          <w:b/>
          <w:bCs/>
        </w:rPr>
        <w:t xml:space="preserve">RAN2 </w:t>
      </w:r>
      <w:r>
        <w:rPr>
          <w:b/>
          <w:bCs/>
        </w:rPr>
        <w:t>should</w:t>
      </w:r>
      <w:r>
        <w:rPr>
          <w:b/>
          <w:bCs/>
        </w:rPr>
        <w:t xml:space="preserve"> </w:t>
      </w:r>
      <w:r>
        <w:rPr>
          <w:b/>
          <w:bCs/>
        </w:rPr>
        <w:t xml:space="preserve">address possible PCI </w:t>
      </w:r>
      <w:r>
        <w:rPr>
          <w:b/>
          <w:bCs/>
        </w:rPr>
        <w:t>confusion/collisions</w:t>
      </w:r>
      <w:r>
        <w:rPr>
          <w:b/>
          <w:bCs/>
        </w:rPr>
        <w:t xml:space="preserve"> during N</w:t>
      </w:r>
      <w:r>
        <w:rPr>
          <w:b/>
          <w:bCs/>
        </w:rPr>
        <w:t>TN-TN cell reselection.</w:t>
      </w:r>
    </w:p>
    <w:p w14:paraId="6D504E2B" w14:textId="34778560" w:rsidR="00300728" w:rsidRDefault="00300728" w:rsidP="00300728">
      <w:pPr>
        <w:pStyle w:val="Heading1"/>
        <w:spacing w:after="180"/>
      </w:pPr>
      <w:r>
        <w:t>Conclusions</w:t>
      </w:r>
    </w:p>
    <w:p w14:paraId="26F24EB1" w14:textId="0D93FA87" w:rsidR="00300728" w:rsidRDefault="00300728" w:rsidP="00300728">
      <w:pPr>
        <w:rPr>
          <w:b/>
          <w:bCs/>
        </w:rPr>
      </w:pPr>
      <w:r>
        <w:rPr>
          <w:b/>
          <w:bCs/>
        </w:rPr>
        <w:t>Observation</w:t>
      </w:r>
      <w:r>
        <w:rPr>
          <w:b/>
          <w:bCs/>
        </w:rPr>
        <w:t xml:space="preserve"> 1</w:t>
      </w:r>
      <w:r w:rsidRPr="009838DA">
        <w:rPr>
          <w:b/>
          <w:bCs/>
        </w:rPr>
        <w:t>:</w:t>
      </w:r>
      <w:r>
        <w:rPr>
          <w:b/>
          <w:bCs/>
        </w:rPr>
        <w:t xml:space="preserve"> If UE is in an area with TN and NTN coverages and band n1 is used, there is a high possibility of PCI confusion/collision if NTN is HAPS.</w:t>
      </w:r>
    </w:p>
    <w:p w14:paraId="4AECC04E" w14:textId="77777777" w:rsidR="00300728" w:rsidRDefault="00300728" w:rsidP="00300728">
      <w:pPr>
        <w:rPr>
          <w:b/>
          <w:bCs/>
        </w:rPr>
      </w:pPr>
      <w:r>
        <w:lastRenderedPageBreak/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>
        <w:rPr>
          <w:b/>
          <w:bCs/>
        </w:rPr>
        <w:t>RAN2 should address possible PCI confusion/collisions during NTN-TN cell reselection.</w:t>
      </w:r>
    </w:p>
    <w:p w14:paraId="00FED2E1" w14:textId="77777777" w:rsidR="00300728" w:rsidRPr="000525EF" w:rsidRDefault="00300728" w:rsidP="00300728">
      <w:pPr>
        <w:rPr>
          <w:b/>
          <w:bCs/>
        </w:rPr>
      </w:pPr>
    </w:p>
    <w:p w14:paraId="68448013" w14:textId="20B0510D" w:rsidR="00300728" w:rsidRDefault="00300728" w:rsidP="00300728">
      <w:pPr>
        <w:pStyle w:val="Heading1"/>
        <w:spacing w:after="180"/>
      </w:pPr>
      <w:r>
        <w:t>References</w:t>
      </w:r>
    </w:p>
    <w:p w14:paraId="7B7B4FDB" w14:textId="111E7DF1" w:rsidR="00CB048C" w:rsidRDefault="00CB048C" w:rsidP="00CB048C">
      <w:pPr>
        <w:pStyle w:val="textintend2"/>
        <w:widowControl w:val="0"/>
        <w:spacing w:before="100" w:beforeAutospacing="1" w:after="100" w:afterAutospacing="1"/>
        <w:ind w:left="418" w:hanging="418"/>
      </w:pPr>
      <w:r w:rsidRPr="00FC58DF">
        <w:t>3GPP T</w:t>
      </w:r>
      <w:r w:rsidR="009052F5">
        <w:t>S</w:t>
      </w:r>
      <w:r w:rsidRPr="00FC58DF">
        <w:t>3</w:t>
      </w:r>
      <w:r>
        <w:t>8.</w:t>
      </w:r>
      <w:r w:rsidR="009052F5">
        <w:t>101-5</w:t>
      </w:r>
      <w:r>
        <w:t xml:space="preserve"> </w:t>
      </w:r>
      <w:r w:rsidR="0098366D">
        <w:t>v1</w:t>
      </w:r>
      <w:r w:rsidR="009052F5">
        <w:t>8</w:t>
      </w:r>
      <w:r w:rsidR="0098366D">
        <w:t>.</w:t>
      </w:r>
      <w:r w:rsidR="009052F5">
        <w:t>0</w:t>
      </w:r>
      <w:r w:rsidR="0098366D">
        <w:t>.0</w:t>
      </w:r>
    </w:p>
    <w:p w14:paraId="4D2A4D9C" w14:textId="1DD17ED4" w:rsidR="003F7360" w:rsidRDefault="009052F5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>
        <w:t>3GPP TS38.104 v18.0.0</w:t>
      </w:r>
      <w:bookmarkEnd w:id="1"/>
    </w:p>
    <w:p w14:paraId="08FB39ED" w14:textId="12160360" w:rsidR="00300728" w:rsidRDefault="001708DD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>
        <w:t>RAN4#98-bis R4-2106147</w:t>
      </w:r>
    </w:p>
    <w:sectPr w:rsidR="00300728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7FE12" w14:textId="77777777" w:rsidR="002A71E3" w:rsidRDefault="002A71E3">
      <w:pPr>
        <w:spacing w:after="0"/>
      </w:pPr>
      <w:r>
        <w:separator/>
      </w:r>
    </w:p>
  </w:endnote>
  <w:endnote w:type="continuationSeparator" w:id="0">
    <w:p w14:paraId="4BE35C60" w14:textId="77777777" w:rsidR="002A71E3" w:rsidRDefault="002A7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2A12A6" w:rsidRDefault="002A12A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34DE4" w14:textId="77777777" w:rsidR="002A71E3" w:rsidRDefault="002A71E3">
      <w:pPr>
        <w:spacing w:after="0"/>
      </w:pPr>
      <w:r>
        <w:separator/>
      </w:r>
    </w:p>
  </w:footnote>
  <w:footnote w:type="continuationSeparator" w:id="0">
    <w:p w14:paraId="361C2A3E" w14:textId="77777777" w:rsidR="002A71E3" w:rsidRDefault="002A71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C10F5"/>
    <w:multiLevelType w:val="hybridMultilevel"/>
    <w:tmpl w:val="288E3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8"/>
  </w:num>
  <w:num w:numId="2" w16cid:durableId="971440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7"/>
  </w:num>
  <w:num w:numId="4" w16cid:durableId="1596356204">
    <w:abstractNumId w:val="3"/>
  </w:num>
  <w:num w:numId="5" w16cid:durableId="1711614563">
    <w:abstractNumId w:val="5"/>
  </w:num>
  <w:num w:numId="6" w16cid:durableId="429816776">
    <w:abstractNumId w:val="2"/>
  </w:num>
  <w:num w:numId="7" w16cid:durableId="1743722608">
    <w:abstractNumId w:val="6"/>
  </w:num>
  <w:num w:numId="8" w16cid:durableId="1106345469">
    <w:abstractNumId w:val="4"/>
  </w:num>
  <w:num w:numId="9" w16cid:durableId="43143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40013"/>
    <w:rsid w:val="000525EF"/>
    <w:rsid w:val="00080EB0"/>
    <w:rsid w:val="0014031C"/>
    <w:rsid w:val="001708DD"/>
    <w:rsid w:val="001F449E"/>
    <w:rsid w:val="002114E0"/>
    <w:rsid w:val="0021381E"/>
    <w:rsid w:val="00221CC7"/>
    <w:rsid w:val="002263D7"/>
    <w:rsid w:val="00237892"/>
    <w:rsid w:val="00243970"/>
    <w:rsid w:val="00255124"/>
    <w:rsid w:val="00255755"/>
    <w:rsid w:val="00275701"/>
    <w:rsid w:val="00285CC3"/>
    <w:rsid w:val="002A12A6"/>
    <w:rsid w:val="002A71E3"/>
    <w:rsid w:val="002E6FFA"/>
    <w:rsid w:val="00300728"/>
    <w:rsid w:val="00340DAE"/>
    <w:rsid w:val="00351EA7"/>
    <w:rsid w:val="00360E3A"/>
    <w:rsid w:val="0037426E"/>
    <w:rsid w:val="003F3C7F"/>
    <w:rsid w:val="003F7360"/>
    <w:rsid w:val="00405EDD"/>
    <w:rsid w:val="004A130C"/>
    <w:rsid w:val="004B1361"/>
    <w:rsid w:val="004B3AFC"/>
    <w:rsid w:val="004C6A05"/>
    <w:rsid w:val="004D321D"/>
    <w:rsid w:val="0050674C"/>
    <w:rsid w:val="0052060B"/>
    <w:rsid w:val="00523478"/>
    <w:rsid w:val="005418BA"/>
    <w:rsid w:val="00541C6D"/>
    <w:rsid w:val="005C35D4"/>
    <w:rsid w:val="005D478F"/>
    <w:rsid w:val="005F1EB6"/>
    <w:rsid w:val="006038C2"/>
    <w:rsid w:val="006105F4"/>
    <w:rsid w:val="00611489"/>
    <w:rsid w:val="00633C2F"/>
    <w:rsid w:val="0064539F"/>
    <w:rsid w:val="00653958"/>
    <w:rsid w:val="0066561A"/>
    <w:rsid w:val="006C1AFD"/>
    <w:rsid w:val="006E5821"/>
    <w:rsid w:val="007145F6"/>
    <w:rsid w:val="00754488"/>
    <w:rsid w:val="0075479A"/>
    <w:rsid w:val="00774C12"/>
    <w:rsid w:val="00790859"/>
    <w:rsid w:val="007B7034"/>
    <w:rsid w:val="007F2F31"/>
    <w:rsid w:val="007F63DD"/>
    <w:rsid w:val="00810E74"/>
    <w:rsid w:val="008210BA"/>
    <w:rsid w:val="008247E6"/>
    <w:rsid w:val="00830910"/>
    <w:rsid w:val="00854A49"/>
    <w:rsid w:val="0086692D"/>
    <w:rsid w:val="00885A0F"/>
    <w:rsid w:val="008A42C8"/>
    <w:rsid w:val="008D02B1"/>
    <w:rsid w:val="008E18DF"/>
    <w:rsid w:val="009052F5"/>
    <w:rsid w:val="009209C2"/>
    <w:rsid w:val="00921EE1"/>
    <w:rsid w:val="0098366D"/>
    <w:rsid w:val="0099061E"/>
    <w:rsid w:val="00991BDF"/>
    <w:rsid w:val="009B52AF"/>
    <w:rsid w:val="009C402E"/>
    <w:rsid w:val="00A047BE"/>
    <w:rsid w:val="00A314D1"/>
    <w:rsid w:val="00A4529D"/>
    <w:rsid w:val="00A67D60"/>
    <w:rsid w:val="00AE2A19"/>
    <w:rsid w:val="00B31B15"/>
    <w:rsid w:val="00B66FC1"/>
    <w:rsid w:val="00B72FF8"/>
    <w:rsid w:val="00B82549"/>
    <w:rsid w:val="00B93DA0"/>
    <w:rsid w:val="00BA53B6"/>
    <w:rsid w:val="00BB1DBC"/>
    <w:rsid w:val="00BC684B"/>
    <w:rsid w:val="00C53AD4"/>
    <w:rsid w:val="00CA76F4"/>
    <w:rsid w:val="00CB048C"/>
    <w:rsid w:val="00CE11AD"/>
    <w:rsid w:val="00D63340"/>
    <w:rsid w:val="00D668BB"/>
    <w:rsid w:val="00D74670"/>
    <w:rsid w:val="00DE09A4"/>
    <w:rsid w:val="00DF0882"/>
    <w:rsid w:val="00DF1C08"/>
    <w:rsid w:val="00DF30E7"/>
    <w:rsid w:val="00E43217"/>
    <w:rsid w:val="00E531F6"/>
    <w:rsid w:val="00E57B16"/>
    <w:rsid w:val="00E964D8"/>
    <w:rsid w:val="00EE1962"/>
    <w:rsid w:val="00EE4DCF"/>
    <w:rsid w:val="00F242D6"/>
    <w:rsid w:val="00F27FD2"/>
    <w:rsid w:val="00F44A99"/>
    <w:rsid w:val="00FC6279"/>
    <w:rsid w:val="00FC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docId w15:val="{C2DF7DB8-D131-4CCA-8576-4F2A1151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4B3AFC"/>
    <w:pPr>
      <w:snapToGrid/>
      <w:spacing w:before="40" w:after="0" w:afterAutospacing="0"/>
      <w:jc w:val="left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B3AFC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4B3AFC"/>
    <w:pPr>
      <w:numPr>
        <w:numId w:val="6"/>
      </w:num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4B3AFC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i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2060B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C793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C7934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6334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5</cp:revision>
  <dcterms:created xsi:type="dcterms:W3CDTF">2023-04-06T19:29:00Z</dcterms:created>
  <dcterms:modified xsi:type="dcterms:W3CDTF">2023-04-06T23:04:00Z</dcterms:modified>
</cp:coreProperties>
</file>