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Heading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r>
              <w:rPr>
                <w:rFonts w:eastAsiaTheme="minorEastAsia" w:hint="eastAsia"/>
                <w:lang w:val="en-US" w:eastAsia="zh-CN"/>
              </w:rPr>
              <w:t>Zhihong Qiu</w:t>
            </w:r>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iaofei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77777777" w:rsidR="00521CF5" w:rsidRDefault="00521CF5">
            <w:pPr>
              <w:spacing w:after="0"/>
              <w:rPr>
                <w:rFonts w:eastAsiaTheme="minorEastAsia"/>
                <w:lang w:eastAsia="zh-CN"/>
              </w:rPr>
            </w:pPr>
          </w:p>
        </w:tc>
        <w:tc>
          <w:tcPr>
            <w:tcW w:w="2552" w:type="dxa"/>
          </w:tcPr>
          <w:p w14:paraId="1E020283" w14:textId="77777777" w:rsidR="00521CF5" w:rsidRDefault="00521CF5">
            <w:pPr>
              <w:spacing w:after="0"/>
              <w:rPr>
                <w:rFonts w:eastAsiaTheme="minorEastAsia"/>
                <w:lang w:eastAsia="zh-CN"/>
              </w:rPr>
            </w:pPr>
          </w:p>
        </w:tc>
        <w:tc>
          <w:tcPr>
            <w:tcW w:w="4814" w:type="dxa"/>
          </w:tcPr>
          <w:p w14:paraId="4E272B2A" w14:textId="77777777" w:rsidR="00521CF5" w:rsidRDefault="00521CF5">
            <w:pPr>
              <w:spacing w:after="0"/>
              <w:rPr>
                <w:rFonts w:eastAsiaTheme="minorEastAsia"/>
                <w:lang w:eastAsia="zh-CN"/>
              </w:rPr>
            </w:pPr>
          </w:p>
        </w:tc>
      </w:tr>
      <w:tr w:rsidR="00521CF5" w14:paraId="02EF65D0" w14:textId="77777777">
        <w:tc>
          <w:tcPr>
            <w:tcW w:w="2263" w:type="dxa"/>
          </w:tcPr>
          <w:p w14:paraId="24730B39" w14:textId="77777777" w:rsidR="00521CF5" w:rsidRDefault="00521CF5">
            <w:pPr>
              <w:spacing w:after="0"/>
              <w:rPr>
                <w:rFonts w:eastAsiaTheme="minorEastAsia"/>
                <w:lang w:eastAsia="zh-CN"/>
              </w:rPr>
            </w:pPr>
          </w:p>
        </w:tc>
        <w:tc>
          <w:tcPr>
            <w:tcW w:w="2552" w:type="dxa"/>
          </w:tcPr>
          <w:p w14:paraId="6C824AF8" w14:textId="77777777" w:rsidR="00521CF5" w:rsidRDefault="00521CF5">
            <w:pPr>
              <w:spacing w:after="0"/>
              <w:rPr>
                <w:rFonts w:eastAsiaTheme="minorEastAsia"/>
                <w:lang w:eastAsia="zh-CN"/>
              </w:rPr>
            </w:pPr>
          </w:p>
        </w:tc>
        <w:tc>
          <w:tcPr>
            <w:tcW w:w="4814" w:type="dxa"/>
          </w:tcPr>
          <w:p w14:paraId="5D82EDF3" w14:textId="77777777" w:rsidR="00521CF5" w:rsidRDefault="00521CF5">
            <w:pPr>
              <w:spacing w:after="0"/>
              <w:rPr>
                <w:rFonts w:eastAsiaTheme="minorEastAsia"/>
                <w:lang w:eastAsia="zh-CN"/>
              </w:rPr>
            </w:pPr>
          </w:p>
        </w:tc>
      </w:tr>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Heading1"/>
      </w:pPr>
      <w:r>
        <w:t>2   Discussion</w:t>
      </w:r>
    </w:p>
    <w:p w14:paraId="1B4E0132" w14:textId="77777777" w:rsidR="00521CF5" w:rsidRDefault="00571E83">
      <w:pPr>
        <w:pStyle w:val="Heading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RA-ReportList)”.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RA-ReportList</w:t>
      </w:r>
      <w:r>
        <w:rPr>
          <w:rFonts w:eastAsiaTheme="minorEastAsia"/>
          <w:b/>
          <w:sz w:val="22"/>
          <w:szCs w:val="22"/>
          <w:lang w:eastAsia="zh-CN"/>
        </w:rPr>
        <w:t>)” is selected, regarding how UE sets the list of PSCell identities, RAN2 to discuss the following alternatives:</w:t>
      </w:r>
    </w:p>
    <w:p w14:paraId="4A13D869"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lastRenderedPageBreak/>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w:t>
      </w:r>
      <w:r>
        <w:rPr>
          <w:rFonts w:eastAsiaTheme="minorEastAsia"/>
          <w:b/>
          <w:i/>
          <w:sz w:val="22"/>
          <w:szCs w:val="22"/>
          <w:lang w:eastAsia="zh-CN"/>
        </w:rPr>
        <w:t>RA-ReportList</w:t>
      </w:r>
    </w:p>
    <w:p w14:paraId="76620C7B"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discusisons, one alternative is added, i.e. alt 2c, list the last PSCell identity (in </w:t>
      </w:r>
      <w:r>
        <w:rPr>
          <w:rFonts w:eastAsiaTheme="minorEastAsia"/>
          <w:i/>
          <w:sz w:val="22"/>
          <w:szCs w:val="22"/>
          <w:lang w:eastAsia="zh-CN"/>
        </w:rPr>
        <w:t>RA-ReportList</w:t>
      </w:r>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Heading2"/>
      </w:pPr>
      <w:r>
        <w:t>2.2   Discussion on how UE sets the list of PSCell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PSCell identities that occur in NR </w:t>
      </w:r>
      <w:r>
        <w:rPr>
          <w:rFonts w:eastAsiaTheme="minorEastAsia"/>
          <w:b/>
          <w:i/>
          <w:sz w:val="22"/>
          <w:szCs w:val="22"/>
          <w:lang w:eastAsia="zh-CN"/>
        </w:rPr>
        <w:t>RA-ReportList</w:t>
      </w:r>
    </w:p>
    <w:p w14:paraId="0D05BC44"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PSCell identities, i.e. if a PSCell occurs more than once in NR </w:t>
      </w:r>
      <w:r>
        <w:rPr>
          <w:rFonts w:eastAsiaTheme="minorEastAsia"/>
          <w:b/>
          <w:i/>
          <w:sz w:val="22"/>
          <w:szCs w:val="22"/>
          <w:lang w:eastAsia="zh-CN"/>
        </w:rPr>
        <w:t>RA-ReportList</w:t>
      </w:r>
      <w:r>
        <w:rPr>
          <w:rFonts w:eastAsiaTheme="minorEastAsia"/>
          <w:b/>
          <w:sz w:val="22"/>
          <w:szCs w:val="22"/>
          <w:lang w:eastAsia="zh-CN"/>
        </w:rPr>
        <w:t>, it is recorded only once in the list of PSCell identities</w:t>
      </w:r>
    </w:p>
    <w:p w14:paraId="30142910"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PSCell identity (in NR </w:t>
      </w:r>
      <w:r>
        <w:rPr>
          <w:rFonts w:eastAsiaTheme="minorEastAsia"/>
          <w:b/>
          <w:i/>
          <w:sz w:val="22"/>
          <w:szCs w:val="22"/>
          <w:lang w:eastAsia="zh-CN"/>
        </w:rPr>
        <w:t>RA-ReportList</w:t>
      </w:r>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2a and Alt 2b, the email rapporteur understands that LTE MN can receive the PSCell identities plus a single NR container, and then LTE MN can transfer them to the corresponding PSCells.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PSCell 1, 2 and 3 in NR </w:t>
      </w:r>
      <w:r>
        <w:rPr>
          <w:rFonts w:eastAsiaTheme="minorEastAsia"/>
          <w:i/>
          <w:sz w:val="22"/>
          <w:szCs w:val="22"/>
          <w:lang w:eastAsia="zh-CN"/>
        </w:rPr>
        <w:t>RA-ReportList</w:t>
      </w:r>
      <w:r>
        <w:rPr>
          <w:rFonts w:eastAsiaTheme="minorEastAsia"/>
          <w:sz w:val="22"/>
          <w:szCs w:val="22"/>
          <w:lang w:eastAsia="zh-CN"/>
        </w:rPr>
        <w:t xml:space="preserve">, and LTE MN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1, 2 and 3 separately. From PSCell 1 perspective, only one RA report (related to PSCell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the email rapporteur understands that LTE MN can receive the last PSCell identity plus a single NR container, and LTE MN transfers the container to that PSCell. The PSCell can decode the NR container, and then distribute the RA reports to other PSCells.</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PSCell is PSCell 3, LTE MN only transfers the NR </w:t>
      </w:r>
      <w:r>
        <w:rPr>
          <w:rFonts w:eastAsiaTheme="minorEastAsia"/>
          <w:i/>
          <w:sz w:val="22"/>
          <w:szCs w:val="22"/>
          <w:lang w:eastAsia="zh-CN"/>
        </w:rPr>
        <w:t>RA-ReportList</w:t>
      </w:r>
      <w:r>
        <w:rPr>
          <w:rFonts w:eastAsiaTheme="minorEastAsia"/>
          <w:sz w:val="22"/>
          <w:szCs w:val="22"/>
          <w:lang w:eastAsia="zh-CN"/>
        </w:rPr>
        <w:t xml:space="preserve"> to </w:t>
      </w:r>
      <w:r>
        <w:rPr>
          <w:rFonts w:eastAsiaTheme="minorEastAsia" w:hint="eastAsia"/>
          <w:sz w:val="22"/>
          <w:szCs w:val="22"/>
          <w:lang w:eastAsia="zh-CN"/>
        </w:rPr>
        <w:t>PSCel</w:t>
      </w:r>
      <w:r>
        <w:rPr>
          <w:rFonts w:eastAsiaTheme="minorEastAsia"/>
          <w:sz w:val="22"/>
          <w:szCs w:val="22"/>
          <w:lang w:eastAsia="zh-CN"/>
        </w:rPr>
        <w:t>l 3, and then PSCell 3 can transfer one RA report to PSCell 1 and one RA report to PSCell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TableGrid"/>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PSCell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the last PSCell has no duty to decode</w:t>
            </w:r>
            <w:r>
              <w:rPr>
                <w:rFonts w:eastAsiaTheme="minorEastAsia"/>
                <w:sz w:val="22"/>
                <w:szCs w:val="22"/>
                <w:lang w:eastAsia="zh-CN"/>
              </w:rPr>
              <w:t xml:space="preserve"> the NR container and then distribute the RA reports to other PSCells</w:t>
            </w:r>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s LS is to include the PSCell identities lists, therefore we prefer to list all PSCell identities associated to the RA-reportList included in the container since the last PSCell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gNB to locate the lists that is relevant prefer to have all PSCell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have Uu signalling cost on the duplicate PScell identity outside of RA-report</w:t>
            </w:r>
            <w:r w:rsidR="00507B83">
              <w:rPr>
                <w:rFonts w:eastAsiaTheme="minorEastAsia" w:hint="eastAsia"/>
                <w:sz w:val="22"/>
                <w:szCs w:val="22"/>
                <w:lang w:eastAsia="zh-CN"/>
              </w:rPr>
              <w:t>List</w:t>
            </w:r>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r w:rsidR="00943CE4">
              <w:rPr>
                <w:rFonts w:eastAsiaTheme="minorEastAsia"/>
                <w:sz w:val="22"/>
                <w:szCs w:val="22"/>
                <w:lang w:eastAsia="zh-CN"/>
              </w:rPr>
              <w:t>Uu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Huawei, HiSilicon</w:t>
            </w:r>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Uu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Alt 2c, as some companies explained, there may need some co-ordinations beween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It is quite possible that the eNB doesn’t have a Xn interface to the last PSCell or is unable to send the SN RACH report to the last PSCell. So a list of PSCell identities could be helpful, not to lose the SN RACH report.</w:t>
            </w:r>
          </w:p>
        </w:tc>
      </w:tr>
      <w:tr w:rsidR="00823C68" w14:paraId="0650493E" w14:textId="77777777" w:rsidTr="00823C68">
        <w:tc>
          <w:tcPr>
            <w:tcW w:w="2107" w:type="dxa"/>
          </w:tcPr>
          <w:p w14:paraId="7CD85E2D" w14:textId="77777777" w:rsidR="00823C68" w:rsidRDefault="00823C68" w:rsidP="00823C68">
            <w:pPr>
              <w:spacing w:after="0"/>
              <w:rPr>
                <w:rFonts w:eastAsiaTheme="minorEastAsia"/>
                <w:sz w:val="22"/>
                <w:szCs w:val="22"/>
                <w:lang w:eastAsia="zh-CN"/>
              </w:rPr>
            </w:pPr>
          </w:p>
        </w:tc>
        <w:tc>
          <w:tcPr>
            <w:tcW w:w="1077" w:type="dxa"/>
          </w:tcPr>
          <w:p w14:paraId="13A1D797" w14:textId="77777777" w:rsidR="00823C68" w:rsidRDefault="00823C68" w:rsidP="00823C68">
            <w:pPr>
              <w:spacing w:after="0"/>
              <w:rPr>
                <w:rFonts w:eastAsiaTheme="minorEastAsia"/>
                <w:sz w:val="22"/>
                <w:szCs w:val="22"/>
                <w:lang w:eastAsia="zh-CN"/>
              </w:rPr>
            </w:pPr>
          </w:p>
        </w:tc>
        <w:tc>
          <w:tcPr>
            <w:tcW w:w="6445" w:type="dxa"/>
          </w:tcPr>
          <w:p w14:paraId="42D87D6B" w14:textId="77777777" w:rsidR="00823C68" w:rsidRDefault="00823C68" w:rsidP="00823C68">
            <w:pPr>
              <w:spacing w:after="0"/>
              <w:rPr>
                <w:rFonts w:eastAsiaTheme="minorEastAsia"/>
                <w:sz w:val="22"/>
                <w:szCs w:val="22"/>
                <w:lang w:eastAsia="zh-CN"/>
              </w:rPr>
            </w:pPr>
          </w:p>
        </w:tc>
      </w:tr>
      <w:tr w:rsidR="00823C68" w14:paraId="1D5C951C" w14:textId="77777777" w:rsidTr="00823C68">
        <w:tc>
          <w:tcPr>
            <w:tcW w:w="2107" w:type="dxa"/>
          </w:tcPr>
          <w:p w14:paraId="51167B0E" w14:textId="77777777" w:rsidR="00823C68" w:rsidRDefault="00823C68" w:rsidP="00823C68">
            <w:pPr>
              <w:spacing w:after="0"/>
              <w:rPr>
                <w:rFonts w:eastAsiaTheme="minorEastAsia"/>
                <w:sz w:val="22"/>
                <w:szCs w:val="22"/>
                <w:lang w:eastAsia="zh-CN"/>
              </w:rPr>
            </w:pPr>
          </w:p>
        </w:tc>
        <w:tc>
          <w:tcPr>
            <w:tcW w:w="1077" w:type="dxa"/>
          </w:tcPr>
          <w:p w14:paraId="667BB661" w14:textId="77777777" w:rsidR="00823C68" w:rsidRDefault="00823C68" w:rsidP="00823C68">
            <w:pPr>
              <w:spacing w:after="0"/>
              <w:rPr>
                <w:rFonts w:eastAsiaTheme="minorEastAsia"/>
                <w:sz w:val="22"/>
                <w:szCs w:val="22"/>
                <w:lang w:eastAsia="zh-CN"/>
              </w:rPr>
            </w:pPr>
          </w:p>
        </w:tc>
        <w:tc>
          <w:tcPr>
            <w:tcW w:w="6445" w:type="dxa"/>
          </w:tcPr>
          <w:p w14:paraId="33108F77" w14:textId="77777777" w:rsidR="00823C68" w:rsidRDefault="00823C68" w:rsidP="00823C68">
            <w:pPr>
              <w:spacing w:after="0"/>
              <w:rPr>
                <w:rFonts w:eastAsiaTheme="minorEastAsia"/>
                <w:sz w:val="22"/>
                <w:szCs w:val="22"/>
                <w:lang w:eastAsia="zh-CN"/>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TableGrid"/>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Huawei, HiSilicon</w:t>
            </w:r>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bookmarkStart w:id="2" w:name="_GoBack"/>
            <w:bookmarkEnd w:id="2"/>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77777777" w:rsidR="00521CF5" w:rsidRDefault="00521CF5">
            <w:pPr>
              <w:spacing w:after="0"/>
              <w:rPr>
                <w:rFonts w:eastAsiaTheme="minorEastAsia"/>
                <w:sz w:val="22"/>
                <w:szCs w:val="22"/>
                <w:lang w:eastAsia="zh-CN"/>
              </w:rPr>
            </w:pPr>
          </w:p>
        </w:tc>
        <w:tc>
          <w:tcPr>
            <w:tcW w:w="1060" w:type="dxa"/>
          </w:tcPr>
          <w:p w14:paraId="17315A88" w14:textId="77777777" w:rsidR="00521CF5" w:rsidRDefault="00521CF5">
            <w:pPr>
              <w:spacing w:after="0"/>
              <w:rPr>
                <w:rFonts w:eastAsiaTheme="minorEastAsia"/>
                <w:sz w:val="22"/>
                <w:szCs w:val="22"/>
                <w:lang w:eastAsia="zh-CN"/>
              </w:rPr>
            </w:pPr>
          </w:p>
        </w:tc>
        <w:tc>
          <w:tcPr>
            <w:tcW w:w="6459" w:type="dxa"/>
          </w:tcPr>
          <w:p w14:paraId="5B6AC1A3" w14:textId="77777777" w:rsidR="00521CF5" w:rsidRDefault="00521CF5">
            <w:pPr>
              <w:spacing w:after="0"/>
              <w:rPr>
                <w:rFonts w:eastAsiaTheme="minorEastAsia"/>
                <w:sz w:val="22"/>
                <w:szCs w:val="22"/>
                <w:lang w:eastAsia="zh-CN"/>
              </w:rPr>
            </w:pPr>
          </w:p>
        </w:tc>
      </w:tr>
      <w:tr w:rsidR="00521CF5" w14:paraId="2CE9C0C8" w14:textId="77777777">
        <w:tc>
          <w:tcPr>
            <w:tcW w:w="2110" w:type="dxa"/>
          </w:tcPr>
          <w:p w14:paraId="16DC99FA" w14:textId="77777777" w:rsidR="00521CF5" w:rsidRDefault="00521CF5">
            <w:pPr>
              <w:spacing w:after="0"/>
              <w:rPr>
                <w:rFonts w:eastAsiaTheme="minorEastAsia"/>
                <w:sz w:val="22"/>
                <w:szCs w:val="22"/>
                <w:lang w:eastAsia="zh-CN"/>
              </w:rPr>
            </w:pPr>
          </w:p>
        </w:tc>
        <w:tc>
          <w:tcPr>
            <w:tcW w:w="1060" w:type="dxa"/>
          </w:tcPr>
          <w:p w14:paraId="280BBFD3" w14:textId="77777777" w:rsidR="00521CF5" w:rsidRDefault="00521CF5">
            <w:pPr>
              <w:spacing w:after="0"/>
              <w:rPr>
                <w:rFonts w:eastAsiaTheme="minorEastAsia"/>
                <w:sz w:val="22"/>
                <w:szCs w:val="22"/>
                <w:lang w:eastAsia="zh-CN"/>
              </w:rPr>
            </w:pPr>
          </w:p>
        </w:tc>
        <w:tc>
          <w:tcPr>
            <w:tcW w:w="6459" w:type="dxa"/>
          </w:tcPr>
          <w:p w14:paraId="65CAB760" w14:textId="77777777" w:rsidR="00521CF5" w:rsidRDefault="00521CF5">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Heading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Heading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2]  </w:t>
      </w:r>
      <w:r>
        <w:t>R2-2301923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B06A6" w14:textId="77777777" w:rsidR="009F3B94" w:rsidRDefault="009F3B94">
      <w:pPr>
        <w:spacing w:after="0"/>
      </w:pPr>
      <w:r>
        <w:separator/>
      </w:r>
    </w:p>
  </w:endnote>
  <w:endnote w:type="continuationSeparator" w:id="0">
    <w:p w14:paraId="7F1B0EC1" w14:textId="77777777" w:rsidR="009F3B94" w:rsidRDefault="009F3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E9EA" w14:textId="48569A46" w:rsidR="00521CF5" w:rsidRDefault="00571E83">
    <w:pPr>
      <w:pStyle w:val="Footer"/>
    </w:pPr>
    <w:r>
      <w:rPr>
        <w:rStyle w:val="PageNumber"/>
      </w:rPr>
      <w:fldChar w:fldCharType="begin"/>
    </w:r>
    <w:r>
      <w:rPr>
        <w:rStyle w:val="PageNumber"/>
      </w:rPr>
      <w:instrText xml:space="preserve"> PAGE </w:instrText>
    </w:r>
    <w:r>
      <w:rPr>
        <w:rStyle w:val="PageNumber"/>
      </w:rPr>
      <w:fldChar w:fldCharType="separate"/>
    </w:r>
    <w:r w:rsidR="00772FE3">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72FE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33A0" w14:textId="77777777" w:rsidR="009F3B94" w:rsidRDefault="009F3B94">
      <w:pPr>
        <w:spacing w:after="0"/>
      </w:pPr>
      <w:r>
        <w:separator/>
      </w:r>
    </w:p>
  </w:footnote>
  <w:footnote w:type="continuationSeparator" w:id="0">
    <w:p w14:paraId="1A0940FF" w14:textId="77777777" w:rsidR="009F3B94" w:rsidRDefault="009F3B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67C18-7587-4F87-9EAD-604D048F8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1045</Words>
  <Characters>5961</Characters>
  <Application>Microsoft Office Word</Application>
  <DocSecurity>0</DocSecurity>
  <Lines>49</Lines>
  <Paragraphs>13</Paragraphs>
  <ScaleCrop>false</ScaleCrop>
  <Company>Huawei Technologies Co.,Ltd.</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(Aby)</cp:lastModifiedBy>
  <cp:revision>6</cp:revision>
  <cp:lastPrinted>2014-08-13T09:20:00Z</cp:lastPrinted>
  <dcterms:created xsi:type="dcterms:W3CDTF">2023-03-02T10:40:00Z</dcterms:created>
  <dcterms:modified xsi:type="dcterms:W3CDTF">2023-03-02T12:31:00Z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