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ad"/>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d"/>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ad"/>
        <w:rPr>
          <w:bCs/>
          <w:sz w:val="24"/>
        </w:rPr>
      </w:pPr>
    </w:p>
    <w:p w14:paraId="0089ACEE" w14:textId="77777777" w:rsidR="0056151D" w:rsidRDefault="0056151D">
      <w:pPr>
        <w:pStyle w:val="ad"/>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f0"/>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5" w14:textId="77777777" w:rsidR="00986D00" w:rsidRDefault="00986D00" w:rsidP="00986D00">
            <w:pPr>
              <w:pStyle w:val="TAC"/>
              <w:jc w:val="left"/>
              <w:rPr>
                <w:rFonts w:ascii="Times New Roman" w:hAnsi="Times New Roman"/>
                <w:sz w:val="20"/>
                <w:szCs w:val="22"/>
                <w:lang w:val="en-US"/>
              </w:rPr>
            </w:pP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18" w14:textId="77777777" w:rsidR="00986D00" w:rsidRDefault="00986D00" w:rsidP="00986D00">
            <w:pPr>
              <w:pStyle w:val="TAC"/>
              <w:jc w:val="left"/>
              <w:rPr>
                <w:rFonts w:ascii="Times New Roman" w:hAnsi="Times New Roman"/>
                <w:sz w:val="20"/>
                <w:szCs w:val="22"/>
                <w:lang w:val="en-US" w:eastAsia="ko-KR"/>
              </w:rPr>
            </w:pPr>
          </w:p>
        </w:tc>
      </w:tr>
      <w:tr w:rsidR="00986D00"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B" w14:textId="77777777" w:rsidR="00986D00" w:rsidRDefault="00986D00" w:rsidP="00986D00">
            <w:pPr>
              <w:pStyle w:val="TAC"/>
              <w:jc w:val="left"/>
              <w:rPr>
                <w:rFonts w:ascii="Times New Roman" w:hAnsi="Times New Roman"/>
                <w:sz w:val="20"/>
                <w:szCs w:val="22"/>
                <w:lang w:val="en-US"/>
              </w:rPr>
            </w:pP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986D00" w:rsidRDefault="00986D00" w:rsidP="00986D00">
            <w:pPr>
              <w:pStyle w:val="TAC"/>
              <w:jc w:val="left"/>
              <w:rPr>
                <w:rFonts w:ascii="Times New Roman" w:hAnsi="Times New Roman"/>
                <w:sz w:val="20"/>
                <w:szCs w:val="22"/>
                <w:lang w:val="en-US"/>
              </w:rPr>
            </w:pP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f1"/>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af1"/>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77777777" w:rsidR="0056151D" w:rsidRDefault="002C2D01">
      <w:pPr>
        <w:pStyle w:val="af1"/>
        <w:numPr>
          <w:ilvl w:val="0"/>
          <w:numId w:val="4"/>
        </w:numPr>
        <w:rPr>
          <w:b/>
          <w:bCs/>
        </w:rPr>
      </w:pPr>
      <w:r>
        <w:rPr>
          <w:b/>
          <w:bCs/>
        </w:rPr>
        <w:t>Option 3: RAN2 should wait to decide until we have more details from RAN1.</w:t>
      </w:r>
    </w:p>
    <w:tbl>
      <w:tblPr>
        <w:tblStyle w:val="af0"/>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6"/>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sidelink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lastRenderedPageBreak/>
              <w:t>AddressConfigurationList</w:t>
            </w:r>
            <w:proofErr w:type="spellEnd"/>
            <w:r>
              <w:rPr>
                <w:lang w:eastAsia="ja-JP"/>
              </w:rPr>
              <w:t xml:space="preserve">.  In this sense, we slightly prefer Option 2 with a new IE within the existing RRC Reconfiguration message. </w:t>
            </w:r>
          </w:p>
        </w:tc>
      </w:tr>
      <w:tr w:rsidR="009A5633" w14:paraId="0089AD56" w14:textId="77777777">
        <w:tc>
          <w:tcPr>
            <w:tcW w:w="1838" w:type="dxa"/>
          </w:tcPr>
          <w:p w14:paraId="0089AD53" w14:textId="77777777" w:rsidR="009A5633" w:rsidRDefault="009A5633" w:rsidP="009A5633"/>
        </w:tc>
        <w:tc>
          <w:tcPr>
            <w:tcW w:w="1701" w:type="dxa"/>
          </w:tcPr>
          <w:p w14:paraId="0089AD54" w14:textId="77777777" w:rsidR="009A5633" w:rsidRDefault="009A5633" w:rsidP="009A5633"/>
        </w:tc>
        <w:tc>
          <w:tcPr>
            <w:tcW w:w="6092" w:type="dxa"/>
          </w:tcPr>
          <w:p w14:paraId="0089AD55" w14:textId="77777777" w:rsidR="009A5633" w:rsidRDefault="009A5633" w:rsidP="009A5633"/>
        </w:tc>
      </w:tr>
      <w:tr w:rsidR="009A5633" w14:paraId="0089AD5A" w14:textId="77777777">
        <w:tc>
          <w:tcPr>
            <w:tcW w:w="1838" w:type="dxa"/>
          </w:tcPr>
          <w:p w14:paraId="0089AD57" w14:textId="77777777" w:rsidR="009A5633" w:rsidRDefault="009A5633" w:rsidP="009A5633"/>
        </w:tc>
        <w:tc>
          <w:tcPr>
            <w:tcW w:w="1701" w:type="dxa"/>
          </w:tcPr>
          <w:p w14:paraId="0089AD58" w14:textId="77777777" w:rsidR="009A5633" w:rsidRDefault="009A5633" w:rsidP="009A5633"/>
        </w:tc>
        <w:tc>
          <w:tcPr>
            <w:tcW w:w="6092" w:type="dxa"/>
          </w:tcPr>
          <w:p w14:paraId="0089AD59" w14:textId="77777777" w:rsidR="009A5633" w:rsidRDefault="009A5633" w:rsidP="009A5633"/>
        </w:tc>
      </w:tr>
      <w:tr w:rsidR="009A5633" w14:paraId="0089AD5E" w14:textId="77777777">
        <w:tc>
          <w:tcPr>
            <w:tcW w:w="1838" w:type="dxa"/>
          </w:tcPr>
          <w:p w14:paraId="0089AD5B" w14:textId="77777777" w:rsidR="009A5633" w:rsidRDefault="009A5633" w:rsidP="009A5633"/>
        </w:tc>
        <w:tc>
          <w:tcPr>
            <w:tcW w:w="1701" w:type="dxa"/>
          </w:tcPr>
          <w:p w14:paraId="0089AD5C" w14:textId="77777777" w:rsidR="009A5633" w:rsidRDefault="009A5633" w:rsidP="009A5633"/>
        </w:tc>
        <w:tc>
          <w:tcPr>
            <w:tcW w:w="6092" w:type="dxa"/>
          </w:tcPr>
          <w:p w14:paraId="0089AD5D" w14:textId="77777777" w:rsidR="009A5633" w:rsidRDefault="009A5633" w:rsidP="009A5633"/>
        </w:tc>
      </w:tr>
      <w:tr w:rsidR="009A5633" w14:paraId="0089AD62" w14:textId="77777777">
        <w:tc>
          <w:tcPr>
            <w:tcW w:w="1838" w:type="dxa"/>
          </w:tcPr>
          <w:p w14:paraId="0089AD5F" w14:textId="77777777" w:rsidR="009A5633" w:rsidRDefault="009A5633" w:rsidP="009A5633"/>
        </w:tc>
        <w:tc>
          <w:tcPr>
            <w:tcW w:w="1701" w:type="dxa"/>
          </w:tcPr>
          <w:p w14:paraId="0089AD60" w14:textId="77777777" w:rsidR="009A5633" w:rsidRDefault="009A5633" w:rsidP="009A5633"/>
        </w:tc>
        <w:tc>
          <w:tcPr>
            <w:tcW w:w="6092" w:type="dxa"/>
          </w:tcPr>
          <w:p w14:paraId="0089AD61" w14:textId="77777777" w:rsidR="009A5633" w:rsidRDefault="009A5633" w:rsidP="009A5633"/>
        </w:tc>
      </w:tr>
      <w:tr w:rsidR="009A5633" w14:paraId="0089AD66" w14:textId="77777777">
        <w:tc>
          <w:tcPr>
            <w:tcW w:w="1838" w:type="dxa"/>
          </w:tcPr>
          <w:p w14:paraId="0089AD63" w14:textId="77777777" w:rsidR="009A5633" w:rsidRDefault="009A5633" w:rsidP="009A5633"/>
        </w:tc>
        <w:tc>
          <w:tcPr>
            <w:tcW w:w="1701" w:type="dxa"/>
          </w:tcPr>
          <w:p w14:paraId="0089AD64" w14:textId="77777777" w:rsidR="009A5633" w:rsidRDefault="009A5633" w:rsidP="009A5633"/>
        </w:tc>
        <w:tc>
          <w:tcPr>
            <w:tcW w:w="6092" w:type="dxa"/>
          </w:tcPr>
          <w:p w14:paraId="0089AD65" w14:textId="77777777" w:rsidR="009A5633" w:rsidRDefault="009A5633" w:rsidP="009A5633"/>
        </w:tc>
      </w:tr>
      <w:tr w:rsidR="009A5633" w14:paraId="0089AD6A" w14:textId="77777777">
        <w:tc>
          <w:tcPr>
            <w:tcW w:w="1838" w:type="dxa"/>
          </w:tcPr>
          <w:p w14:paraId="0089AD67" w14:textId="77777777" w:rsidR="009A5633" w:rsidRDefault="009A5633" w:rsidP="009A5633"/>
        </w:tc>
        <w:tc>
          <w:tcPr>
            <w:tcW w:w="1701" w:type="dxa"/>
          </w:tcPr>
          <w:p w14:paraId="0089AD68" w14:textId="77777777" w:rsidR="009A5633" w:rsidRDefault="009A5633" w:rsidP="009A5633"/>
        </w:tc>
        <w:tc>
          <w:tcPr>
            <w:tcW w:w="6092" w:type="dxa"/>
          </w:tcPr>
          <w:p w14:paraId="0089AD69" w14:textId="77777777" w:rsidR="009A5633" w:rsidRDefault="009A5633" w:rsidP="009A5633"/>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a number of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af1"/>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f1"/>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f1"/>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f1"/>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af1"/>
        <w:numPr>
          <w:ilvl w:val="0"/>
          <w:numId w:val="6"/>
        </w:numPr>
        <w:rPr>
          <w:b/>
          <w:bCs/>
        </w:rPr>
      </w:pPr>
      <w:r>
        <w:rPr>
          <w:b/>
          <w:bCs/>
        </w:rPr>
        <w:t>Option 3: Wait for RAN1.</w:t>
      </w:r>
    </w:p>
    <w:tbl>
      <w:tblPr>
        <w:tblStyle w:val="af0"/>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C35790" w14:paraId="0089AD91" w14:textId="77777777">
        <w:tc>
          <w:tcPr>
            <w:tcW w:w="1838" w:type="dxa"/>
          </w:tcPr>
          <w:p w14:paraId="0089AD8E" w14:textId="77777777" w:rsidR="00C35790" w:rsidRDefault="00C35790" w:rsidP="00C35790"/>
        </w:tc>
        <w:tc>
          <w:tcPr>
            <w:tcW w:w="1701" w:type="dxa"/>
          </w:tcPr>
          <w:p w14:paraId="0089AD8F" w14:textId="77777777" w:rsidR="00C35790" w:rsidRDefault="00C35790" w:rsidP="00C35790"/>
        </w:tc>
        <w:tc>
          <w:tcPr>
            <w:tcW w:w="6092" w:type="dxa"/>
          </w:tcPr>
          <w:p w14:paraId="0089AD90" w14:textId="77777777" w:rsidR="00C35790" w:rsidRDefault="00C35790" w:rsidP="00C35790"/>
        </w:tc>
      </w:tr>
      <w:tr w:rsidR="00C35790" w14:paraId="0089AD95" w14:textId="77777777">
        <w:tc>
          <w:tcPr>
            <w:tcW w:w="1838" w:type="dxa"/>
          </w:tcPr>
          <w:p w14:paraId="0089AD92" w14:textId="77777777" w:rsidR="00C35790" w:rsidRDefault="00C35790" w:rsidP="00C35790"/>
        </w:tc>
        <w:tc>
          <w:tcPr>
            <w:tcW w:w="1701" w:type="dxa"/>
          </w:tcPr>
          <w:p w14:paraId="0089AD93" w14:textId="77777777" w:rsidR="00C35790" w:rsidRDefault="00C35790" w:rsidP="00C35790"/>
        </w:tc>
        <w:tc>
          <w:tcPr>
            <w:tcW w:w="6092" w:type="dxa"/>
          </w:tcPr>
          <w:p w14:paraId="0089AD94" w14:textId="77777777" w:rsidR="00C35790" w:rsidRDefault="00C35790" w:rsidP="00C35790"/>
        </w:tc>
      </w:tr>
      <w:tr w:rsidR="00C35790" w14:paraId="0089AD99" w14:textId="77777777">
        <w:tc>
          <w:tcPr>
            <w:tcW w:w="1838" w:type="dxa"/>
          </w:tcPr>
          <w:p w14:paraId="0089AD96" w14:textId="77777777" w:rsidR="00C35790" w:rsidRDefault="00C35790" w:rsidP="00C35790"/>
        </w:tc>
        <w:tc>
          <w:tcPr>
            <w:tcW w:w="1701" w:type="dxa"/>
          </w:tcPr>
          <w:p w14:paraId="0089AD97" w14:textId="77777777" w:rsidR="00C35790" w:rsidRDefault="00C35790" w:rsidP="00C35790"/>
        </w:tc>
        <w:tc>
          <w:tcPr>
            <w:tcW w:w="6092" w:type="dxa"/>
          </w:tcPr>
          <w:p w14:paraId="0089AD98" w14:textId="77777777" w:rsidR="00C35790" w:rsidRDefault="00C35790" w:rsidP="00C35790"/>
        </w:tc>
      </w:tr>
      <w:tr w:rsidR="00C35790" w14:paraId="0089AD9D" w14:textId="77777777">
        <w:tc>
          <w:tcPr>
            <w:tcW w:w="1838" w:type="dxa"/>
          </w:tcPr>
          <w:p w14:paraId="0089AD9A" w14:textId="77777777" w:rsidR="00C35790" w:rsidRDefault="00C35790" w:rsidP="00C35790"/>
        </w:tc>
        <w:tc>
          <w:tcPr>
            <w:tcW w:w="1701" w:type="dxa"/>
          </w:tcPr>
          <w:p w14:paraId="0089AD9B" w14:textId="77777777" w:rsidR="00C35790" w:rsidRDefault="00C35790" w:rsidP="00C35790"/>
        </w:tc>
        <w:tc>
          <w:tcPr>
            <w:tcW w:w="6092" w:type="dxa"/>
          </w:tcPr>
          <w:p w14:paraId="0089AD9C" w14:textId="77777777" w:rsidR="00C35790" w:rsidRDefault="00C35790" w:rsidP="00C35790"/>
        </w:tc>
      </w:tr>
      <w:tr w:rsidR="00C35790" w14:paraId="0089ADA1" w14:textId="77777777">
        <w:tc>
          <w:tcPr>
            <w:tcW w:w="1838" w:type="dxa"/>
          </w:tcPr>
          <w:p w14:paraId="0089AD9E" w14:textId="77777777" w:rsidR="00C35790" w:rsidRDefault="00C35790" w:rsidP="00C35790"/>
        </w:tc>
        <w:tc>
          <w:tcPr>
            <w:tcW w:w="1701" w:type="dxa"/>
          </w:tcPr>
          <w:p w14:paraId="0089AD9F" w14:textId="77777777" w:rsidR="00C35790" w:rsidRDefault="00C35790" w:rsidP="00C35790"/>
        </w:tc>
        <w:tc>
          <w:tcPr>
            <w:tcW w:w="6092" w:type="dxa"/>
          </w:tcPr>
          <w:p w14:paraId="0089ADA0" w14:textId="77777777" w:rsidR="00C35790" w:rsidRDefault="00C35790" w:rsidP="00C35790"/>
        </w:tc>
      </w:tr>
      <w:tr w:rsidR="00C35790" w14:paraId="0089ADA5" w14:textId="77777777">
        <w:tc>
          <w:tcPr>
            <w:tcW w:w="1838" w:type="dxa"/>
          </w:tcPr>
          <w:p w14:paraId="0089ADA2" w14:textId="77777777" w:rsidR="00C35790" w:rsidRDefault="00C35790" w:rsidP="00C35790"/>
        </w:tc>
        <w:tc>
          <w:tcPr>
            <w:tcW w:w="1701" w:type="dxa"/>
          </w:tcPr>
          <w:p w14:paraId="0089ADA3" w14:textId="77777777" w:rsidR="00C35790" w:rsidRDefault="00C35790" w:rsidP="00C35790"/>
        </w:tc>
        <w:tc>
          <w:tcPr>
            <w:tcW w:w="6092" w:type="dxa"/>
          </w:tcPr>
          <w:p w14:paraId="0089ADA4" w14:textId="77777777" w:rsidR="00C35790" w:rsidRDefault="00C35790" w:rsidP="00C35790"/>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af0"/>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f1"/>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af1"/>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af1"/>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f0"/>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lastRenderedPageBreak/>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w:t>
            </w:r>
            <w:proofErr w:type="gramStart"/>
            <w:r>
              <w:t>HPLMN</w:t>
            </w:r>
            <w:proofErr w:type="gramEnd"/>
            <w:r>
              <w:t xml:space="preserve">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3B7578" w14:paraId="0089ADEF" w14:textId="77777777">
        <w:tc>
          <w:tcPr>
            <w:tcW w:w="1838" w:type="dxa"/>
          </w:tcPr>
          <w:p w14:paraId="0089ADEC" w14:textId="77777777" w:rsidR="003B7578" w:rsidRDefault="003B7578" w:rsidP="003B7578"/>
        </w:tc>
        <w:tc>
          <w:tcPr>
            <w:tcW w:w="1701" w:type="dxa"/>
          </w:tcPr>
          <w:p w14:paraId="0089ADED" w14:textId="77777777" w:rsidR="003B7578" w:rsidRDefault="003B7578" w:rsidP="003B7578"/>
        </w:tc>
        <w:tc>
          <w:tcPr>
            <w:tcW w:w="6092" w:type="dxa"/>
          </w:tcPr>
          <w:p w14:paraId="0089ADEE" w14:textId="77777777" w:rsidR="003B7578" w:rsidRDefault="003B7578" w:rsidP="003B7578"/>
        </w:tc>
      </w:tr>
      <w:tr w:rsidR="003B7578" w14:paraId="0089ADF3" w14:textId="77777777">
        <w:tc>
          <w:tcPr>
            <w:tcW w:w="1838" w:type="dxa"/>
          </w:tcPr>
          <w:p w14:paraId="0089ADF0" w14:textId="77777777" w:rsidR="003B7578" w:rsidRDefault="003B7578" w:rsidP="003B7578"/>
        </w:tc>
        <w:tc>
          <w:tcPr>
            <w:tcW w:w="1701" w:type="dxa"/>
          </w:tcPr>
          <w:p w14:paraId="0089ADF1" w14:textId="77777777" w:rsidR="003B7578" w:rsidRDefault="003B7578" w:rsidP="003B7578"/>
        </w:tc>
        <w:tc>
          <w:tcPr>
            <w:tcW w:w="6092" w:type="dxa"/>
          </w:tcPr>
          <w:p w14:paraId="0089ADF2" w14:textId="77777777" w:rsidR="003B7578" w:rsidRDefault="003B7578" w:rsidP="003B7578"/>
        </w:tc>
      </w:tr>
      <w:tr w:rsidR="003B7578" w14:paraId="0089ADF7" w14:textId="77777777">
        <w:tc>
          <w:tcPr>
            <w:tcW w:w="1838" w:type="dxa"/>
          </w:tcPr>
          <w:p w14:paraId="0089ADF4" w14:textId="77777777" w:rsidR="003B7578" w:rsidRDefault="003B7578" w:rsidP="003B7578"/>
        </w:tc>
        <w:tc>
          <w:tcPr>
            <w:tcW w:w="1701" w:type="dxa"/>
          </w:tcPr>
          <w:p w14:paraId="0089ADF5" w14:textId="77777777" w:rsidR="003B7578" w:rsidRDefault="003B7578" w:rsidP="003B7578"/>
        </w:tc>
        <w:tc>
          <w:tcPr>
            <w:tcW w:w="6092" w:type="dxa"/>
          </w:tcPr>
          <w:p w14:paraId="0089ADF6" w14:textId="77777777" w:rsidR="003B7578" w:rsidRDefault="003B7578" w:rsidP="003B7578"/>
        </w:tc>
      </w:tr>
      <w:tr w:rsidR="003B7578" w14:paraId="0089ADFB" w14:textId="77777777">
        <w:tc>
          <w:tcPr>
            <w:tcW w:w="1838" w:type="dxa"/>
          </w:tcPr>
          <w:p w14:paraId="0089ADF8" w14:textId="77777777" w:rsidR="003B7578" w:rsidRDefault="003B7578" w:rsidP="003B7578"/>
        </w:tc>
        <w:tc>
          <w:tcPr>
            <w:tcW w:w="1701" w:type="dxa"/>
          </w:tcPr>
          <w:p w14:paraId="0089ADF9" w14:textId="77777777" w:rsidR="003B7578" w:rsidRDefault="003B7578" w:rsidP="003B7578"/>
        </w:tc>
        <w:tc>
          <w:tcPr>
            <w:tcW w:w="6092" w:type="dxa"/>
          </w:tcPr>
          <w:p w14:paraId="0089ADFA" w14:textId="77777777" w:rsidR="003B7578" w:rsidRDefault="003B7578" w:rsidP="003B7578"/>
        </w:tc>
      </w:tr>
      <w:tr w:rsidR="003B7578" w14:paraId="0089ADFF" w14:textId="77777777">
        <w:tc>
          <w:tcPr>
            <w:tcW w:w="1838" w:type="dxa"/>
          </w:tcPr>
          <w:p w14:paraId="0089ADFC" w14:textId="77777777" w:rsidR="003B7578" w:rsidRDefault="003B7578" w:rsidP="003B7578"/>
        </w:tc>
        <w:tc>
          <w:tcPr>
            <w:tcW w:w="1701" w:type="dxa"/>
          </w:tcPr>
          <w:p w14:paraId="0089ADFD" w14:textId="77777777" w:rsidR="003B7578" w:rsidRDefault="003B7578" w:rsidP="003B7578"/>
        </w:tc>
        <w:tc>
          <w:tcPr>
            <w:tcW w:w="6092" w:type="dxa"/>
          </w:tcPr>
          <w:p w14:paraId="0089ADFE" w14:textId="77777777" w:rsidR="003B7578" w:rsidRDefault="003B7578" w:rsidP="003B7578"/>
        </w:tc>
      </w:tr>
      <w:tr w:rsidR="003B7578" w14:paraId="0089AE03" w14:textId="77777777">
        <w:tc>
          <w:tcPr>
            <w:tcW w:w="1838" w:type="dxa"/>
          </w:tcPr>
          <w:p w14:paraId="0089AE00" w14:textId="77777777" w:rsidR="003B7578" w:rsidRDefault="003B7578" w:rsidP="003B7578"/>
        </w:tc>
        <w:tc>
          <w:tcPr>
            <w:tcW w:w="1701" w:type="dxa"/>
          </w:tcPr>
          <w:p w14:paraId="0089AE01" w14:textId="77777777" w:rsidR="003B7578" w:rsidRDefault="003B7578" w:rsidP="003B7578"/>
        </w:tc>
        <w:tc>
          <w:tcPr>
            <w:tcW w:w="6092" w:type="dxa"/>
          </w:tcPr>
          <w:p w14:paraId="0089AE02" w14:textId="77777777" w:rsidR="003B7578" w:rsidRDefault="003B7578" w:rsidP="003B7578"/>
        </w:tc>
      </w:tr>
    </w:tbl>
    <w:p w14:paraId="0089AE04" w14:textId="77777777" w:rsidR="0056151D" w:rsidRDefault="0056151D"/>
    <w:p w14:paraId="0089AE05" w14:textId="77777777" w:rsidR="0056151D" w:rsidRDefault="002C2D01">
      <w:pPr>
        <w:pStyle w:val="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af1"/>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f1"/>
        <w:numPr>
          <w:ilvl w:val="0"/>
          <w:numId w:val="8"/>
        </w:numPr>
        <w:rPr>
          <w:b/>
          <w:bCs/>
          <w:color w:val="000000"/>
          <w:lang w:eastAsia="zh-CN"/>
        </w:rPr>
      </w:pPr>
      <w:r>
        <w:rPr>
          <w:b/>
          <w:bCs/>
        </w:rPr>
        <w:lastRenderedPageBreak/>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f0"/>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r>
              <w:rPr>
                <w:bCs/>
              </w:rPr>
              <w:t>gNB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gNB),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r w:rsidRPr="00E12297">
              <w:rPr>
                <w:i/>
                <w:iCs/>
                <w:lang w:eastAsia="ja-JP"/>
              </w:rPr>
              <w:t>gNB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w:t>
            </w:r>
            <w:proofErr w:type="gramStart"/>
            <w:r>
              <w:rPr>
                <w:lang w:eastAsia="ja-JP"/>
              </w:rPr>
              <w:t>forwarding</w:t>
            </w:r>
            <w:proofErr w:type="gramEnd"/>
            <w:r>
              <w:rPr>
                <w:lang w:eastAsia="ja-JP"/>
              </w:rPr>
              <w:t xml:space="preserve">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FC3C76" w14:paraId="0089AE2D" w14:textId="77777777">
        <w:tc>
          <w:tcPr>
            <w:tcW w:w="1838" w:type="dxa"/>
          </w:tcPr>
          <w:p w14:paraId="0089AE2A" w14:textId="77777777" w:rsidR="00FC3C76" w:rsidRDefault="00FC3C76" w:rsidP="00FC3C76"/>
        </w:tc>
        <w:tc>
          <w:tcPr>
            <w:tcW w:w="1701" w:type="dxa"/>
          </w:tcPr>
          <w:p w14:paraId="0089AE2B" w14:textId="77777777" w:rsidR="00FC3C76" w:rsidRDefault="00FC3C76" w:rsidP="00FC3C76"/>
        </w:tc>
        <w:tc>
          <w:tcPr>
            <w:tcW w:w="6092" w:type="dxa"/>
          </w:tcPr>
          <w:p w14:paraId="0089AE2C" w14:textId="77777777" w:rsidR="00FC3C76" w:rsidRDefault="00FC3C76" w:rsidP="00FC3C76"/>
        </w:tc>
      </w:tr>
      <w:tr w:rsidR="00FC3C76" w14:paraId="0089AE31" w14:textId="77777777">
        <w:tc>
          <w:tcPr>
            <w:tcW w:w="1838" w:type="dxa"/>
          </w:tcPr>
          <w:p w14:paraId="0089AE2E" w14:textId="77777777" w:rsidR="00FC3C76" w:rsidRDefault="00FC3C76" w:rsidP="00FC3C76"/>
        </w:tc>
        <w:tc>
          <w:tcPr>
            <w:tcW w:w="1701" w:type="dxa"/>
          </w:tcPr>
          <w:p w14:paraId="0089AE2F" w14:textId="77777777" w:rsidR="00FC3C76" w:rsidRDefault="00FC3C76" w:rsidP="00FC3C76"/>
        </w:tc>
        <w:tc>
          <w:tcPr>
            <w:tcW w:w="6092" w:type="dxa"/>
          </w:tcPr>
          <w:p w14:paraId="0089AE30" w14:textId="77777777" w:rsidR="00FC3C76" w:rsidRDefault="00FC3C76" w:rsidP="00FC3C76"/>
        </w:tc>
      </w:tr>
      <w:tr w:rsidR="00FC3C76" w14:paraId="0089AE35" w14:textId="77777777">
        <w:tc>
          <w:tcPr>
            <w:tcW w:w="1838" w:type="dxa"/>
          </w:tcPr>
          <w:p w14:paraId="0089AE32" w14:textId="77777777" w:rsidR="00FC3C76" w:rsidRDefault="00FC3C76" w:rsidP="00FC3C76"/>
        </w:tc>
        <w:tc>
          <w:tcPr>
            <w:tcW w:w="1701" w:type="dxa"/>
          </w:tcPr>
          <w:p w14:paraId="0089AE33" w14:textId="77777777" w:rsidR="00FC3C76" w:rsidRDefault="00FC3C76" w:rsidP="00FC3C76"/>
        </w:tc>
        <w:tc>
          <w:tcPr>
            <w:tcW w:w="6092" w:type="dxa"/>
          </w:tcPr>
          <w:p w14:paraId="0089AE34" w14:textId="77777777" w:rsidR="00FC3C76" w:rsidRDefault="00FC3C76" w:rsidP="00FC3C76"/>
        </w:tc>
      </w:tr>
      <w:tr w:rsidR="00FC3C76" w14:paraId="0089AE39" w14:textId="77777777">
        <w:tc>
          <w:tcPr>
            <w:tcW w:w="1838" w:type="dxa"/>
          </w:tcPr>
          <w:p w14:paraId="0089AE36" w14:textId="77777777" w:rsidR="00FC3C76" w:rsidRDefault="00FC3C76" w:rsidP="00FC3C76"/>
        </w:tc>
        <w:tc>
          <w:tcPr>
            <w:tcW w:w="1701" w:type="dxa"/>
          </w:tcPr>
          <w:p w14:paraId="0089AE37" w14:textId="77777777" w:rsidR="00FC3C76" w:rsidRDefault="00FC3C76" w:rsidP="00FC3C76"/>
        </w:tc>
        <w:tc>
          <w:tcPr>
            <w:tcW w:w="6092" w:type="dxa"/>
          </w:tcPr>
          <w:p w14:paraId="0089AE38" w14:textId="77777777" w:rsidR="00FC3C76" w:rsidRDefault="00FC3C76" w:rsidP="00FC3C76"/>
        </w:tc>
      </w:tr>
      <w:tr w:rsidR="00FC3C76" w14:paraId="0089AE3D" w14:textId="77777777">
        <w:tc>
          <w:tcPr>
            <w:tcW w:w="1838" w:type="dxa"/>
          </w:tcPr>
          <w:p w14:paraId="0089AE3A" w14:textId="77777777" w:rsidR="00FC3C76" w:rsidRDefault="00FC3C76" w:rsidP="00FC3C76"/>
        </w:tc>
        <w:tc>
          <w:tcPr>
            <w:tcW w:w="1701" w:type="dxa"/>
          </w:tcPr>
          <w:p w14:paraId="0089AE3B" w14:textId="77777777" w:rsidR="00FC3C76" w:rsidRDefault="00FC3C76" w:rsidP="00FC3C76"/>
        </w:tc>
        <w:tc>
          <w:tcPr>
            <w:tcW w:w="6092" w:type="dxa"/>
          </w:tcPr>
          <w:p w14:paraId="0089AE3C" w14:textId="77777777" w:rsidR="00FC3C76" w:rsidRDefault="00FC3C76" w:rsidP="00FC3C76"/>
        </w:tc>
      </w:tr>
      <w:tr w:rsidR="00FC3C76" w14:paraId="0089AE41" w14:textId="77777777">
        <w:tc>
          <w:tcPr>
            <w:tcW w:w="1838" w:type="dxa"/>
          </w:tcPr>
          <w:p w14:paraId="0089AE3E" w14:textId="77777777" w:rsidR="00FC3C76" w:rsidRDefault="00FC3C76" w:rsidP="00FC3C76"/>
        </w:tc>
        <w:tc>
          <w:tcPr>
            <w:tcW w:w="1701" w:type="dxa"/>
          </w:tcPr>
          <w:p w14:paraId="0089AE3F" w14:textId="77777777" w:rsidR="00FC3C76" w:rsidRDefault="00FC3C76" w:rsidP="00FC3C76"/>
        </w:tc>
        <w:tc>
          <w:tcPr>
            <w:tcW w:w="6092" w:type="dxa"/>
          </w:tcPr>
          <w:p w14:paraId="0089AE40" w14:textId="77777777" w:rsidR="00FC3C76" w:rsidRDefault="00FC3C76" w:rsidP="00FC3C76"/>
        </w:tc>
      </w:tr>
      <w:tr w:rsidR="00FC3C76" w14:paraId="0089AE45" w14:textId="77777777">
        <w:tc>
          <w:tcPr>
            <w:tcW w:w="1838" w:type="dxa"/>
          </w:tcPr>
          <w:p w14:paraId="0089AE42" w14:textId="77777777" w:rsidR="00FC3C76" w:rsidRDefault="00FC3C76" w:rsidP="00FC3C76"/>
        </w:tc>
        <w:tc>
          <w:tcPr>
            <w:tcW w:w="1701" w:type="dxa"/>
          </w:tcPr>
          <w:p w14:paraId="0089AE43" w14:textId="77777777" w:rsidR="00FC3C76" w:rsidRDefault="00FC3C76" w:rsidP="00FC3C76"/>
        </w:tc>
        <w:tc>
          <w:tcPr>
            <w:tcW w:w="6092" w:type="dxa"/>
          </w:tcPr>
          <w:p w14:paraId="0089AE44" w14:textId="77777777" w:rsidR="00FC3C76" w:rsidRDefault="00FC3C76" w:rsidP="00FC3C76"/>
        </w:tc>
      </w:tr>
    </w:tbl>
    <w:p w14:paraId="0089AE46" w14:textId="77777777" w:rsidR="0056151D" w:rsidRDefault="0056151D"/>
    <w:p w14:paraId="0089AE47" w14:textId="77777777"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t>Assuming that the network can indeed release the NCR-MT to RRC_IDLE we have the following proposal from Qualcomm in R2-2300639 to discuss.</w:t>
      </w:r>
      <w:r>
        <w:rPr>
          <w:noProof/>
          <w:lang w:val="en-US"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1"/>
                              <w:numPr>
                                <w:ilvl w:val="0"/>
                                <w:numId w:val="9"/>
                              </w:numPr>
                            </w:pPr>
                            <w:r>
                              <w:t>If the NCR-MT is RRC_INACTIVE, the gNB can page the NCR-MT and provide new side control configuration.</w:t>
                            </w:r>
                          </w:p>
                          <w:p w14:paraId="0089AFC9" w14:textId="77777777" w:rsidR="0056151D" w:rsidRDefault="002C2D01">
                            <w:pPr>
                              <w:pStyle w:val="af1"/>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1"/>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1"/>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f0"/>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lastRenderedPageBreak/>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proofErr w:type="gramStart"/>
            <w:r>
              <w:rPr>
                <w:rFonts w:hint="eastAsia"/>
                <w:lang w:eastAsia="ja-JP"/>
              </w:rPr>
              <w:t>A</w:t>
            </w:r>
            <w:r>
              <w:rPr>
                <w:lang w:eastAsia="ja-JP"/>
              </w:rPr>
              <w:t>nd,</w:t>
            </w:r>
            <w:proofErr w:type="gramEnd"/>
            <w:r>
              <w:rPr>
                <w:lang w:eastAsia="ja-JP"/>
              </w:rPr>
              <w:t xml:space="preserve">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we think the NCR-MT should be switched OFF. Otherwise, the NCR may follow the outdated NCR configuration forever, in the worst case. </w:t>
            </w:r>
          </w:p>
        </w:tc>
      </w:tr>
      <w:tr w:rsidR="005914C0" w14:paraId="0089AE68" w14:textId="77777777">
        <w:tc>
          <w:tcPr>
            <w:tcW w:w="1838" w:type="dxa"/>
          </w:tcPr>
          <w:p w14:paraId="0089AE65" w14:textId="77777777" w:rsidR="005914C0" w:rsidRDefault="005914C0" w:rsidP="005914C0"/>
        </w:tc>
        <w:tc>
          <w:tcPr>
            <w:tcW w:w="1701" w:type="dxa"/>
          </w:tcPr>
          <w:p w14:paraId="0089AE66" w14:textId="77777777" w:rsidR="005914C0" w:rsidRDefault="005914C0" w:rsidP="005914C0"/>
        </w:tc>
        <w:tc>
          <w:tcPr>
            <w:tcW w:w="6092" w:type="dxa"/>
          </w:tcPr>
          <w:p w14:paraId="0089AE67" w14:textId="77777777" w:rsidR="005914C0" w:rsidRDefault="005914C0" w:rsidP="005914C0"/>
        </w:tc>
      </w:tr>
      <w:tr w:rsidR="005914C0" w14:paraId="0089AE6C" w14:textId="77777777">
        <w:tc>
          <w:tcPr>
            <w:tcW w:w="1838" w:type="dxa"/>
          </w:tcPr>
          <w:p w14:paraId="0089AE69" w14:textId="77777777" w:rsidR="005914C0" w:rsidRDefault="005914C0" w:rsidP="005914C0"/>
        </w:tc>
        <w:tc>
          <w:tcPr>
            <w:tcW w:w="1701" w:type="dxa"/>
          </w:tcPr>
          <w:p w14:paraId="0089AE6A" w14:textId="77777777" w:rsidR="005914C0" w:rsidRDefault="005914C0" w:rsidP="005914C0"/>
        </w:tc>
        <w:tc>
          <w:tcPr>
            <w:tcW w:w="6092" w:type="dxa"/>
          </w:tcPr>
          <w:p w14:paraId="0089AE6B" w14:textId="77777777" w:rsidR="005914C0" w:rsidRDefault="005914C0" w:rsidP="005914C0"/>
        </w:tc>
      </w:tr>
      <w:tr w:rsidR="005914C0" w14:paraId="0089AE70" w14:textId="77777777">
        <w:tc>
          <w:tcPr>
            <w:tcW w:w="1838" w:type="dxa"/>
          </w:tcPr>
          <w:p w14:paraId="0089AE6D" w14:textId="77777777" w:rsidR="005914C0" w:rsidRDefault="005914C0" w:rsidP="005914C0"/>
        </w:tc>
        <w:tc>
          <w:tcPr>
            <w:tcW w:w="1701" w:type="dxa"/>
          </w:tcPr>
          <w:p w14:paraId="0089AE6E" w14:textId="77777777" w:rsidR="005914C0" w:rsidRDefault="005914C0" w:rsidP="005914C0"/>
        </w:tc>
        <w:tc>
          <w:tcPr>
            <w:tcW w:w="6092" w:type="dxa"/>
          </w:tcPr>
          <w:p w14:paraId="0089AE6F" w14:textId="77777777" w:rsidR="005914C0" w:rsidRDefault="005914C0" w:rsidP="005914C0"/>
        </w:tc>
      </w:tr>
      <w:tr w:rsidR="005914C0" w14:paraId="0089AE74" w14:textId="77777777">
        <w:tc>
          <w:tcPr>
            <w:tcW w:w="1838" w:type="dxa"/>
          </w:tcPr>
          <w:p w14:paraId="0089AE71" w14:textId="77777777" w:rsidR="005914C0" w:rsidRDefault="005914C0" w:rsidP="005914C0"/>
        </w:tc>
        <w:tc>
          <w:tcPr>
            <w:tcW w:w="1701" w:type="dxa"/>
          </w:tcPr>
          <w:p w14:paraId="0089AE72" w14:textId="77777777" w:rsidR="005914C0" w:rsidRDefault="005914C0" w:rsidP="005914C0"/>
        </w:tc>
        <w:tc>
          <w:tcPr>
            <w:tcW w:w="6092" w:type="dxa"/>
          </w:tcPr>
          <w:p w14:paraId="0089AE73" w14:textId="77777777" w:rsidR="005914C0" w:rsidRDefault="005914C0" w:rsidP="005914C0"/>
        </w:tc>
      </w:tr>
      <w:tr w:rsidR="005914C0" w14:paraId="0089AE78" w14:textId="77777777">
        <w:tc>
          <w:tcPr>
            <w:tcW w:w="1838" w:type="dxa"/>
          </w:tcPr>
          <w:p w14:paraId="0089AE75" w14:textId="77777777" w:rsidR="005914C0" w:rsidRDefault="005914C0" w:rsidP="005914C0"/>
        </w:tc>
        <w:tc>
          <w:tcPr>
            <w:tcW w:w="1701" w:type="dxa"/>
          </w:tcPr>
          <w:p w14:paraId="0089AE76" w14:textId="77777777" w:rsidR="005914C0" w:rsidRDefault="005914C0" w:rsidP="005914C0"/>
        </w:tc>
        <w:tc>
          <w:tcPr>
            <w:tcW w:w="6092" w:type="dxa"/>
          </w:tcPr>
          <w:p w14:paraId="0089AE77" w14:textId="77777777" w:rsidR="005914C0" w:rsidRDefault="005914C0" w:rsidP="005914C0"/>
        </w:tc>
      </w:tr>
      <w:tr w:rsidR="005914C0" w14:paraId="0089AE7C" w14:textId="77777777">
        <w:tc>
          <w:tcPr>
            <w:tcW w:w="1838" w:type="dxa"/>
          </w:tcPr>
          <w:p w14:paraId="0089AE79" w14:textId="77777777" w:rsidR="005914C0" w:rsidRDefault="005914C0" w:rsidP="005914C0"/>
        </w:tc>
        <w:tc>
          <w:tcPr>
            <w:tcW w:w="1701" w:type="dxa"/>
          </w:tcPr>
          <w:p w14:paraId="0089AE7A" w14:textId="77777777" w:rsidR="005914C0" w:rsidRDefault="005914C0" w:rsidP="005914C0"/>
        </w:tc>
        <w:tc>
          <w:tcPr>
            <w:tcW w:w="6092" w:type="dxa"/>
          </w:tcPr>
          <w:p w14:paraId="0089AE7B" w14:textId="77777777" w:rsidR="005914C0" w:rsidRDefault="005914C0" w:rsidP="005914C0"/>
        </w:tc>
      </w:tr>
    </w:tbl>
    <w:p w14:paraId="0089AE7D" w14:textId="77777777" w:rsidR="0056151D" w:rsidRDefault="0056151D">
      <w:pPr>
        <w:rPr>
          <w:b/>
          <w:bCs/>
        </w:rPr>
      </w:pPr>
    </w:p>
    <w:p w14:paraId="0089AE7E" w14:textId="77777777" w:rsidR="0056151D" w:rsidRDefault="002C2D01">
      <w:pPr>
        <w:pStyle w:val="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f1"/>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af1"/>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af0"/>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lastRenderedPageBreak/>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A55F42" w14:paraId="0089AE9F" w14:textId="77777777">
        <w:tc>
          <w:tcPr>
            <w:tcW w:w="1838" w:type="dxa"/>
          </w:tcPr>
          <w:p w14:paraId="0089AE9C" w14:textId="77777777" w:rsidR="00A55F42" w:rsidRDefault="00A55F42" w:rsidP="00A55F42"/>
        </w:tc>
        <w:tc>
          <w:tcPr>
            <w:tcW w:w="1701" w:type="dxa"/>
          </w:tcPr>
          <w:p w14:paraId="0089AE9D" w14:textId="77777777" w:rsidR="00A55F42" w:rsidRDefault="00A55F42" w:rsidP="00A55F42"/>
        </w:tc>
        <w:tc>
          <w:tcPr>
            <w:tcW w:w="6092" w:type="dxa"/>
          </w:tcPr>
          <w:p w14:paraId="0089AE9E" w14:textId="77777777" w:rsidR="00A55F42" w:rsidRDefault="00A55F42" w:rsidP="00A55F42"/>
        </w:tc>
      </w:tr>
      <w:tr w:rsidR="00A55F42" w14:paraId="0089AEA3" w14:textId="77777777">
        <w:tc>
          <w:tcPr>
            <w:tcW w:w="1838" w:type="dxa"/>
          </w:tcPr>
          <w:p w14:paraId="0089AEA0" w14:textId="77777777" w:rsidR="00A55F42" w:rsidRDefault="00A55F42" w:rsidP="00A55F42"/>
        </w:tc>
        <w:tc>
          <w:tcPr>
            <w:tcW w:w="1701" w:type="dxa"/>
          </w:tcPr>
          <w:p w14:paraId="0089AEA1" w14:textId="77777777" w:rsidR="00A55F42" w:rsidRDefault="00A55F42" w:rsidP="00A55F42"/>
        </w:tc>
        <w:tc>
          <w:tcPr>
            <w:tcW w:w="6092" w:type="dxa"/>
          </w:tcPr>
          <w:p w14:paraId="0089AEA2" w14:textId="77777777" w:rsidR="00A55F42" w:rsidRDefault="00A55F42" w:rsidP="00A55F42"/>
        </w:tc>
      </w:tr>
      <w:tr w:rsidR="00A55F42" w14:paraId="0089AEA7" w14:textId="77777777">
        <w:tc>
          <w:tcPr>
            <w:tcW w:w="1838" w:type="dxa"/>
          </w:tcPr>
          <w:p w14:paraId="0089AEA4" w14:textId="77777777" w:rsidR="00A55F42" w:rsidRDefault="00A55F42" w:rsidP="00A55F42"/>
        </w:tc>
        <w:tc>
          <w:tcPr>
            <w:tcW w:w="1701" w:type="dxa"/>
          </w:tcPr>
          <w:p w14:paraId="0089AEA5" w14:textId="77777777" w:rsidR="00A55F42" w:rsidRDefault="00A55F42" w:rsidP="00A55F42"/>
        </w:tc>
        <w:tc>
          <w:tcPr>
            <w:tcW w:w="6092" w:type="dxa"/>
          </w:tcPr>
          <w:p w14:paraId="0089AEA6" w14:textId="77777777" w:rsidR="00A55F42" w:rsidRDefault="00A55F42" w:rsidP="00A55F42"/>
        </w:tc>
      </w:tr>
      <w:tr w:rsidR="00A55F42" w14:paraId="0089AEAB" w14:textId="77777777">
        <w:tc>
          <w:tcPr>
            <w:tcW w:w="1838" w:type="dxa"/>
          </w:tcPr>
          <w:p w14:paraId="0089AEA8" w14:textId="77777777" w:rsidR="00A55F42" w:rsidRDefault="00A55F42" w:rsidP="00A55F42"/>
        </w:tc>
        <w:tc>
          <w:tcPr>
            <w:tcW w:w="1701" w:type="dxa"/>
          </w:tcPr>
          <w:p w14:paraId="0089AEA9" w14:textId="77777777" w:rsidR="00A55F42" w:rsidRDefault="00A55F42" w:rsidP="00A55F42"/>
        </w:tc>
        <w:tc>
          <w:tcPr>
            <w:tcW w:w="6092" w:type="dxa"/>
          </w:tcPr>
          <w:p w14:paraId="0089AEAA" w14:textId="77777777" w:rsidR="00A55F42" w:rsidRDefault="00A55F42" w:rsidP="00A55F42"/>
        </w:tc>
      </w:tr>
      <w:tr w:rsidR="00A55F42" w14:paraId="0089AEAF" w14:textId="77777777">
        <w:tc>
          <w:tcPr>
            <w:tcW w:w="1838" w:type="dxa"/>
          </w:tcPr>
          <w:p w14:paraId="0089AEAC" w14:textId="77777777" w:rsidR="00A55F42" w:rsidRDefault="00A55F42" w:rsidP="00A55F42"/>
        </w:tc>
        <w:tc>
          <w:tcPr>
            <w:tcW w:w="1701" w:type="dxa"/>
          </w:tcPr>
          <w:p w14:paraId="0089AEAD" w14:textId="77777777" w:rsidR="00A55F42" w:rsidRDefault="00A55F42" w:rsidP="00A55F42"/>
        </w:tc>
        <w:tc>
          <w:tcPr>
            <w:tcW w:w="6092" w:type="dxa"/>
          </w:tcPr>
          <w:p w14:paraId="0089AEAE" w14:textId="77777777" w:rsidR="00A55F42" w:rsidRDefault="00A55F42" w:rsidP="00A55F42"/>
        </w:tc>
      </w:tr>
      <w:tr w:rsidR="00A55F42" w14:paraId="0089AEB3" w14:textId="77777777">
        <w:tc>
          <w:tcPr>
            <w:tcW w:w="1838" w:type="dxa"/>
          </w:tcPr>
          <w:p w14:paraId="0089AEB0" w14:textId="77777777" w:rsidR="00A55F42" w:rsidRDefault="00A55F42" w:rsidP="00A55F42"/>
        </w:tc>
        <w:tc>
          <w:tcPr>
            <w:tcW w:w="1701" w:type="dxa"/>
          </w:tcPr>
          <w:p w14:paraId="0089AEB1" w14:textId="77777777" w:rsidR="00A55F42" w:rsidRDefault="00A55F42" w:rsidP="00A55F42"/>
        </w:tc>
        <w:tc>
          <w:tcPr>
            <w:tcW w:w="6092" w:type="dxa"/>
          </w:tcPr>
          <w:p w14:paraId="0089AEB2" w14:textId="77777777" w:rsidR="00A55F42" w:rsidRDefault="00A55F42" w:rsidP="00A55F42"/>
        </w:tc>
      </w:tr>
    </w:tbl>
    <w:p w14:paraId="0089AEB4" w14:textId="77777777" w:rsidR="0056151D" w:rsidRDefault="0056151D"/>
    <w:p w14:paraId="0089AEB5" w14:textId="77777777" w:rsidR="0056151D" w:rsidRDefault="002C2D01">
      <w:pPr>
        <w:pStyle w:val="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val="en-US"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f1"/>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af1"/>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af0"/>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w:t>
            </w:r>
            <w:proofErr w:type="gramStart"/>
            <w:r>
              <w:t>in side</w:t>
            </w:r>
            <w:proofErr w:type="gramEnd"/>
            <w:r>
              <w:t xml:space="preserv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3B3B59" w14:paraId="0089AED8" w14:textId="77777777">
        <w:tc>
          <w:tcPr>
            <w:tcW w:w="1838" w:type="dxa"/>
          </w:tcPr>
          <w:p w14:paraId="0089AED5" w14:textId="77777777" w:rsidR="003B3B59" w:rsidRDefault="003B3B59" w:rsidP="003B3B59"/>
        </w:tc>
        <w:tc>
          <w:tcPr>
            <w:tcW w:w="1701" w:type="dxa"/>
          </w:tcPr>
          <w:p w14:paraId="0089AED6" w14:textId="77777777" w:rsidR="003B3B59" w:rsidRDefault="003B3B59" w:rsidP="003B3B59"/>
        </w:tc>
        <w:tc>
          <w:tcPr>
            <w:tcW w:w="6092" w:type="dxa"/>
          </w:tcPr>
          <w:p w14:paraId="0089AED7" w14:textId="77777777" w:rsidR="003B3B59" w:rsidRDefault="003B3B59" w:rsidP="003B3B59"/>
        </w:tc>
      </w:tr>
      <w:tr w:rsidR="003B3B59" w14:paraId="0089AEDC" w14:textId="77777777">
        <w:tc>
          <w:tcPr>
            <w:tcW w:w="1838" w:type="dxa"/>
          </w:tcPr>
          <w:p w14:paraId="0089AED9" w14:textId="77777777" w:rsidR="003B3B59" w:rsidRDefault="003B3B59" w:rsidP="003B3B59"/>
        </w:tc>
        <w:tc>
          <w:tcPr>
            <w:tcW w:w="1701" w:type="dxa"/>
          </w:tcPr>
          <w:p w14:paraId="0089AEDA" w14:textId="77777777" w:rsidR="003B3B59" w:rsidRDefault="003B3B59" w:rsidP="003B3B59"/>
        </w:tc>
        <w:tc>
          <w:tcPr>
            <w:tcW w:w="6092" w:type="dxa"/>
          </w:tcPr>
          <w:p w14:paraId="0089AEDB" w14:textId="77777777" w:rsidR="003B3B59" w:rsidRDefault="003B3B59" w:rsidP="003B3B59"/>
        </w:tc>
      </w:tr>
      <w:tr w:rsidR="003B3B59" w14:paraId="0089AEE0" w14:textId="77777777">
        <w:tc>
          <w:tcPr>
            <w:tcW w:w="1838" w:type="dxa"/>
          </w:tcPr>
          <w:p w14:paraId="0089AEDD" w14:textId="77777777" w:rsidR="003B3B59" w:rsidRDefault="003B3B59" w:rsidP="003B3B59"/>
        </w:tc>
        <w:tc>
          <w:tcPr>
            <w:tcW w:w="1701" w:type="dxa"/>
          </w:tcPr>
          <w:p w14:paraId="0089AEDE" w14:textId="77777777" w:rsidR="003B3B59" w:rsidRDefault="003B3B59" w:rsidP="003B3B59"/>
        </w:tc>
        <w:tc>
          <w:tcPr>
            <w:tcW w:w="6092" w:type="dxa"/>
          </w:tcPr>
          <w:p w14:paraId="0089AEDF" w14:textId="77777777" w:rsidR="003B3B59" w:rsidRDefault="003B3B59" w:rsidP="003B3B59"/>
        </w:tc>
      </w:tr>
      <w:tr w:rsidR="003B3B59" w14:paraId="0089AEE4" w14:textId="77777777">
        <w:tc>
          <w:tcPr>
            <w:tcW w:w="1838" w:type="dxa"/>
          </w:tcPr>
          <w:p w14:paraId="0089AEE1" w14:textId="77777777" w:rsidR="003B3B59" w:rsidRDefault="003B3B59" w:rsidP="003B3B59"/>
        </w:tc>
        <w:tc>
          <w:tcPr>
            <w:tcW w:w="1701" w:type="dxa"/>
          </w:tcPr>
          <w:p w14:paraId="0089AEE2" w14:textId="77777777" w:rsidR="003B3B59" w:rsidRDefault="003B3B59" w:rsidP="003B3B59"/>
        </w:tc>
        <w:tc>
          <w:tcPr>
            <w:tcW w:w="6092" w:type="dxa"/>
          </w:tcPr>
          <w:p w14:paraId="0089AEE3" w14:textId="77777777" w:rsidR="003B3B59" w:rsidRDefault="003B3B59" w:rsidP="003B3B59"/>
        </w:tc>
      </w:tr>
      <w:tr w:rsidR="003B3B59" w14:paraId="0089AEE8" w14:textId="77777777">
        <w:tc>
          <w:tcPr>
            <w:tcW w:w="1838" w:type="dxa"/>
          </w:tcPr>
          <w:p w14:paraId="0089AEE5" w14:textId="77777777" w:rsidR="003B3B59" w:rsidRDefault="003B3B59" w:rsidP="003B3B59"/>
        </w:tc>
        <w:tc>
          <w:tcPr>
            <w:tcW w:w="1701" w:type="dxa"/>
          </w:tcPr>
          <w:p w14:paraId="0089AEE6" w14:textId="77777777" w:rsidR="003B3B59" w:rsidRDefault="003B3B59" w:rsidP="003B3B59"/>
        </w:tc>
        <w:tc>
          <w:tcPr>
            <w:tcW w:w="6092" w:type="dxa"/>
          </w:tcPr>
          <w:p w14:paraId="0089AEE7" w14:textId="77777777" w:rsidR="003B3B59" w:rsidRDefault="003B3B59" w:rsidP="003B3B59"/>
        </w:tc>
      </w:tr>
      <w:tr w:rsidR="003B3B59" w14:paraId="0089AEEC" w14:textId="77777777">
        <w:tc>
          <w:tcPr>
            <w:tcW w:w="1838" w:type="dxa"/>
          </w:tcPr>
          <w:p w14:paraId="0089AEE9" w14:textId="77777777" w:rsidR="003B3B59" w:rsidRDefault="003B3B59" w:rsidP="003B3B59"/>
        </w:tc>
        <w:tc>
          <w:tcPr>
            <w:tcW w:w="1701" w:type="dxa"/>
          </w:tcPr>
          <w:p w14:paraId="0089AEEA" w14:textId="77777777" w:rsidR="003B3B59" w:rsidRDefault="003B3B59" w:rsidP="003B3B59"/>
        </w:tc>
        <w:tc>
          <w:tcPr>
            <w:tcW w:w="6092" w:type="dxa"/>
          </w:tcPr>
          <w:p w14:paraId="0089AEEB" w14:textId="77777777" w:rsidR="003B3B59" w:rsidRDefault="003B3B59" w:rsidP="003B3B59"/>
        </w:tc>
      </w:tr>
    </w:tbl>
    <w:p w14:paraId="0089AEED" w14:textId="77777777" w:rsidR="0056151D" w:rsidRDefault="0056151D"/>
    <w:p w14:paraId="0089AEEE" w14:textId="77777777" w:rsidR="0056151D" w:rsidRDefault="002C2D01">
      <w:pPr>
        <w:pStyle w:val="1"/>
      </w:pPr>
      <w:r>
        <w:t>4</w:t>
      </w:r>
      <w:r>
        <w:tab/>
        <w:t>Summary</w:t>
      </w:r>
    </w:p>
    <w:p w14:paraId="0089AEEF" w14:textId="77777777" w:rsidR="0056151D" w:rsidRDefault="002C2D01">
      <w:r>
        <w:t>[This section will be updated once company views have been collected.]</w:t>
      </w:r>
    </w:p>
    <w:p w14:paraId="0089AEF0" w14:textId="77777777" w:rsidR="0056151D" w:rsidRDefault="002C2D01">
      <w:pPr>
        <w:spacing w:after="0"/>
      </w:pPr>
      <w:r>
        <w:br w:type="page"/>
      </w:r>
    </w:p>
    <w:p w14:paraId="0089AEF1" w14:textId="77777777" w:rsidR="0056151D" w:rsidRDefault="0056151D">
      <w:pPr>
        <w:pStyle w:val="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val="en-US"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0" w:name="_Hlk128536494"/>
      <w:r>
        <w:t>–</w:t>
      </w:r>
      <w:r>
        <w:tab/>
      </w:r>
      <w:bookmarkEnd w:id="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w:t>
      </w:r>
      <w:proofErr w:type="spellStart"/>
      <w:r>
        <w:rPr>
          <w:rFonts w:ascii="Courier New" w:eastAsia="SimSun" w:hAnsi="Courier New" w:cs="Courier New"/>
          <w:sz w:val="16"/>
          <w:szCs w:val="16"/>
        </w:rPr>
        <w:t>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ＭＳ Ｐゴシック"/>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val="en-US"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proofErr w:type="gramStart"/>
                            <w:r>
                              <w:rPr>
                                <w:rFonts w:eastAsia="SimSun"/>
                                <w:i/>
                                <w:iCs/>
                                <w:lang w:eastAsia="zh-CN"/>
                              </w:rPr>
                              <w:t>Down-select</w:t>
                            </w:r>
                            <w:proofErr w:type="gramEnd"/>
                            <w:r>
                              <w:rPr>
                                <w:rFonts w:eastAsia="SimSun"/>
                                <w:i/>
                                <w:iCs/>
                                <w:lang w:eastAsia="zh-CN"/>
                              </w:rPr>
                              <w:t xml:space="preserve">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1" w:name="_Toc115428956"/>
      <w:bookmarkStart w:id="2" w:name="_Toc60777165"/>
      <w:r>
        <w:t>–</w:t>
      </w:r>
      <w:r>
        <w:tab/>
      </w:r>
      <w:proofErr w:type="spellStart"/>
      <w:r>
        <w:rPr>
          <w:i/>
          <w:iCs/>
        </w:rPr>
        <w:t>AperiodicBeamConfig</w:t>
      </w:r>
      <w:proofErr w:type="spellEnd"/>
      <w:r>
        <w:rPr>
          <w:i/>
          <w:iCs/>
        </w:rPr>
        <w:t>-NCR</w:t>
      </w:r>
      <w:bookmarkEnd w:id="1"/>
      <w:bookmarkEnd w:id="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B3DE" w14:textId="77777777" w:rsidR="00C51ABC" w:rsidRDefault="00C51ABC">
      <w:pPr>
        <w:spacing w:after="0"/>
      </w:pPr>
      <w:r>
        <w:separator/>
      </w:r>
    </w:p>
  </w:endnote>
  <w:endnote w:type="continuationSeparator" w:id="0">
    <w:p w14:paraId="5D93A827" w14:textId="77777777" w:rsidR="00C51ABC" w:rsidRDefault="00C51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DEB1" w14:textId="77777777" w:rsidR="00C51ABC" w:rsidRDefault="00C51ABC">
      <w:pPr>
        <w:spacing w:after="0"/>
      </w:pPr>
      <w:r>
        <w:separator/>
      </w:r>
    </w:p>
  </w:footnote>
  <w:footnote w:type="continuationSeparator" w:id="0">
    <w:p w14:paraId="2359AA3E" w14:textId="77777777" w:rsidR="00C51ABC" w:rsidRDefault="00C51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2B00F9"/>
    <w:multiLevelType w:val="multilevel"/>
    <w:tmpl w:val="352B00F9"/>
    <w:lvl w:ilvl="0">
      <w:start w:val="1"/>
      <w:numFmt w:val="bullet"/>
      <w:lvlText w:val="-"/>
      <w:lvlJc w:val="left"/>
      <w:pPr>
        <w:ind w:left="2519" w:hanging="360"/>
      </w:pPr>
      <w:rPr>
        <w:rFonts w:ascii="Arial" w:eastAsia="ＭＳ 明朝"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96640645">
    <w:abstractNumId w:val="11"/>
  </w:num>
  <w:num w:numId="2" w16cid:durableId="7709313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437141840">
    <w:abstractNumId w:val="3"/>
  </w:num>
  <w:num w:numId="4" w16cid:durableId="1655987705">
    <w:abstractNumId w:val="10"/>
  </w:num>
  <w:num w:numId="5" w16cid:durableId="152113685">
    <w:abstractNumId w:val="8"/>
  </w:num>
  <w:num w:numId="6" w16cid:durableId="642391989">
    <w:abstractNumId w:val="9"/>
  </w:num>
  <w:num w:numId="7" w16cid:durableId="1567569499">
    <w:abstractNumId w:val="6"/>
  </w:num>
  <w:num w:numId="8" w16cid:durableId="885675363">
    <w:abstractNumId w:val="2"/>
  </w:num>
  <w:num w:numId="9" w16cid:durableId="1323041207">
    <w:abstractNumId w:val="7"/>
  </w:num>
  <w:num w:numId="10" w16cid:durableId="1896775288">
    <w:abstractNumId w:val="5"/>
  </w:num>
  <w:num w:numId="11" w16cid:durableId="539324885">
    <w:abstractNumId w:val="1"/>
  </w:num>
  <w:num w:numId="12" w16cid:durableId="181810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B7595"/>
    <w:rsid w:val="002C0B63"/>
    <w:rsid w:val="002C2D01"/>
    <w:rsid w:val="002C5713"/>
    <w:rsid w:val="002E4D2B"/>
    <w:rsid w:val="002F0D22"/>
    <w:rsid w:val="00301BED"/>
    <w:rsid w:val="003049ED"/>
    <w:rsid w:val="00311B17"/>
    <w:rsid w:val="003172DC"/>
    <w:rsid w:val="00321A7F"/>
    <w:rsid w:val="00325AE3"/>
    <w:rsid w:val="00326069"/>
    <w:rsid w:val="00343B08"/>
    <w:rsid w:val="0035462D"/>
    <w:rsid w:val="0036459E"/>
    <w:rsid w:val="00364B41"/>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character" w:styleId="a5">
    <w:name w:val="annotation reference"/>
    <w:basedOn w:val="a0"/>
    <w:rPr>
      <w:sz w:val="16"/>
      <w:szCs w:val="16"/>
    </w:rPr>
  </w:style>
  <w:style w:type="paragraph" w:styleId="a6">
    <w:name w:val="annotation text"/>
    <w:basedOn w:val="a"/>
    <w:link w:val="a7"/>
    <w:qFormat/>
  </w:style>
  <w:style w:type="paragraph" w:styleId="a8">
    <w:name w:val="annotation subject"/>
    <w:basedOn w:val="a6"/>
    <w:next w:val="a6"/>
    <w:link w:val="a9"/>
    <w:qFormat/>
    <w:rPr>
      <w:b/>
      <w:bCs/>
    </w:rPr>
  </w:style>
  <w:style w:type="paragraph" w:styleId="aa">
    <w:name w:val="Document Map"/>
    <w:basedOn w:val="a"/>
    <w:link w:val="ab"/>
    <w:qFormat/>
    <w:pPr>
      <w:spacing w:after="0"/>
    </w:pPr>
    <w:rPr>
      <w:sz w:val="24"/>
      <w:szCs w:val="24"/>
    </w:rPr>
  </w:style>
  <w:style w:type="paragraph" w:styleId="ac">
    <w:name w:val="footer"/>
    <w:basedOn w:val="ad"/>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eastAsia="ja-JP"/>
    </w:rPr>
  </w:style>
  <w:style w:type="character" w:styleId="af">
    <w:name w:val="Hyperlink"/>
    <w:qFormat/>
    <w:rPr>
      <w:color w:val="0000FF"/>
      <w:u w:val="single"/>
    </w:rPr>
  </w:style>
  <w:style w:type="paragraph" w:styleId="Web">
    <w:name w:val="Normal (Web)"/>
    <w:basedOn w:val="a"/>
    <w:uiPriority w:val="99"/>
    <w:unhideWhenUsed/>
    <w:qFormat/>
    <w:pPr>
      <w:spacing w:before="100" w:beforeAutospacing="1" w:after="100" w:afterAutospacing="1"/>
    </w:pPr>
    <w:rPr>
      <w:sz w:val="24"/>
      <w:szCs w:val="24"/>
      <w:lang w:val="en-U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b">
    <w:name w:val="見出しマップ (文字)"/>
    <w:basedOn w:val="a0"/>
    <w:link w:val="aa"/>
    <w:qFormat/>
    <w:rPr>
      <w:sz w:val="24"/>
      <w:szCs w:val="24"/>
      <w:lang w:eastAsia="en-US"/>
    </w:rPr>
  </w:style>
  <w:style w:type="character" w:customStyle="1" w:styleId="a4">
    <w:name w:val="吹き出し (文字)"/>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cs="Arial"/>
      <w:szCs w:val="24"/>
      <w:lang w:eastAsia="en-GB"/>
    </w:rPr>
  </w:style>
  <w:style w:type="paragraph" w:styleId="af1">
    <w:name w:val="List Paragraph"/>
    <w:basedOn w:val="a"/>
    <w:link w:val="af2"/>
    <w:uiPriority w:val="34"/>
    <w:qFormat/>
    <w:pPr>
      <w:ind w:left="720"/>
      <w:contextualSpacing/>
    </w:pPr>
  </w:style>
  <w:style w:type="character" w:customStyle="1" w:styleId="a7">
    <w:name w:val="コメント文字列 (文字)"/>
    <w:basedOn w:val="a0"/>
    <w:link w:val="a6"/>
    <w:qFormat/>
    <w:rPr>
      <w:lang w:eastAsia="en-US"/>
    </w:rPr>
  </w:style>
  <w:style w:type="character" w:customStyle="1" w:styleId="a9">
    <w:name w:val="コメント内容 (文字)"/>
    <w:basedOn w:val="a7"/>
    <w:link w:val="a8"/>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ＭＳ 明朝"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f2">
    <w:name w:val="リスト段落 (文字)"/>
    <w:link w:val="af1"/>
    <w:uiPriority w:val="34"/>
    <w:qFormat/>
    <w:locked/>
    <w:rPr>
      <w:lang w:eastAsia="en-US"/>
    </w:rPr>
  </w:style>
  <w:style w:type="character" w:customStyle="1" w:styleId="EmailDiscussionChar">
    <w:name w:val="EmailDiscussion Char"/>
    <w:link w:val="EmailDiscussion"/>
    <w:qFormat/>
    <w:locked/>
    <w:rPr>
      <w:rFonts w:ascii="Arial" w:eastAsia="ＭＳ 明朝"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4202</Words>
  <Characters>23952</Characters>
  <Application>Microsoft Office Word</Application>
  <DocSecurity>0</DocSecurity>
  <Lines>199</Lines>
  <Paragraphs>56</Paragraphs>
  <ScaleCrop>false</ScaleCrop>
  <Company>Nokia</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Kyocera - Masato Fujishiro</cp:lastModifiedBy>
  <cp:revision>19</cp:revision>
  <dcterms:created xsi:type="dcterms:W3CDTF">2023-03-02T07:55:00Z</dcterms:created>
  <dcterms:modified xsi:type="dcterms:W3CDTF">2023-03-02T09:25:00Z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