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09D6" w:rsidRPr="00B266B0" w:rsidRDefault="00A209D6" w:rsidP="00A209D6">
      <w:pPr>
        <w:pStyle w:val="a3"/>
        <w:tabs>
          <w:tab w:val="right" w:pos="9639"/>
        </w:tabs>
        <w:rPr>
          <w:bCs/>
          <w:i/>
          <w:noProof w:val="0"/>
          <w:sz w:val="24"/>
          <w:szCs w:val="24"/>
        </w:rPr>
      </w:pPr>
      <w:r w:rsidRPr="003A41EF">
        <w:rPr>
          <w:bCs/>
          <w:noProof w:val="0"/>
          <w:sz w:val="24"/>
          <w:szCs w:val="24"/>
        </w:rPr>
        <w:t xml:space="preserve">3GPP TSG-RAN WG2 Meeting </w:t>
      </w:r>
      <w:r>
        <w:rPr>
          <w:bCs/>
          <w:noProof w:val="0"/>
          <w:sz w:val="24"/>
          <w:szCs w:val="24"/>
        </w:rPr>
        <w:t>#</w:t>
      </w:r>
      <w:r w:rsidR="0036459E">
        <w:rPr>
          <w:bCs/>
          <w:noProof w:val="0"/>
          <w:sz w:val="24"/>
          <w:szCs w:val="24"/>
        </w:rPr>
        <w:t>1</w:t>
      </w:r>
      <w:r w:rsidR="008B54E8">
        <w:rPr>
          <w:bCs/>
          <w:noProof w:val="0"/>
          <w:sz w:val="24"/>
          <w:szCs w:val="24"/>
        </w:rPr>
        <w:t>2</w:t>
      </w:r>
      <w:r w:rsidR="007C2BD0">
        <w:rPr>
          <w:bCs/>
          <w:noProof w:val="0"/>
          <w:sz w:val="24"/>
          <w:szCs w:val="24"/>
        </w:rPr>
        <w:t>1</w:t>
      </w:r>
      <w:r w:rsidRPr="00B266B0">
        <w:rPr>
          <w:bCs/>
          <w:noProof w:val="0"/>
          <w:sz w:val="24"/>
          <w:szCs w:val="24"/>
        </w:rPr>
        <w:tab/>
      </w:r>
      <w:r w:rsidR="006D0E42" w:rsidRPr="006D0E42">
        <w:rPr>
          <w:bCs/>
          <w:noProof w:val="0"/>
          <w:sz w:val="24"/>
          <w:szCs w:val="24"/>
        </w:rPr>
        <w:t>R2-2302086</w:t>
      </w:r>
      <w:bookmarkStart w:id="0" w:name="_GoBack"/>
      <w:bookmarkEnd w:id="0"/>
    </w:p>
    <w:p w:rsidR="00A209D6" w:rsidRPr="007C2BD0" w:rsidRDefault="007C2BD0" w:rsidP="007C2BD0">
      <w:pPr>
        <w:tabs>
          <w:tab w:val="right" w:pos="9639"/>
          <w:tab w:val="right" w:pos="13323"/>
        </w:tabs>
        <w:rPr>
          <w:rFonts w:ascii="Arial" w:eastAsiaTheme="minorEastAsia" w:hAnsi="Arial" w:cs="Arial"/>
          <w:b/>
          <w:sz w:val="24"/>
          <w:szCs w:val="24"/>
          <w:lang w:eastAsia="zh-CN"/>
        </w:rPr>
      </w:pPr>
      <w:r>
        <w:rPr>
          <w:rFonts w:ascii="Arial" w:hAnsi="Arial" w:cs="Arial"/>
          <w:b/>
          <w:sz w:val="24"/>
          <w:szCs w:val="24"/>
        </w:rPr>
        <w:t>Athens, Greece, 27th February – 3rd March, 2023</w:t>
      </w:r>
      <w:r w:rsidR="00A209D6">
        <w:rPr>
          <w:sz w:val="24"/>
          <w:szCs w:val="24"/>
          <w:lang w:eastAsia="zh-CN"/>
        </w:rPr>
        <w:tab/>
      </w:r>
    </w:p>
    <w:p w:rsidR="00A209D6" w:rsidRPr="00B266B0" w:rsidRDefault="00A209D6" w:rsidP="00A209D6">
      <w:pPr>
        <w:pStyle w:val="a3"/>
        <w:rPr>
          <w:bCs/>
          <w:noProof w:val="0"/>
          <w:sz w:val="24"/>
        </w:rPr>
      </w:pPr>
    </w:p>
    <w:p w:rsidR="00A209D6" w:rsidRPr="00B266B0" w:rsidRDefault="00A209D6" w:rsidP="00A209D6">
      <w:pPr>
        <w:pStyle w:val="a3"/>
        <w:rPr>
          <w:bCs/>
          <w:noProof w:val="0"/>
          <w:sz w:val="24"/>
        </w:rPr>
      </w:pPr>
    </w:p>
    <w:p w:rsidR="00446C3A" w:rsidRPr="00B266B0" w:rsidRDefault="00446C3A" w:rsidP="00446C3A">
      <w:pPr>
        <w:pStyle w:val="CRCoverPage"/>
        <w:tabs>
          <w:tab w:val="left" w:pos="1985"/>
        </w:tabs>
        <w:rPr>
          <w:rFonts w:cs="Arial"/>
          <w:b/>
          <w:bCs/>
          <w:sz w:val="24"/>
          <w:lang w:eastAsia="ja-JP"/>
        </w:rPr>
      </w:pPr>
      <w:r w:rsidRPr="00B266B0">
        <w:rPr>
          <w:rFonts w:cs="Arial"/>
          <w:b/>
          <w:bCs/>
          <w:sz w:val="24"/>
        </w:rPr>
        <w:t>Agenda item:</w:t>
      </w:r>
      <w:r>
        <w:rPr>
          <w:rFonts w:cs="Arial"/>
          <w:b/>
          <w:bCs/>
          <w:sz w:val="24"/>
        </w:rPr>
        <w:tab/>
      </w:r>
      <w:r w:rsidR="000F68AC">
        <w:rPr>
          <w:rFonts w:cs="Arial"/>
          <w:b/>
          <w:bCs/>
          <w:sz w:val="24"/>
          <w:lang w:eastAsia="ja-JP"/>
        </w:rPr>
        <w:t>6.</w:t>
      </w:r>
      <w:r w:rsidR="007C2BD0">
        <w:rPr>
          <w:rFonts w:cs="Arial"/>
          <w:b/>
          <w:bCs/>
          <w:sz w:val="24"/>
          <w:lang w:eastAsia="ja-JP"/>
        </w:rPr>
        <w:t>2.2</w:t>
      </w:r>
    </w:p>
    <w:p w:rsidR="00446C3A" w:rsidRPr="00B266B0" w:rsidRDefault="00446C3A" w:rsidP="00446C3A">
      <w:pPr>
        <w:tabs>
          <w:tab w:val="left" w:pos="1985"/>
        </w:tabs>
        <w:ind w:left="1985" w:hanging="1985"/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Source:</w:t>
      </w:r>
      <w:r w:rsidRPr="00B266B0">
        <w:rPr>
          <w:rFonts w:ascii="Arial" w:hAnsi="Arial" w:cs="Arial"/>
          <w:b/>
          <w:bCs/>
          <w:sz w:val="24"/>
        </w:rPr>
        <w:tab/>
      </w:r>
      <w:r w:rsidR="007C2BD0">
        <w:rPr>
          <w:rFonts w:ascii="Arial" w:hAnsi="Arial" w:cs="Arial"/>
          <w:b/>
          <w:bCs/>
          <w:sz w:val="24"/>
        </w:rPr>
        <w:t>Huawei, HiSilicon</w:t>
      </w:r>
    </w:p>
    <w:p w:rsidR="00446C3A" w:rsidRDefault="00446C3A" w:rsidP="00446C3A">
      <w:pPr>
        <w:ind w:left="1985" w:hanging="1985"/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Title:</w:t>
      </w:r>
      <w:r w:rsidRPr="00B266B0">
        <w:rPr>
          <w:rFonts w:ascii="Arial" w:hAnsi="Arial" w:cs="Arial"/>
          <w:b/>
          <w:bCs/>
          <w:sz w:val="24"/>
        </w:rPr>
        <w:tab/>
      </w:r>
      <w:r w:rsidR="007C2BD0">
        <w:rPr>
          <w:rFonts w:ascii="Arial" w:hAnsi="Arial" w:cs="Arial"/>
          <w:b/>
          <w:bCs/>
          <w:sz w:val="24"/>
        </w:rPr>
        <w:t>Report of [AT121][601</w:t>
      </w:r>
      <w:r w:rsidR="00BF4EB2" w:rsidRPr="00BF4EB2">
        <w:rPr>
          <w:rFonts w:ascii="Arial" w:hAnsi="Arial" w:cs="Arial"/>
          <w:b/>
          <w:bCs/>
          <w:sz w:val="24"/>
        </w:rPr>
        <w:t xml:space="preserve">][MBS-R17] </w:t>
      </w:r>
      <w:r w:rsidR="007C2BD0">
        <w:rPr>
          <w:rFonts w:ascii="Arial" w:hAnsi="Arial" w:cs="Arial"/>
          <w:b/>
          <w:bCs/>
          <w:sz w:val="24"/>
        </w:rPr>
        <w:t>NPN and PLMN ID</w:t>
      </w:r>
      <w:r w:rsidR="00BF4EB2" w:rsidRPr="00BF4EB2">
        <w:rPr>
          <w:rFonts w:ascii="Arial" w:hAnsi="Arial" w:cs="Arial"/>
          <w:b/>
          <w:bCs/>
          <w:sz w:val="24"/>
        </w:rPr>
        <w:t xml:space="preserve"> (</w:t>
      </w:r>
      <w:r w:rsidR="007C2BD0">
        <w:rPr>
          <w:rFonts w:ascii="Arial" w:hAnsi="Arial" w:cs="Arial"/>
          <w:b/>
          <w:bCs/>
          <w:sz w:val="24"/>
        </w:rPr>
        <w:t>Huawei</w:t>
      </w:r>
      <w:r w:rsidR="00BF4EB2" w:rsidRPr="00BF4EB2">
        <w:rPr>
          <w:rFonts w:ascii="Arial" w:hAnsi="Arial" w:cs="Arial"/>
          <w:b/>
          <w:bCs/>
          <w:sz w:val="24"/>
        </w:rPr>
        <w:t>)</w:t>
      </w:r>
    </w:p>
    <w:p w:rsidR="00446C3A" w:rsidRPr="00B266B0" w:rsidRDefault="00446C3A" w:rsidP="00446C3A">
      <w:pPr>
        <w:ind w:left="1985" w:hanging="1985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WID/SID:</w:t>
      </w:r>
      <w:r>
        <w:rPr>
          <w:rFonts w:ascii="Arial" w:hAnsi="Arial" w:cs="Arial"/>
          <w:b/>
          <w:bCs/>
          <w:sz w:val="24"/>
        </w:rPr>
        <w:tab/>
      </w:r>
      <w:r w:rsidR="00A266C2" w:rsidRPr="00A266C2">
        <w:rPr>
          <w:rFonts w:ascii="Arial" w:hAnsi="Arial" w:cs="Arial"/>
          <w:b/>
          <w:bCs/>
          <w:sz w:val="24"/>
        </w:rPr>
        <w:t xml:space="preserve">NR_MBS-Core </w:t>
      </w:r>
      <w:r>
        <w:rPr>
          <w:rFonts w:ascii="Arial" w:hAnsi="Arial" w:cs="Arial"/>
          <w:b/>
          <w:bCs/>
          <w:sz w:val="24"/>
        </w:rPr>
        <w:t xml:space="preserve">- Release </w:t>
      </w:r>
      <w:r w:rsidR="00A266C2">
        <w:rPr>
          <w:rFonts w:ascii="Arial" w:hAnsi="Arial" w:cs="Arial"/>
          <w:b/>
          <w:bCs/>
          <w:sz w:val="24"/>
        </w:rPr>
        <w:t>17</w:t>
      </w:r>
    </w:p>
    <w:p w:rsidR="00446C3A" w:rsidRDefault="00446C3A" w:rsidP="00446C3A">
      <w:pPr>
        <w:tabs>
          <w:tab w:val="left" w:pos="1985"/>
        </w:tabs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Document for:</w:t>
      </w:r>
      <w:r w:rsidRPr="00B266B0">
        <w:rPr>
          <w:rFonts w:ascii="Arial" w:hAnsi="Arial" w:cs="Arial"/>
          <w:b/>
          <w:bCs/>
          <w:sz w:val="24"/>
        </w:rPr>
        <w:tab/>
        <w:t>Discussion and Decision</w:t>
      </w:r>
    </w:p>
    <w:p w:rsidR="00BF77A1" w:rsidRDefault="00BF77A1" w:rsidP="00446C3A">
      <w:pPr>
        <w:tabs>
          <w:tab w:val="left" w:pos="1985"/>
        </w:tabs>
        <w:rPr>
          <w:rFonts w:ascii="Arial" w:hAnsi="Arial" w:cs="Arial"/>
          <w:b/>
          <w:bCs/>
          <w:sz w:val="24"/>
        </w:rPr>
      </w:pPr>
    </w:p>
    <w:p w:rsidR="00BF77A1" w:rsidRDefault="00BF77A1" w:rsidP="00BF77A1">
      <w:pPr>
        <w:pStyle w:val="1"/>
        <w:numPr>
          <w:ilvl w:val="0"/>
          <w:numId w:val="12"/>
        </w:numPr>
        <w:overflowPunct w:val="0"/>
        <w:autoSpaceDE w:val="0"/>
        <w:autoSpaceDN w:val="0"/>
        <w:adjustRightInd w:val="0"/>
        <w:rPr>
          <w:lang w:eastAsia="ja-JP"/>
        </w:rPr>
      </w:pPr>
      <w:r>
        <w:t>Introduction</w:t>
      </w:r>
    </w:p>
    <w:p w:rsidR="00BF77A1" w:rsidRDefault="00BF77A1" w:rsidP="00BF77A1">
      <w:pPr>
        <w:spacing w:after="120"/>
      </w:pPr>
      <w:r>
        <w:t>In the last RAN2 meeting, the following agreements were reached about MBS support in NPN:</w:t>
      </w:r>
    </w:p>
    <w:p w:rsidR="00BF77A1" w:rsidRDefault="00BF77A1" w:rsidP="00BF77A1">
      <w:pPr>
        <w:pStyle w:val="Agreement"/>
        <w:numPr>
          <w:ilvl w:val="0"/>
          <w:numId w:val="11"/>
        </w:numPr>
        <w:tabs>
          <w:tab w:val="clear" w:pos="1352"/>
          <w:tab w:val="left" w:pos="1276"/>
          <w:tab w:val="left" w:pos="1619"/>
        </w:tabs>
        <w:ind w:left="426"/>
      </w:pPr>
      <w:r>
        <w:t xml:space="preserve">MBS should be supported within SNPN. FFS if some change is needed. FFS CAG </w:t>
      </w:r>
    </w:p>
    <w:p w:rsidR="00BF77A1" w:rsidRDefault="00BF77A1" w:rsidP="00BF77A1">
      <w:pPr>
        <w:pStyle w:val="Agreement"/>
        <w:numPr>
          <w:ilvl w:val="0"/>
          <w:numId w:val="11"/>
        </w:numPr>
        <w:tabs>
          <w:tab w:val="clear" w:pos="1352"/>
          <w:tab w:val="left" w:pos="1276"/>
          <w:tab w:val="left" w:pos="1619"/>
        </w:tabs>
        <w:ind w:left="426"/>
      </w:pPr>
      <w:r>
        <w:t xml:space="preserve">RAN2 specs allow to use plmn-Index to indicate PLMN+NID (=SNPN ID). </w:t>
      </w:r>
    </w:p>
    <w:p w:rsidR="00BF77A1" w:rsidRDefault="00BF77A1" w:rsidP="00BF77A1">
      <w:pPr>
        <w:pStyle w:val="Agreement"/>
        <w:numPr>
          <w:ilvl w:val="0"/>
          <w:numId w:val="11"/>
        </w:numPr>
        <w:tabs>
          <w:tab w:val="clear" w:pos="1352"/>
          <w:tab w:val="left" w:pos="1276"/>
          <w:tab w:val="left" w:pos="1619"/>
        </w:tabs>
        <w:ind w:left="426"/>
      </w:pPr>
      <w:r>
        <w:t xml:space="preserve">RAN2 specs allow to use plmn-Index to indicate CAG. </w:t>
      </w:r>
    </w:p>
    <w:p w:rsidR="00BF77A1" w:rsidRDefault="00BF77A1" w:rsidP="00BF77A1">
      <w:pPr>
        <w:pStyle w:val="Agreement"/>
        <w:numPr>
          <w:ilvl w:val="0"/>
          <w:numId w:val="11"/>
        </w:numPr>
        <w:tabs>
          <w:tab w:val="clear" w:pos="1352"/>
          <w:tab w:val="left" w:pos="1276"/>
          <w:tab w:val="left" w:pos="1619"/>
        </w:tabs>
        <w:ind w:left="426"/>
      </w:pPr>
      <w:r>
        <w:t>FFS whether this works without specification changes for all the required scenarios.</w:t>
      </w:r>
    </w:p>
    <w:p w:rsidR="00BF77A1" w:rsidRDefault="00BF77A1" w:rsidP="00BF77A1">
      <w:pPr>
        <w:pStyle w:val="Agreement"/>
        <w:numPr>
          <w:ilvl w:val="0"/>
          <w:numId w:val="11"/>
        </w:numPr>
        <w:tabs>
          <w:tab w:val="clear" w:pos="1352"/>
          <w:tab w:val="left" w:pos="1276"/>
          <w:tab w:val="left" w:pos="1619"/>
        </w:tabs>
        <w:ind w:left="426"/>
      </w:pPr>
      <w:r>
        <w:t>FFS whether/what changes are needed for inter-node messages</w:t>
      </w:r>
    </w:p>
    <w:p w:rsidR="00BF77A1" w:rsidRDefault="00BF77A1" w:rsidP="00446C3A">
      <w:pPr>
        <w:tabs>
          <w:tab w:val="left" w:pos="1985"/>
        </w:tabs>
        <w:rPr>
          <w:rFonts w:ascii="Arial" w:hAnsi="Arial" w:cs="Arial"/>
          <w:b/>
          <w:bCs/>
          <w:sz w:val="24"/>
        </w:rPr>
      </w:pPr>
    </w:p>
    <w:p w:rsidR="00BF77A1" w:rsidRDefault="00BF77A1" w:rsidP="00BF77A1">
      <w:r>
        <w:t>This offline is to reach an alignment between the companies on:</w:t>
      </w:r>
    </w:p>
    <w:p w:rsidR="00BF77A1" w:rsidRDefault="00BF77A1" w:rsidP="00BF77A1">
      <w:r>
        <w:rPr>
          <w:rFonts w:hint="eastAsia"/>
        </w:rPr>
        <w:t>•</w:t>
      </w:r>
      <w:r>
        <w:tab/>
        <w:t>Whether/what changes are needed to enable MBS support for NPN</w:t>
      </w:r>
    </w:p>
    <w:p w:rsidR="00BF77A1" w:rsidRPr="00BF77A1" w:rsidRDefault="00BF77A1" w:rsidP="00BF77A1">
      <w:r>
        <w:rPr>
          <w:rFonts w:hint="eastAsia"/>
        </w:rPr>
        <w:t>•</w:t>
      </w:r>
      <w:r>
        <w:tab/>
        <w:t>How TMGI (PLMN ID) should be signalled in multicast configuration</w:t>
      </w:r>
    </w:p>
    <w:p w:rsidR="00652FB2" w:rsidRDefault="00652FB2" w:rsidP="00652FB2">
      <w:pPr>
        <w:rPr>
          <w:rFonts w:eastAsia="等线"/>
        </w:rPr>
      </w:pPr>
    </w:p>
    <w:p w:rsidR="00652FB2" w:rsidRPr="001271DC" w:rsidRDefault="008D6AF3" w:rsidP="00652FB2">
      <w:pPr>
        <w:pStyle w:val="1"/>
        <w:numPr>
          <w:ilvl w:val="0"/>
          <w:numId w:val="12"/>
        </w:numPr>
        <w:overflowPunct w:val="0"/>
        <w:autoSpaceDE w:val="0"/>
        <w:autoSpaceDN w:val="0"/>
        <w:adjustRightInd w:val="0"/>
      </w:pPr>
      <w:r w:rsidRPr="001271DC">
        <w:t>The usage of plmn-index</w:t>
      </w:r>
      <w:r w:rsidR="00652FB2" w:rsidRPr="001271DC">
        <w:t xml:space="preserve"> </w:t>
      </w:r>
      <w:r w:rsidRPr="001271DC">
        <w:t>for</w:t>
      </w:r>
      <w:r w:rsidR="00652FB2" w:rsidRPr="001271DC">
        <w:t xml:space="preserve"> multicast </w:t>
      </w:r>
      <w:r w:rsidR="00165803" w:rsidRPr="001271DC">
        <w:t>configuration</w:t>
      </w:r>
    </w:p>
    <w:p w:rsidR="008D6AF3" w:rsidRPr="001271DC" w:rsidRDefault="008D6AF3" w:rsidP="008D6AF3">
      <w:r w:rsidRPr="001271DC">
        <w:t xml:space="preserve">For MBS multicast, if </w:t>
      </w:r>
      <w:r w:rsidRPr="001271DC">
        <w:rPr>
          <w:i/>
        </w:rPr>
        <w:t>plmn-index</w:t>
      </w:r>
      <w:r w:rsidRPr="001271DC">
        <w:t xml:space="preserve"> is used in the TMGI for an MBS session, the target gNB may not be able to recognize the </w:t>
      </w:r>
      <w:r w:rsidRPr="001271DC">
        <w:rPr>
          <w:i/>
        </w:rPr>
        <w:t xml:space="preserve">plmn-index </w:t>
      </w:r>
      <w:r w:rsidRPr="001271DC">
        <w:t>when the RRC context is forwarded to target gNB during handover. In the RAN2#120 meeting, this issue was discussed but postponed due to limit of time. Based on companies’ contributions, the following options are proposed:</w:t>
      </w:r>
    </w:p>
    <w:p w:rsidR="008D6AF3" w:rsidRPr="001271DC" w:rsidRDefault="008D6AF3" w:rsidP="008D6AF3">
      <w:pPr>
        <w:rPr>
          <w:lang w:eastAsia="zh-CN"/>
        </w:rPr>
      </w:pPr>
      <w:r w:rsidRPr="001271DC">
        <w:rPr>
          <w:rFonts w:hint="eastAsia"/>
          <w:b/>
          <w:lang w:eastAsia="zh-CN"/>
        </w:rPr>
        <w:t>O</w:t>
      </w:r>
      <w:r w:rsidRPr="001271DC">
        <w:rPr>
          <w:b/>
          <w:lang w:eastAsia="zh-CN"/>
        </w:rPr>
        <w:t>ption 1:</w:t>
      </w:r>
      <w:r w:rsidRPr="001271DC">
        <w:rPr>
          <w:lang w:eastAsia="zh-CN"/>
        </w:rPr>
        <w:t xml:space="preserve"> The </w:t>
      </w:r>
      <w:r w:rsidRPr="001271DC">
        <w:t>plmn-index</w:t>
      </w:r>
      <w:r w:rsidRPr="001271DC">
        <w:rPr>
          <w:lang w:eastAsia="zh-CN"/>
        </w:rPr>
        <w:t xml:space="preserve"> can be used for multicast and the UE </w:t>
      </w:r>
      <w:r w:rsidR="006325D3" w:rsidRPr="001271DC">
        <w:rPr>
          <w:lang w:eastAsia="zh-CN"/>
        </w:rPr>
        <w:t>maintain</w:t>
      </w:r>
      <w:r w:rsidRPr="001271DC">
        <w:rPr>
          <w:lang w:eastAsia="zh-CN"/>
        </w:rPr>
        <w:t>s the plmn-index with the PLMN ID before handover.</w:t>
      </w:r>
      <w:r w:rsidR="006325D3" w:rsidRPr="001271DC">
        <w:rPr>
          <w:lang w:eastAsia="zh-CN"/>
        </w:rPr>
        <w:t xml:space="preserve"> The NW should translate the index to PLMN ID.</w:t>
      </w:r>
      <w:r w:rsidR="00690163" w:rsidRPr="001271DC">
        <w:rPr>
          <w:lang w:eastAsia="zh-CN"/>
        </w:rPr>
        <w:t xml:space="preserve"> The </w:t>
      </w:r>
      <w:r w:rsidR="00151C57" w:rsidRPr="001271DC">
        <w:rPr>
          <w:lang w:eastAsia="zh-CN"/>
        </w:rPr>
        <w:t>&lt;ue will use target SIB1 to translqte from plmn index to expicit plmn id qfter hqndover</w:t>
      </w:r>
    </w:p>
    <w:p w:rsidR="000F3681" w:rsidRPr="001271DC" w:rsidRDefault="000F3681" w:rsidP="000F3681">
      <w:pPr>
        <w:jc w:val="center"/>
        <w:rPr>
          <w:lang w:eastAsia="zh-CN"/>
        </w:rPr>
      </w:pPr>
      <w:r w:rsidRPr="001271DC">
        <w:rPr>
          <w:noProof/>
          <w:lang w:val="en-US" w:eastAsia="zh-CN"/>
        </w:rPr>
        <w:lastRenderedPageBreak/>
        <w:drawing>
          <wp:inline distT="0" distB="0" distL="0" distR="0" wp14:anchorId="478BEDDB" wp14:editId="3F54D3EA">
            <wp:extent cx="4320802" cy="2573655"/>
            <wp:effectExtent l="0" t="0" r="3810" b="0"/>
            <wp:docPr id="1" name="图片 1" descr="C:\Users\x00354265\AppData\Roaming\eSpace_Desktop\UserData\x00354265\imagefiles\3CB734B6-E749-4634-A556-ECBAD75A1E6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x00354265\AppData\Roaming\eSpace_Desktop\UserData\x00354265\imagefiles\3CB734B6-E749-4634-A556-ECBAD75A1E67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2439" cy="2574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3681" w:rsidRPr="001271DC" w:rsidRDefault="008D6AF3" w:rsidP="008D6AF3">
      <w:r w:rsidRPr="001271DC">
        <w:rPr>
          <w:b/>
          <w:lang w:eastAsia="zh-CN"/>
        </w:rPr>
        <w:t xml:space="preserve">Option 2: </w:t>
      </w:r>
      <w:r w:rsidRPr="001271DC">
        <w:rPr>
          <w:lang w:eastAsia="zh-CN"/>
        </w:rPr>
        <w:t xml:space="preserve">The </w:t>
      </w:r>
      <w:r w:rsidRPr="001271DC">
        <w:t>plmn-index</w:t>
      </w:r>
      <w:r w:rsidRPr="001271DC">
        <w:rPr>
          <w:lang w:eastAsia="zh-CN"/>
        </w:rPr>
        <w:t xml:space="preserve"> can be used for multicast and the NW </w:t>
      </w:r>
      <w:r w:rsidR="006325D3" w:rsidRPr="001271DC">
        <w:rPr>
          <w:lang w:eastAsia="zh-CN"/>
        </w:rPr>
        <w:t>shall reconfigure</w:t>
      </w:r>
      <w:r w:rsidRPr="001271DC">
        <w:rPr>
          <w:lang w:eastAsia="zh-CN"/>
        </w:rPr>
        <w:t xml:space="preserve"> the MRB with correct plmn-index during the handover.</w:t>
      </w:r>
      <w:r w:rsidRPr="001271DC">
        <w:t xml:space="preserve"> </w:t>
      </w:r>
    </w:p>
    <w:p w:rsidR="008D6AF3" w:rsidRPr="001271DC" w:rsidRDefault="000F3681" w:rsidP="000F3681">
      <w:pPr>
        <w:jc w:val="center"/>
      </w:pPr>
      <w:r w:rsidRPr="001271DC">
        <w:rPr>
          <w:noProof/>
          <w:lang w:val="en-US" w:eastAsia="zh-CN"/>
        </w:rPr>
        <w:drawing>
          <wp:inline distT="0" distB="0" distL="0" distR="0" wp14:anchorId="64F7962A" wp14:editId="6FB988F1">
            <wp:extent cx="4364428" cy="2412365"/>
            <wp:effectExtent l="0" t="0" r="0" b="6985"/>
            <wp:docPr id="4" name="图片 4" descr="C:\Users\x00354265\AppData\Roaming\eSpace_Desktop\UserData\x00354265\imagefiles\EBADFB9E-29CB-49D5-A0CE-A08E11A4293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x00354265\AppData\Roaming\eSpace_Desktop\UserData\x00354265\imagefiles\EBADFB9E-29CB-49D5-A0CE-A08E11A4293C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7686" cy="24141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3681" w:rsidRPr="001271DC" w:rsidRDefault="000F3681" w:rsidP="000F3681">
      <w:r w:rsidRPr="001271DC">
        <w:rPr>
          <w:b/>
          <w:lang w:eastAsia="zh-CN"/>
        </w:rPr>
        <w:t xml:space="preserve">Option 3: </w:t>
      </w:r>
      <w:r w:rsidRPr="001271DC">
        <w:rPr>
          <w:lang w:eastAsia="zh-CN"/>
        </w:rPr>
        <w:t xml:space="preserve">The </w:t>
      </w:r>
      <w:r w:rsidRPr="001271DC">
        <w:t>plmn-index</w:t>
      </w:r>
      <w:r w:rsidRPr="001271DC">
        <w:rPr>
          <w:lang w:eastAsia="zh-CN"/>
        </w:rPr>
        <w:t xml:space="preserve"> can be used for multicast and the NW </w:t>
      </w:r>
      <w:r w:rsidR="006325D3" w:rsidRPr="001271DC">
        <w:rPr>
          <w:lang w:eastAsia="zh-CN"/>
        </w:rPr>
        <w:t>shall reconfigure</w:t>
      </w:r>
      <w:r w:rsidRPr="001271DC">
        <w:rPr>
          <w:lang w:eastAsia="zh-CN"/>
        </w:rPr>
        <w:t xml:space="preserve"> the MRB with </w:t>
      </w:r>
      <w:r w:rsidR="006325D3" w:rsidRPr="001271DC">
        <w:rPr>
          <w:lang w:eastAsia="zh-CN"/>
        </w:rPr>
        <w:t>full</w:t>
      </w:r>
      <w:r w:rsidRPr="001271DC">
        <w:rPr>
          <w:lang w:eastAsia="zh-CN"/>
        </w:rPr>
        <w:t xml:space="preserve"> </w:t>
      </w:r>
      <w:r w:rsidR="006325D3" w:rsidRPr="001271DC">
        <w:rPr>
          <w:lang w:eastAsia="zh-CN"/>
        </w:rPr>
        <w:t>PLMN ID</w:t>
      </w:r>
      <w:r w:rsidRPr="001271DC">
        <w:rPr>
          <w:lang w:eastAsia="zh-CN"/>
        </w:rPr>
        <w:t>during the handover.</w:t>
      </w:r>
      <w:r w:rsidRPr="001271DC">
        <w:t xml:space="preserve"> </w:t>
      </w:r>
      <w:r w:rsidR="006325D3" w:rsidRPr="001271DC">
        <w:rPr>
          <w:lang w:eastAsia="zh-CN"/>
        </w:rPr>
        <w:t>The NW should translate the index to PLMN ID.</w:t>
      </w:r>
    </w:p>
    <w:p w:rsidR="000F3681" w:rsidRPr="001271DC" w:rsidRDefault="000F3681" w:rsidP="000F3681">
      <w:pPr>
        <w:jc w:val="center"/>
        <w:rPr>
          <w:b/>
          <w:lang w:eastAsia="zh-CN"/>
        </w:rPr>
      </w:pPr>
      <w:r w:rsidRPr="001271DC">
        <w:rPr>
          <w:noProof/>
          <w:lang w:val="en-US" w:eastAsia="zh-CN"/>
        </w:rPr>
        <w:drawing>
          <wp:inline distT="0" distB="0" distL="0" distR="0" wp14:anchorId="028C3A07" wp14:editId="27A8A827">
            <wp:extent cx="4109834" cy="2264410"/>
            <wp:effectExtent l="0" t="0" r="5080" b="2540"/>
            <wp:docPr id="5" name="图片 5" descr="C:\Users\x00354265\AppData\Roaming\eSpace_Desktop\UserData\x00354265\imagefiles\288351B3-7964-4957-9342-9E574AA82CA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x00354265\AppData\Roaming\eSpace_Desktop\UserData\x00354265\imagefiles\288351B3-7964-4957-9342-9E574AA82CAC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5867" cy="2267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6AF3" w:rsidRPr="001271DC" w:rsidRDefault="000F3681" w:rsidP="008D6AF3">
      <w:r w:rsidRPr="001271DC">
        <w:rPr>
          <w:b/>
          <w:lang w:eastAsia="zh-CN"/>
        </w:rPr>
        <w:t>Option 4</w:t>
      </w:r>
      <w:r w:rsidR="008D6AF3" w:rsidRPr="001271DC">
        <w:rPr>
          <w:b/>
          <w:lang w:eastAsia="zh-CN"/>
        </w:rPr>
        <w:t xml:space="preserve">: </w:t>
      </w:r>
      <w:r w:rsidR="008D6AF3" w:rsidRPr="001271DC">
        <w:rPr>
          <w:lang w:eastAsia="zh-CN"/>
        </w:rPr>
        <w:t>The plmn-in</w:t>
      </w:r>
      <w:r w:rsidR="008D6AF3" w:rsidRPr="001271DC">
        <w:t>dex</w:t>
      </w:r>
      <w:r w:rsidR="008D6AF3" w:rsidRPr="001271DC">
        <w:rPr>
          <w:lang w:eastAsia="zh-CN"/>
        </w:rPr>
        <w:t xml:space="preserve"> is not used for multicast configuration</w:t>
      </w:r>
      <w:r w:rsidR="008D6AF3" w:rsidRPr="001271DC">
        <w:t>.</w:t>
      </w:r>
    </w:p>
    <w:p w:rsidR="008D6AF3" w:rsidRPr="001271DC" w:rsidRDefault="000F3681" w:rsidP="000F3681">
      <w:pPr>
        <w:jc w:val="center"/>
      </w:pPr>
      <w:r w:rsidRPr="001271DC">
        <w:rPr>
          <w:noProof/>
          <w:lang w:val="en-US" w:eastAsia="zh-CN"/>
        </w:rPr>
        <w:lastRenderedPageBreak/>
        <w:drawing>
          <wp:inline distT="0" distB="0" distL="0" distR="0" wp14:anchorId="2CD51576" wp14:editId="54ACDBE2">
            <wp:extent cx="3620247" cy="2442210"/>
            <wp:effectExtent l="0" t="0" r="0" b="0"/>
            <wp:docPr id="3" name="图片 3" descr="C:\Users\x00354265\AppData\Roaming\eSpace_Desktop\UserData\x00354265\imagefiles\0D26594B-37A5-4078-8A03-E5C389AAB3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x00354265\AppData\Roaming\eSpace_Desktop\UserData\x00354265\imagefiles\0D26594B-37A5-4078-8A03-E5C389AAB330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7801" cy="24473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38E5" w:rsidRPr="001271DC" w:rsidRDefault="000138E5" w:rsidP="004E7E19">
      <w:pPr>
        <w:rPr>
          <w:b/>
          <w:highlight w:val="yellow"/>
        </w:rPr>
      </w:pPr>
    </w:p>
    <w:tbl>
      <w:tblPr>
        <w:tblStyle w:val="ac"/>
        <w:tblW w:w="0" w:type="auto"/>
        <w:tblInd w:w="0" w:type="dxa"/>
        <w:tblLook w:val="04A0" w:firstRow="1" w:lastRow="0" w:firstColumn="1" w:lastColumn="0" w:noHBand="0" w:noVBand="1"/>
      </w:tblPr>
      <w:tblGrid>
        <w:gridCol w:w="9629"/>
      </w:tblGrid>
      <w:tr w:rsidR="001271DC" w:rsidRPr="001271DC" w:rsidTr="000138E5">
        <w:tc>
          <w:tcPr>
            <w:tcW w:w="9629" w:type="dxa"/>
          </w:tcPr>
          <w:p w:rsidR="001271DC" w:rsidRPr="001271DC" w:rsidRDefault="000138E5" w:rsidP="000138E5">
            <w:pPr>
              <w:rPr>
                <w:b/>
              </w:rPr>
            </w:pPr>
            <w:r w:rsidRPr="001271DC">
              <w:rPr>
                <w:b/>
              </w:rPr>
              <w:t xml:space="preserve">Offline </w:t>
            </w:r>
            <w:r w:rsidR="00BA2E0B" w:rsidRPr="001271DC">
              <w:rPr>
                <w:b/>
              </w:rPr>
              <w:t>proposal</w:t>
            </w:r>
            <w:r w:rsidR="001271DC" w:rsidRPr="001271DC">
              <w:rPr>
                <w:b/>
              </w:rPr>
              <w:t xml:space="preserve"> 1</w:t>
            </w:r>
            <w:r w:rsidRPr="001271DC">
              <w:rPr>
                <w:b/>
              </w:rPr>
              <w:t xml:space="preserve">: </w:t>
            </w:r>
          </w:p>
          <w:p w:rsidR="000138E5" w:rsidRPr="001271DC" w:rsidRDefault="001271DC" w:rsidP="000138E5">
            <w:pPr>
              <w:rPr>
                <w:b/>
              </w:rPr>
            </w:pPr>
            <w:r>
              <w:rPr>
                <w:b/>
              </w:rPr>
              <w:t>The following option</w:t>
            </w:r>
            <w:r w:rsidR="000138E5" w:rsidRPr="001271DC">
              <w:rPr>
                <w:b/>
              </w:rPr>
              <w:t xml:space="preserve"> is supported for non-NPN cas</w:t>
            </w:r>
            <w:r>
              <w:rPr>
                <w:b/>
              </w:rPr>
              <w:t>e (NPN will be discussed later):</w:t>
            </w:r>
            <w:r w:rsidR="000138E5" w:rsidRPr="001271DC">
              <w:rPr>
                <w:b/>
              </w:rPr>
              <w:t xml:space="preserve"> </w:t>
            </w:r>
          </w:p>
          <w:p w:rsidR="000138E5" w:rsidRPr="001271DC" w:rsidRDefault="000138E5" w:rsidP="000138E5">
            <w:pPr>
              <w:rPr>
                <w:b/>
              </w:rPr>
            </w:pPr>
            <w:r w:rsidRPr="001271DC">
              <w:rPr>
                <w:b/>
              </w:rPr>
              <w:t xml:space="preserve">The </w:t>
            </w:r>
            <w:r w:rsidRPr="009B7763">
              <w:rPr>
                <w:b/>
                <w:i/>
              </w:rPr>
              <w:t>plmn-index</w:t>
            </w:r>
            <w:r w:rsidRPr="001271DC">
              <w:rPr>
                <w:b/>
              </w:rPr>
              <w:t xml:space="preserve"> can be used for multicast MRB configuration (this doesn’t preclude using explicit PLMN ID), and the UE translates and maintains the </w:t>
            </w:r>
            <w:r w:rsidR="0040157B" w:rsidRPr="001271DC">
              <w:rPr>
                <w:b/>
              </w:rPr>
              <w:t xml:space="preserve">TMGI with </w:t>
            </w:r>
            <w:r w:rsidRPr="001271DC">
              <w:rPr>
                <w:b/>
              </w:rPr>
              <w:t xml:space="preserve">explicit PLMN ID when receiving the multicast MRB configuration with </w:t>
            </w:r>
            <w:r w:rsidRPr="009B7763">
              <w:rPr>
                <w:b/>
                <w:i/>
              </w:rPr>
              <w:t>plmn-index</w:t>
            </w:r>
            <w:r w:rsidRPr="001271DC">
              <w:rPr>
                <w:b/>
              </w:rPr>
              <w:t xml:space="preserve"> based on the PLMN list in SIB1. </w:t>
            </w:r>
          </w:p>
          <w:p w:rsidR="000138E5" w:rsidRPr="001271DC" w:rsidRDefault="000138E5" w:rsidP="000138E5">
            <w:pPr>
              <w:rPr>
                <w:b/>
              </w:rPr>
            </w:pPr>
            <w:r w:rsidRPr="001271DC">
              <w:rPr>
                <w:b/>
              </w:rPr>
              <w:t>Upon and after handover, if the target doesn’t indicate TMGI in the multicast MRB configuration, the UE continue</w:t>
            </w:r>
            <w:r w:rsidR="0040157B" w:rsidRPr="001271DC">
              <w:rPr>
                <w:b/>
              </w:rPr>
              <w:t>s</w:t>
            </w:r>
            <w:r w:rsidRPr="001271DC">
              <w:rPr>
                <w:b/>
              </w:rPr>
              <w:t xml:space="preserve"> using the maintained</w:t>
            </w:r>
            <w:r w:rsidR="0040157B" w:rsidRPr="001271DC">
              <w:t xml:space="preserve"> </w:t>
            </w:r>
            <w:r w:rsidR="0040157B" w:rsidRPr="001271DC">
              <w:rPr>
                <w:b/>
              </w:rPr>
              <w:t>TMGI with explicit</w:t>
            </w:r>
            <w:r w:rsidRPr="001271DC">
              <w:rPr>
                <w:b/>
              </w:rPr>
              <w:t xml:space="preserve"> PLMN ID. </w:t>
            </w:r>
          </w:p>
          <w:p w:rsidR="000138E5" w:rsidRPr="001271DC" w:rsidRDefault="000138E5" w:rsidP="000138E5">
            <w:pPr>
              <w:rPr>
                <w:b/>
              </w:rPr>
            </w:pPr>
            <w:r w:rsidRPr="001271DC">
              <w:rPr>
                <w:b/>
              </w:rPr>
              <w:t xml:space="preserve">Upon and after handover, if the target indicates the TMGI with </w:t>
            </w:r>
            <w:r w:rsidRPr="009B7763">
              <w:rPr>
                <w:b/>
                <w:i/>
              </w:rPr>
              <w:t>plmn-index</w:t>
            </w:r>
            <w:r w:rsidRPr="001271DC">
              <w:rPr>
                <w:b/>
              </w:rPr>
              <w:t xml:space="preserve"> in the multicast MRB configuration, the UE will translate the </w:t>
            </w:r>
            <w:r w:rsidRPr="009B7763">
              <w:rPr>
                <w:b/>
                <w:i/>
              </w:rPr>
              <w:t>plmn-index</w:t>
            </w:r>
            <w:r w:rsidRPr="001271DC">
              <w:rPr>
                <w:b/>
              </w:rPr>
              <w:t xml:space="preserve"> to the explicit PLMN ID based on the PLMN list in the target cell SIB1, and maintains the </w:t>
            </w:r>
            <w:r w:rsidR="0040157B" w:rsidRPr="001271DC">
              <w:rPr>
                <w:b/>
              </w:rPr>
              <w:t xml:space="preserve">TMGI with </w:t>
            </w:r>
            <w:r w:rsidRPr="001271DC">
              <w:rPr>
                <w:b/>
              </w:rPr>
              <w:t xml:space="preserve">explicit PLMN ID. </w:t>
            </w:r>
          </w:p>
          <w:p w:rsidR="000138E5" w:rsidRPr="001271DC" w:rsidRDefault="000138E5" w:rsidP="000138E5">
            <w:pPr>
              <w:rPr>
                <w:b/>
              </w:rPr>
            </w:pPr>
            <w:r w:rsidRPr="001271DC">
              <w:rPr>
                <w:b/>
              </w:rPr>
              <w:t xml:space="preserve">The source will translate the </w:t>
            </w:r>
            <w:r w:rsidRPr="009B7763">
              <w:rPr>
                <w:b/>
                <w:i/>
              </w:rPr>
              <w:t>plmn-index</w:t>
            </w:r>
            <w:r w:rsidRPr="001271DC">
              <w:rPr>
                <w:b/>
              </w:rPr>
              <w:t xml:space="preserve"> to the explicit PLMN ID and will transfer multicast MRB configuration with the explicit PLMN ID to the target in the inter-node message. </w:t>
            </w:r>
          </w:p>
          <w:p w:rsidR="000138E5" w:rsidRPr="001271DC" w:rsidRDefault="000138E5" w:rsidP="004E7E19">
            <w:pPr>
              <w:rPr>
                <w:b/>
                <w:highlight w:val="yellow"/>
              </w:rPr>
            </w:pPr>
          </w:p>
        </w:tc>
      </w:tr>
    </w:tbl>
    <w:p w:rsidR="008D6AF3" w:rsidRPr="00577F84" w:rsidRDefault="008D6AF3" w:rsidP="008D6AF3">
      <w:pPr>
        <w:rPr>
          <w:b/>
          <w:color w:val="BFBFBF" w:themeColor="background1" w:themeShade="BF"/>
        </w:rPr>
      </w:pPr>
      <w:r w:rsidRPr="00577F84">
        <w:rPr>
          <w:b/>
          <w:color w:val="BFBFBF" w:themeColor="background1" w:themeShade="BF"/>
        </w:rPr>
        <w:t>.</w:t>
      </w:r>
    </w:p>
    <w:p w:rsidR="000138E5" w:rsidRDefault="000138E5" w:rsidP="000138E5">
      <w:pPr>
        <w:pStyle w:val="1"/>
        <w:numPr>
          <w:ilvl w:val="0"/>
          <w:numId w:val="12"/>
        </w:numPr>
        <w:overflowPunct w:val="0"/>
        <w:autoSpaceDE w:val="0"/>
        <w:autoSpaceDN w:val="0"/>
        <w:adjustRightInd w:val="0"/>
      </w:pPr>
      <w:r>
        <w:t>MBS support in NPN</w:t>
      </w:r>
    </w:p>
    <w:p w:rsidR="000138E5" w:rsidRPr="00BF77A1" w:rsidRDefault="000138E5" w:rsidP="000138E5">
      <w:pPr>
        <w:outlineLvl w:val="1"/>
        <w:rPr>
          <w:sz w:val="28"/>
        </w:rPr>
      </w:pPr>
      <w:r w:rsidRPr="00BF77A1">
        <w:rPr>
          <w:sz w:val="28"/>
        </w:rPr>
        <w:t>2.1 MBS support in PNI-NPN</w:t>
      </w:r>
    </w:p>
    <w:p w:rsidR="000138E5" w:rsidRDefault="000138E5" w:rsidP="000138E5">
      <w:pPr>
        <w:rPr>
          <w:rFonts w:eastAsia="等线"/>
        </w:rPr>
      </w:pPr>
      <w:r>
        <w:t>According to SA2 spec (TS</w:t>
      </w:r>
      <w:r w:rsidR="00836992">
        <w:t xml:space="preserve"> </w:t>
      </w:r>
      <w:r>
        <w:t xml:space="preserve">23.247), the MBS session is uniquely identified by the TMGI and NID (in case of SNPN): </w:t>
      </w:r>
    </w:p>
    <w:tbl>
      <w:tblPr>
        <w:tblStyle w:val="ac"/>
        <w:tblW w:w="0" w:type="dxa"/>
        <w:tblInd w:w="0" w:type="dxa"/>
        <w:shd w:val="pct5" w:color="auto" w:fill="auto"/>
        <w:tblLayout w:type="fixed"/>
        <w:tblLook w:val="04A0" w:firstRow="1" w:lastRow="0" w:firstColumn="1" w:lastColumn="0" w:noHBand="0" w:noVBand="1"/>
      </w:tblPr>
      <w:tblGrid>
        <w:gridCol w:w="9628"/>
      </w:tblGrid>
      <w:tr w:rsidR="000138E5" w:rsidTr="00DE6010">
        <w:trPr>
          <w:trHeight w:val="777"/>
        </w:trPr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hideMark/>
          </w:tcPr>
          <w:p w:rsidR="000138E5" w:rsidRDefault="000138E5" w:rsidP="00DE6010">
            <w:pPr>
              <w:pStyle w:val="3"/>
              <w:outlineLvl w:val="2"/>
            </w:pPr>
            <w:bookmarkStart w:id="1" w:name="_Toc122416752"/>
            <w:bookmarkStart w:id="2" w:name="_Toc70079043"/>
            <w:bookmarkStart w:id="3" w:name="_Toc66391751"/>
            <w:bookmarkStart w:id="4" w:name="_Toc70929988"/>
            <w:r>
              <w:t>6.5.2</w:t>
            </w:r>
            <w:r>
              <w:tab/>
              <w:t>Temporary Mobile Group Identity</w:t>
            </w:r>
            <w:bookmarkEnd w:id="1"/>
            <w:bookmarkEnd w:id="2"/>
            <w:bookmarkEnd w:id="3"/>
            <w:bookmarkEnd w:id="4"/>
          </w:p>
          <w:p w:rsidR="000138E5" w:rsidRDefault="000138E5" w:rsidP="00DE6010">
            <w:pPr>
              <w:rPr>
                <w:rFonts w:eastAsia="等线"/>
              </w:rPr>
            </w:pPr>
            <w:r>
              <w:rPr>
                <w:rFonts w:eastAsia="等线"/>
              </w:rPr>
              <w:t>TMGI (Temporary Mobile Group Identity) is defined in TS 23.003 [12] and is used to be able to identify a broadcast MBS Session or a multicast MBS session.</w:t>
            </w:r>
          </w:p>
          <w:p w:rsidR="000138E5" w:rsidRDefault="000138E5" w:rsidP="00DE6010">
            <w:pPr>
              <w:rPr>
                <w:rFonts w:eastAsia="等线"/>
              </w:rPr>
            </w:pPr>
            <w:r>
              <w:rPr>
                <w:rFonts w:eastAsia="等线"/>
                <w:highlight w:val="yellow"/>
              </w:rPr>
              <w:t>In SNPN (Stand-alone Non-Public Network), TMGI is used together with NID (Network Identifier) defined in TS 23.003 [12] to identify an MBS Session.</w:t>
            </w:r>
          </w:p>
        </w:tc>
      </w:tr>
    </w:tbl>
    <w:p w:rsidR="000138E5" w:rsidRDefault="000138E5" w:rsidP="000138E5">
      <w:pPr>
        <w:spacing w:before="180"/>
        <w:rPr>
          <w:sz w:val="22"/>
        </w:rPr>
      </w:pPr>
      <w:r>
        <w:rPr>
          <w:rFonts w:eastAsia="等线"/>
        </w:rPr>
        <w:t xml:space="preserve">We can see that there is no mentioning of using CAG ID to identify the MBS session ID. Therefore, from the MBS supporting perspective, PNI-NPN should be similar with the public network, and in such case, the CAG allowed UEs can naturally receive the MBS multicast in the CAG cell. </w:t>
      </w:r>
    </w:p>
    <w:p w:rsidR="000138E5" w:rsidRDefault="000138E5" w:rsidP="000138E5">
      <w:pPr>
        <w:rPr>
          <w:b/>
        </w:rPr>
      </w:pPr>
      <w:r>
        <w:rPr>
          <w:b/>
        </w:rPr>
        <w:t>Proposal 1: MBS can be supported in PNI-NPN (i.e., CAG cells) without extra spec effort.</w:t>
      </w:r>
    </w:p>
    <w:p w:rsidR="000138E5" w:rsidRDefault="000138E5" w:rsidP="000138E5">
      <w:pPr>
        <w:rPr>
          <w:b/>
        </w:rPr>
      </w:pPr>
    </w:p>
    <w:p w:rsidR="000138E5" w:rsidRDefault="000138E5" w:rsidP="000138E5">
      <w:pPr>
        <w:rPr>
          <w:b/>
        </w:rPr>
      </w:pPr>
    </w:p>
    <w:p w:rsidR="000138E5" w:rsidRDefault="000138E5" w:rsidP="000138E5">
      <w:pPr>
        <w:outlineLvl w:val="1"/>
        <w:rPr>
          <w:sz w:val="28"/>
        </w:rPr>
      </w:pPr>
      <w:r w:rsidRPr="00BF77A1">
        <w:rPr>
          <w:sz w:val="28"/>
        </w:rPr>
        <w:t>2.</w:t>
      </w:r>
      <w:r>
        <w:rPr>
          <w:sz w:val="28"/>
        </w:rPr>
        <w:t>2</w:t>
      </w:r>
      <w:r w:rsidRPr="00BF77A1">
        <w:rPr>
          <w:sz w:val="28"/>
        </w:rPr>
        <w:t xml:space="preserve"> MBS support in </w:t>
      </w:r>
      <w:r>
        <w:rPr>
          <w:sz w:val="28"/>
        </w:rPr>
        <w:t>SNPN</w:t>
      </w:r>
    </w:p>
    <w:p w:rsidR="000138E5" w:rsidRDefault="000138E5" w:rsidP="000138E5">
      <w:pPr>
        <w:pStyle w:val="3"/>
      </w:pPr>
      <w:r>
        <w:t>2.2.1 MBS Broadcast</w:t>
      </w:r>
    </w:p>
    <w:p w:rsidR="000138E5" w:rsidRDefault="000138E5" w:rsidP="000138E5">
      <w:pPr>
        <w:outlineLvl w:val="1"/>
        <w:rPr>
          <w:sz w:val="28"/>
        </w:rPr>
      </w:pPr>
      <w:r>
        <w:rPr>
          <w:sz w:val="28"/>
        </w:rPr>
        <w:t xml:space="preserve">Q0: should </w:t>
      </w:r>
      <w:r w:rsidR="004509A0">
        <w:rPr>
          <w:sz w:val="28"/>
        </w:rPr>
        <w:t xml:space="preserve">MBS broadcast reception on </w:t>
      </w:r>
      <w:r>
        <w:rPr>
          <w:sz w:val="28"/>
        </w:rPr>
        <w:t>non-serving SNPN be supported?</w:t>
      </w:r>
    </w:p>
    <w:p w:rsidR="000138E5" w:rsidRPr="006D0E42" w:rsidRDefault="000138E5" w:rsidP="000138E5">
      <w:r w:rsidRPr="006D0E42">
        <w:rPr>
          <w:rFonts w:hint="eastAsia"/>
          <w:b/>
          <w:lang w:eastAsia="zh-CN"/>
        </w:rPr>
        <w:t>O</w:t>
      </w:r>
      <w:r w:rsidRPr="006D0E42">
        <w:rPr>
          <w:b/>
          <w:lang w:eastAsia="zh-CN"/>
        </w:rPr>
        <w:t>ption 1</w:t>
      </w:r>
      <w:r w:rsidR="000400BC" w:rsidRPr="006D0E42">
        <w:rPr>
          <w:b/>
          <w:lang w:eastAsia="zh-CN"/>
        </w:rPr>
        <w:t xml:space="preserve">: </w:t>
      </w:r>
      <w:r w:rsidR="000400BC" w:rsidRPr="006D0E42">
        <w:rPr>
          <w:lang w:eastAsia="zh-CN"/>
        </w:rPr>
        <w:t>N</w:t>
      </w:r>
      <w:r w:rsidRPr="006D0E42">
        <w:rPr>
          <w:lang w:eastAsia="zh-CN"/>
        </w:rPr>
        <w:t xml:space="preserve">o support of </w:t>
      </w:r>
      <w:r w:rsidR="000400BC" w:rsidRPr="006D0E42">
        <w:rPr>
          <w:lang w:eastAsia="zh-CN"/>
        </w:rPr>
        <w:t xml:space="preserve">MBS broadcast reception on any </w:t>
      </w:r>
      <w:r w:rsidRPr="006D0E42">
        <w:rPr>
          <w:lang w:eastAsia="zh-CN"/>
        </w:rPr>
        <w:t>non-serving SNPN</w:t>
      </w:r>
      <w:r w:rsidR="00C97F36" w:rsidRPr="006D0E42">
        <w:rPr>
          <w:lang w:eastAsia="zh-CN"/>
        </w:rPr>
        <w:t xml:space="preserve"> in Rel-17</w:t>
      </w:r>
      <w:r w:rsidR="000400BC" w:rsidRPr="006D0E42">
        <w:t>.</w:t>
      </w:r>
    </w:p>
    <w:p w:rsidR="000400BC" w:rsidRPr="006D0E42" w:rsidRDefault="000400BC" w:rsidP="000138E5">
      <w:r w:rsidRPr="006D0E42">
        <w:rPr>
          <w:b/>
        </w:rPr>
        <w:t xml:space="preserve">Option 2: </w:t>
      </w:r>
      <w:r w:rsidRPr="006D0E42">
        <w:rPr>
          <w:lang w:eastAsia="zh-CN"/>
        </w:rPr>
        <w:t>Support of MBS broadcast reception on non-serving SNPNs in</w:t>
      </w:r>
      <w:r w:rsidR="00ED2A90" w:rsidRPr="006D0E42">
        <w:rPr>
          <w:lang w:eastAsia="zh-CN"/>
        </w:rPr>
        <w:t xml:space="preserve"> the NPN list broadcast in </w:t>
      </w:r>
      <w:r w:rsidR="004A1F50" w:rsidRPr="006D0E42">
        <w:rPr>
          <w:lang w:eastAsia="zh-CN"/>
        </w:rPr>
        <w:t xml:space="preserve">current serving cell </w:t>
      </w:r>
      <w:r w:rsidR="00ED2A90" w:rsidRPr="006D0E42">
        <w:rPr>
          <w:lang w:eastAsia="zh-CN"/>
        </w:rPr>
        <w:t>SIB1</w:t>
      </w:r>
      <w:r w:rsidR="00C97F36" w:rsidRPr="006D0E42">
        <w:rPr>
          <w:lang w:eastAsia="zh-CN"/>
        </w:rPr>
        <w:t xml:space="preserve"> in Rel-17</w:t>
      </w:r>
      <w:r w:rsidR="00ED2A90" w:rsidRPr="006D0E42">
        <w:rPr>
          <w:lang w:eastAsia="zh-CN"/>
        </w:rPr>
        <w:t>.</w:t>
      </w:r>
    </w:p>
    <w:p w:rsidR="000138E5" w:rsidRPr="006D0E42" w:rsidRDefault="00D01630" w:rsidP="000138E5">
      <w:pPr>
        <w:rPr>
          <w:lang w:eastAsia="zh-CN"/>
        </w:rPr>
      </w:pPr>
      <w:r w:rsidRPr="006D0E42">
        <w:rPr>
          <w:b/>
        </w:rPr>
        <w:t xml:space="preserve">Option 3: </w:t>
      </w:r>
      <w:r w:rsidRPr="006D0E42">
        <w:rPr>
          <w:lang w:eastAsia="zh-CN"/>
        </w:rPr>
        <w:t xml:space="preserve">Support of MBS broadcast reception on non-serving SNPNs in the NPN list broadcast in current serving cell SIB1 in Rel-17, </w:t>
      </w:r>
      <w:r w:rsidR="0065143A" w:rsidRPr="006D0E42">
        <w:rPr>
          <w:lang w:eastAsia="zh-CN"/>
        </w:rPr>
        <w:t xml:space="preserve">which is </w:t>
      </w:r>
      <w:r w:rsidRPr="006D0E42">
        <w:rPr>
          <w:lang w:eastAsia="zh-CN"/>
        </w:rPr>
        <w:t>up to UE implementation.</w:t>
      </w:r>
    </w:p>
    <w:p w:rsidR="000138E5" w:rsidRPr="006D0E42" w:rsidRDefault="000138E5" w:rsidP="000138E5">
      <w:pPr>
        <w:outlineLvl w:val="1"/>
        <w:rPr>
          <w:sz w:val="28"/>
        </w:rPr>
      </w:pPr>
      <w:r w:rsidRPr="006D0E42">
        <w:rPr>
          <w:sz w:val="28"/>
        </w:rPr>
        <w:t>Q1: when plmn-index is indicated in MII, should the plmn-index be mapped to PLMN ID only, or to (PLMN ID+NID)?</w:t>
      </w:r>
    </w:p>
    <w:p w:rsidR="000138E5" w:rsidRPr="006D0E42" w:rsidRDefault="000138E5" w:rsidP="000138E5">
      <w:r w:rsidRPr="006D0E42">
        <w:rPr>
          <w:rFonts w:hint="eastAsia"/>
          <w:b/>
          <w:lang w:eastAsia="zh-CN"/>
        </w:rPr>
        <w:t>O</w:t>
      </w:r>
      <w:r w:rsidRPr="006D0E42">
        <w:rPr>
          <w:b/>
          <w:lang w:eastAsia="zh-CN"/>
        </w:rPr>
        <w:t>ption 1 (no support of non-serving SNPN MBS broadcast reception)</w:t>
      </w:r>
      <w:r w:rsidRPr="006D0E42">
        <w:rPr>
          <w:lang w:eastAsia="zh-CN"/>
        </w:rPr>
        <w:t>: plmn-index in MII</w:t>
      </w:r>
      <w:r w:rsidRPr="006D0E42">
        <w:rPr>
          <w:rFonts w:hint="eastAsia"/>
          <w:lang w:eastAsia="zh-CN"/>
        </w:rPr>
        <w:t xml:space="preserve"> </w:t>
      </w:r>
      <w:r w:rsidRPr="006D0E42">
        <w:rPr>
          <w:lang w:eastAsia="zh-CN"/>
        </w:rPr>
        <w:t>is translated into PLMN ID</w:t>
      </w:r>
      <w:r w:rsidRPr="006D0E42">
        <w:rPr>
          <w:rFonts w:hint="eastAsia"/>
          <w:lang w:eastAsia="zh-CN"/>
        </w:rPr>
        <w:t xml:space="preserve"> </w:t>
      </w:r>
      <w:r w:rsidRPr="006D0E42">
        <w:rPr>
          <w:lang w:eastAsia="zh-CN"/>
        </w:rPr>
        <w:t xml:space="preserve">only, and in inter-node message </w:t>
      </w:r>
      <w:r w:rsidRPr="006D0E42">
        <w:rPr>
          <w:i/>
        </w:rPr>
        <w:t>serving NID</w:t>
      </w:r>
      <w:r w:rsidRPr="006D0E42">
        <w:t xml:space="preserve"> in the </w:t>
      </w:r>
      <w:r w:rsidRPr="006D0E42">
        <w:rPr>
          <w:i/>
        </w:rPr>
        <w:t>NPN mobility information</w:t>
      </w:r>
      <w:r w:rsidRPr="006D0E42">
        <w:t xml:space="preserve"> is used to indicate the NID.</w:t>
      </w:r>
    </w:p>
    <w:p w:rsidR="000138E5" w:rsidRPr="006D0E42" w:rsidRDefault="000138E5" w:rsidP="000138E5">
      <w:pPr>
        <w:rPr>
          <w:lang w:eastAsia="zh-CN"/>
        </w:rPr>
      </w:pPr>
      <w:r w:rsidRPr="006D0E42">
        <w:rPr>
          <w:b/>
        </w:rPr>
        <w:t xml:space="preserve">Option 2 </w:t>
      </w:r>
      <w:r w:rsidRPr="006D0E42">
        <w:rPr>
          <w:b/>
          <w:lang w:eastAsia="zh-CN"/>
        </w:rPr>
        <w:t>(support of non-serving SNPN MBS broadcast reception)</w:t>
      </w:r>
      <w:r w:rsidRPr="006D0E42">
        <w:t xml:space="preserve">: </w:t>
      </w:r>
      <w:r w:rsidRPr="006D0E42">
        <w:rPr>
          <w:lang w:eastAsia="zh-CN"/>
        </w:rPr>
        <w:t>plmn-index in MII</w:t>
      </w:r>
      <w:r w:rsidRPr="006D0E42">
        <w:rPr>
          <w:rFonts w:hint="eastAsia"/>
          <w:lang w:eastAsia="zh-CN"/>
        </w:rPr>
        <w:t xml:space="preserve"> </w:t>
      </w:r>
      <w:r w:rsidRPr="006D0E42">
        <w:rPr>
          <w:lang w:eastAsia="zh-CN"/>
        </w:rPr>
        <w:t xml:space="preserve">is </w:t>
      </w:r>
      <w:r w:rsidR="008518C2" w:rsidRPr="006D0E42">
        <w:rPr>
          <w:lang w:eastAsia="zh-CN"/>
        </w:rPr>
        <w:t>mapped</w:t>
      </w:r>
      <w:r w:rsidRPr="006D0E42">
        <w:rPr>
          <w:lang w:eastAsia="zh-CN"/>
        </w:rPr>
        <w:t xml:space="preserve"> into (PLMN ID+NID)</w:t>
      </w:r>
      <w:r w:rsidR="008518C2" w:rsidRPr="006D0E42">
        <w:rPr>
          <w:lang w:eastAsia="zh-CN"/>
        </w:rPr>
        <w:t>, and in inter-node message</w:t>
      </w:r>
      <w:r w:rsidRPr="006D0E42">
        <w:rPr>
          <w:lang w:eastAsia="zh-CN"/>
        </w:rPr>
        <w:t xml:space="preserve"> additional NID is introduced.</w:t>
      </w:r>
    </w:p>
    <w:p w:rsidR="00D01630" w:rsidRPr="006D0E42" w:rsidRDefault="00D01630" w:rsidP="00D01630">
      <w:pPr>
        <w:rPr>
          <w:lang w:eastAsia="zh-CN"/>
        </w:rPr>
      </w:pPr>
      <w:r w:rsidRPr="006D0E42">
        <w:rPr>
          <w:b/>
        </w:rPr>
        <w:t xml:space="preserve">Option 3: </w:t>
      </w:r>
      <w:r w:rsidRPr="006D0E42">
        <w:rPr>
          <w:lang w:eastAsia="zh-CN"/>
        </w:rPr>
        <w:t>it is up to UE whether to report TMGIs</w:t>
      </w:r>
      <w:r w:rsidR="00E36303" w:rsidRPr="006D0E42">
        <w:rPr>
          <w:lang w:eastAsia="zh-CN"/>
        </w:rPr>
        <w:t xml:space="preserve"> with plmn-index</w:t>
      </w:r>
      <w:r w:rsidRPr="006D0E42">
        <w:rPr>
          <w:lang w:eastAsia="zh-CN"/>
        </w:rPr>
        <w:t xml:space="preserve"> for non-serving SNPN, and the source RAN may ignore the report of non-serving NPN TMGIs. No change to the inter-node message.</w:t>
      </w:r>
    </w:p>
    <w:p w:rsidR="00C150BC" w:rsidRPr="000400BC" w:rsidRDefault="00C150BC" w:rsidP="00D01630">
      <w:pPr>
        <w:rPr>
          <w:lang w:eastAsia="zh-CN"/>
        </w:rPr>
      </w:pPr>
      <w:r w:rsidRPr="006D0E42">
        <w:rPr>
          <w:b/>
          <w:lang w:eastAsia="zh-CN"/>
        </w:rPr>
        <w:t>Option 4</w:t>
      </w:r>
      <w:r w:rsidRPr="006D0E42">
        <w:rPr>
          <w:lang w:eastAsia="zh-CN"/>
        </w:rPr>
        <w:t xml:space="preserve">: the UE doesn't </w:t>
      </w:r>
      <w:r w:rsidR="00154E22" w:rsidRPr="006D0E42">
        <w:rPr>
          <w:lang w:eastAsia="zh-CN"/>
        </w:rPr>
        <w:t>report</w:t>
      </w:r>
      <w:r w:rsidRPr="006D0E42">
        <w:rPr>
          <w:lang w:eastAsia="zh-CN"/>
        </w:rPr>
        <w:t xml:space="preserve"> TMGIs </w:t>
      </w:r>
      <w:r w:rsidR="0065143A" w:rsidRPr="006D0E42">
        <w:rPr>
          <w:lang w:eastAsia="zh-CN"/>
        </w:rPr>
        <w:t>of</w:t>
      </w:r>
      <w:r w:rsidRPr="006D0E42">
        <w:rPr>
          <w:lang w:eastAsia="zh-CN"/>
        </w:rPr>
        <w:t xml:space="preserve"> non-serving SNPN</w:t>
      </w:r>
      <w:r w:rsidR="00154E22" w:rsidRPr="006D0E42">
        <w:rPr>
          <w:lang w:eastAsia="zh-CN"/>
        </w:rPr>
        <w:t xml:space="preserve"> in MII</w:t>
      </w:r>
      <w:r w:rsidRPr="006D0E42">
        <w:rPr>
          <w:lang w:eastAsia="zh-CN"/>
        </w:rPr>
        <w:t>.</w:t>
      </w:r>
    </w:p>
    <w:p w:rsidR="000138E5" w:rsidRDefault="000138E5" w:rsidP="000138E5">
      <w:pPr>
        <w:rPr>
          <w:lang w:eastAsia="zh-CN"/>
        </w:rPr>
      </w:pPr>
    </w:p>
    <w:tbl>
      <w:tblPr>
        <w:tblStyle w:val="ac"/>
        <w:tblW w:w="0" w:type="auto"/>
        <w:tblInd w:w="0" w:type="dxa"/>
        <w:tblLook w:val="04A0" w:firstRow="1" w:lastRow="0" w:firstColumn="1" w:lastColumn="0" w:noHBand="0" w:noVBand="1"/>
      </w:tblPr>
      <w:tblGrid>
        <w:gridCol w:w="9629"/>
      </w:tblGrid>
      <w:tr w:rsidR="00154E22" w:rsidTr="00154E22">
        <w:tc>
          <w:tcPr>
            <w:tcW w:w="9629" w:type="dxa"/>
          </w:tcPr>
          <w:p w:rsidR="00154E22" w:rsidRDefault="00154E22" w:rsidP="000138E5">
            <w:pPr>
              <w:rPr>
                <w:lang w:eastAsia="zh-CN"/>
              </w:rPr>
            </w:pPr>
            <w:r w:rsidRPr="009B7763">
              <w:rPr>
                <w:b/>
                <w:lang w:eastAsia="zh-CN"/>
              </w:rPr>
              <w:t xml:space="preserve">Offline </w:t>
            </w:r>
            <w:r w:rsidR="009B7763" w:rsidRPr="009B7763">
              <w:rPr>
                <w:b/>
                <w:lang w:eastAsia="zh-CN"/>
              </w:rPr>
              <w:t>Proposal 2</w:t>
            </w:r>
            <w:r>
              <w:rPr>
                <w:lang w:eastAsia="zh-CN"/>
              </w:rPr>
              <w:t>:</w:t>
            </w:r>
          </w:p>
          <w:p w:rsidR="00154E22" w:rsidRPr="004E5D66" w:rsidRDefault="00154E22" w:rsidP="00154E22">
            <w:pPr>
              <w:rPr>
                <w:b/>
                <w:lang w:eastAsia="zh-CN"/>
              </w:rPr>
            </w:pPr>
            <w:r w:rsidRPr="004E5D66">
              <w:rPr>
                <w:b/>
                <w:lang w:eastAsia="zh-CN"/>
              </w:rPr>
              <w:t>Support MBS broadcast reception on non-serving SNPNs in the NPN list in current serving cell SIB1 in Rel-17, which is up to UE implementation.</w:t>
            </w:r>
          </w:p>
          <w:p w:rsidR="00154E22" w:rsidRPr="009B7763" w:rsidRDefault="004E5D66" w:rsidP="000138E5">
            <w:pPr>
              <w:rPr>
                <w:lang w:eastAsia="zh-CN"/>
              </w:rPr>
            </w:pPr>
            <w:r>
              <w:rPr>
                <w:lang w:eastAsia="zh-CN"/>
              </w:rPr>
              <w:t>Discuss the following two options</w:t>
            </w:r>
            <w:r w:rsidR="00154E22" w:rsidRPr="009B7763">
              <w:rPr>
                <w:lang w:eastAsia="zh-CN"/>
              </w:rPr>
              <w:t>:</w:t>
            </w:r>
          </w:p>
          <w:p w:rsidR="00154E22" w:rsidRPr="009B7763" w:rsidRDefault="00154E22" w:rsidP="00154E22">
            <w:pPr>
              <w:rPr>
                <w:lang w:eastAsia="zh-CN"/>
              </w:rPr>
            </w:pPr>
            <w:r w:rsidRPr="009B7763">
              <w:rPr>
                <w:b/>
              </w:rPr>
              <w:t xml:space="preserve">Option 3: </w:t>
            </w:r>
            <w:r w:rsidRPr="009B7763">
              <w:rPr>
                <w:lang w:eastAsia="zh-CN"/>
              </w:rPr>
              <w:t xml:space="preserve">it is up to UE whether to report TMGIs </w:t>
            </w:r>
            <w:r w:rsidR="00784D53" w:rsidRPr="009B7763">
              <w:rPr>
                <w:lang w:eastAsia="zh-CN"/>
              </w:rPr>
              <w:t>of</w:t>
            </w:r>
            <w:r w:rsidRPr="009B7763">
              <w:rPr>
                <w:lang w:eastAsia="zh-CN"/>
              </w:rPr>
              <w:t xml:space="preserve"> non-serving SNPN, and the source RAN may igno</w:t>
            </w:r>
            <w:r w:rsidR="00784D53" w:rsidRPr="009B7763">
              <w:rPr>
                <w:lang w:eastAsia="zh-CN"/>
              </w:rPr>
              <w:t xml:space="preserve">re the reported </w:t>
            </w:r>
            <w:r w:rsidRPr="009B7763">
              <w:rPr>
                <w:lang w:eastAsia="zh-CN"/>
              </w:rPr>
              <w:t xml:space="preserve">non-serving NPN TMGIs. No change to the inter-node message. </w:t>
            </w:r>
          </w:p>
          <w:p w:rsidR="00154E22" w:rsidRPr="000400BC" w:rsidRDefault="00154E22" w:rsidP="00154E22">
            <w:pPr>
              <w:rPr>
                <w:lang w:eastAsia="zh-CN"/>
              </w:rPr>
            </w:pPr>
            <w:r w:rsidRPr="009B7763">
              <w:rPr>
                <w:b/>
                <w:lang w:eastAsia="zh-CN"/>
              </w:rPr>
              <w:t>Option 4</w:t>
            </w:r>
            <w:r w:rsidRPr="009B7763">
              <w:rPr>
                <w:lang w:eastAsia="zh-CN"/>
              </w:rPr>
              <w:t>: the UE doesn't report TMGIs of non-serving SNPN</w:t>
            </w:r>
            <w:r w:rsidR="009B7763">
              <w:rPr>
                <w:lang w:eastAsia="zh-CN"/>
              </w:rPr>
              <w:t xml:space="preserve"> in </w:t>
            </w:r>
            <w:r w:rsidR="004E5D66" w:rsidRPr="004E5D66">
              <w:rPr>
                <w:i/>
                <w:lang w:eastAsia="zh-CN"/>
              </w:rPr>
              <w:t>MBSInterestIndication</w:t>
            </w:r>
            <w:r w:rsidR="004E5D66">
              <w:rPr>
                <w:i/>
                <w:lang w:eastAsia="zh-CN"/>
              </w:rPr>
              <w:t>.</w:t>
            </w:r>
          </w:p>
          <w:p w:rsidR="00154E22" w:rsidRPr="00B82CCA" w:rsidRDefault="00154E22" w:rsidP="000138E5">
            <w:pPr>
              <w:rPr>
                <w:lang w:eastAsia="zh-CN"/>
              </w:rPr>
            </w:pPr>
          </w:p>
        </w:tc>
      </w:tr>
    </w:tbl>
    <w:p w:rsidR="007C3BA2" w:rsidRDefault="007C3BA2" w:rsidP="000138E5">
      <w:pPr>
        <w:rPr>
          <w:lang w:eastAsia="zh-CN"/>
        </w:rPr>
      </w:pPr>
    </w:p>
    <w:p w:rsidR="007C3BA2" w:rsidRPr="00D01630" w:rsidRDefault="007C3BA2" w:rsidP="000138E5">
      <w:pPr>
        <w:rPr>
          <w:lang w:eastAsia="zh-CN"/>
        </w:rPr>
      </w:pPr>
    </w:p>
    <w:p w:rsidR="0084054D" w:rsidRPr="0047570D" w:rsidRDefault="0084054D" w:rsidP="0084054D">
      <w:pPr>
        <w:outlineLvl w:val="1"/>
        <w:rPr>
          <w:sz w:val="28"/>
        </w:rPr>
      </w:pPr>
      <w:r w:rsidRPr="0047570D">
        <w:rPr>
          <w:sz w:val="28"/>
        </w:rPr>
        <w:t>Q2a: Can the explicit PLMN ID be used in MII</w:t>
      </w:r>
      <w:r w:rsidR="0047570D" w:rsidRPr="0047570D">
        <w:rPr>
          <w:sz w:val="28"/>
        </w:rPr>
        <w:t xml:space="preserve"> in case of SNPN</w:t>
      </w:r>
      <w:r w:rsidRPr="0047570D">
        <w:rPr>
          <w:sz w:val="28"/>
        </w:rPr>
        <w:t>?</w:t>
      </w:r>
    </w:p>
    <w:p w:rsidR="000138E5" w:rsidRPr="0047570D" w:rsidRDefault="000138E5" w:rsidP="000138E5">
      <w:pPr>
        <w:outlineLvl w:val="1"/>
        <w:rPr>
          <w:sz w:val="28"/>
        </w:rPr>
      </w:pPr>
      <w:r w:rsidRPr="0047570D">
        <w:rPr>
          <w:sz w:val="28"/>
        </w:rPr>
        <w:t>Q2</w:t>
      </w:r>
      <w:r w:rsidR="0084054D" w:rsidRPr="0047570D">
        <w:rPr>
          <w:sz w:val="28"/>
        </w:rPr>
        <w:t>b</w:t>
      </w:r>
      <w:r w:rsidRPr="0047570D">
        <w:rPr>
          <w:sz w:val="28"/>
        </w:rPr>
        <w:t xml:space="preserve">: </w:t>
      </w:r>
      <w:r w:rsidR="0084054D" w:rsidRPr="0047570D">
        <w:rPr>
          <w:sz w:val="28"/>
        </w:rPr>
        <w:t>If</w:t>
      </w:r>
      <w:r w:rsidRPr="0047570D">
        <w:rPr>
          <w:sz w:val="28"/>
        </w:rPr>
        <w:t xml:space="preserve"> the explicit PLMN ID is indicated in MII, anything more needed?</w:t>
      </w:r>
    </w:p>
    <w:p w:rsidR="000138E5" w:rsidRPr="0047570D" w:rsidRDefault="000138E5" w:rsidP="000138E5">
      <w:r w:rsidRPr="0047570D">
        <w:rPr>
          <w:rFonts w:hint="eastAsia"/>
          <w:b/>
          <w:lang w:eastAsia="zh-CN"/>
        </w:rPr>
        <w:t>O</w:t>
      </w:r>
      <w:r w:rsidRPr="0047570D">
        <w:rPr>
          <w:b/>
          <w:lang w:eastAsia="zh-CN"/>
        </w:rPr>
        <w:t>ption 1 (no support of non-serving SNPN MBS broadcast reception)</w:t>
      </w:r>
      <w:r w:rsidRPr="0047570D">
        <w:rPr>
          <w:lang w:eastAsia="zh-CN"/>
        </w:rPr>
        <w:t xml:space="preserve">: No more signalling, in inter-node message </w:t>
      </w:r>
      <w:r w:rsidRPr="0047570D">
        <w:rPr>
          <w:i/>
        </w:rPr>
        <w:t>serving NID</w:t>
      </w:r>
      <w:r w:rsidRPr="0047570D">
        <w:t xml:space="preserve"> in the </w:t>
      </w:r>
      <w:r w:rsidRPr="0047570D">
        <w:rPr>
          <w:i/>
        </w:rPr>
        <w:t>NPN mobility information</w:t>
      </w:r>
      <w:r w:rsidRPr="0047570D">
        <w:t xml:space="preserve"> is used to indicate the NID.</w:t>
      </w:r>
    </w:p>
    <w:p w:rsidR="000138E5" w:rsidRPr="00955411" w:rsidRDefault="000138E5" w:rsidP="000138E5">
      <w:pPr>
        <w:rPr>
          <w:lang w:eastAsia="zh-CN"/>
        </w:rPr>
      </w:pPr>
      <w:r w:rsidRPr="0047570D">
        <w:rPr>
          <w:b/>
        </w:rPr>
        <w:t xml:space="preserve">Option 2 </w:t>
      </w:r>
      <w:r w:rsidRPr="0047570D">
        <w:rPr>
          <w:b/>
          <w:lang w:eastAsia="zh-CN"/>
        </w:rPr>
        <w:t>(support of non-serving SNPN MBS broadcast reception)</w:t>
      </w:r>
      <w:r w:rsidRPr="0047570D">
        <w:t xml:space="preserve">: </w:t>
      </w:r>
      <w:r w:rsidR="00C97F36">
        <w:rPr>
          <w:lang w:eastAsia="zh-CN"/>
        </w:rPr>
        <w:t>the</w:t>
      </w:r>
      <w:r w:rsidR="001B01BB">
        <w:rPr>
          <w:lang w:eastAsia="zh-CN"/>
        </w:rPr>
        <w:t xml:space="preserve"> explicit NID is needed in MII which is transmitted on Uu and inter-node message</w:t>
      </w:r>
      <w:r w:rsidRPr="0047570D">
        <w:rPr>
          <w:lang w:eastAsia="zh-CN"/>
        </w:rPr>
        <w:t>.</w:t>
      </w:r>
    </w:p>
    <w:p w:rsidR="00BA2E0B" w:rsidRDefault="00BA2E0B" w:rsidP="00BA2E0B">
      <w:pPr>
        <w:rPr>
          <w:lang w:eastAsia="zh-CN"/>
        </w:rPr>
      </w:pPr>
    </w:p>
    <w:p w:rsidR="00BA2E0B" w:rsidRDefault="00BA2E0B" w:rsidP="00BA2E0B">
      <w:pPr>
        <w:rPr>
          <w:rFonts w:hint="eastAsia"/>
          <w:lang w:eastAsia="zh-CN"/>
        </w:rPr>
      </w:pPr>
    </w:p>
    <w:tbl>
      <w:tblPr>
        <w:tblStyle w:val="ac"/>
        <w:tblW w:w="0" w:type="auto"/>
        <w:tblInd w:w="0" w:type="dxa"/>
        <w:tblLook w:val="04A0" w:firstRow="1" w:lastRow="0" w:firstColumn="1" w:lastColumn="0" w:noHBand="0" w:noVBand="1"/>
      </w:tblPr>
      <w:tblGrid>
        <w:gridCol w:w="9629"/>
      </w:tblGrid>
      <w:tr w:rsidR="00BA2E0B" w:rsidTr="00FF3252">
        <w:tc>
          <w:tcPr>
            <w:tcW w:w="9629" w:type="dxa"/>
          </w:tcPr>
          <w:p w:rsidR="00BA2E0B" w:rsidRDefault="00BA2E0B" w:rsidP="00FF3252">
            <w:pPr>
              <w:rPr>
                <w:lang w:eastAsia="zh-CN"/>
              </w:rPr>
            </w:pPr>
            <w:r w:rsidRPr="00740585">
              <w:rPr>
                <w:b/>
                <w:lang w:eastAsia="zh-CN"/>
              </w:rPr>
              <w:lastRenderedPageBreak/>
              <w:t xml:space="preserve">Offline </w:t>
            </w:r>
            <w:r w:rsidR="00740585" w:rsidRPr="00740585">
              <w:rPr>
                <w:b/>
                <w:lang w:eastAsia="zh-CN"/>
              </w:rPr>
              <w:t>Proposal 3</w:t>
            </w:r>
            <w:r>
              <w:rPr>
                <w:lang w:eastAsia="zh-CN"/>
              </w:rPr>
              <w:t>:</w:t>
            </w:r>
          </w:p>
          <w:p w:rsidR="00BA2E0B" w:rsidRPr="00740585" w:rsidRDefault="00740585" w:rsidP="00FF3252">
            <w:pPr>
              <w:rPr>
                <w:b/>
              </w:rPr>
            </w:pPr>
            <w:r>
              <w:rPr>
                <w:b/>
              </w:rPr>
              <w:t>E</w:t>
            </w:r>
            <w:r w:rsidRPr="00740585">
              <w:rPr>
                <w:b/>
              </w:rPr>
              <w:t xml:space="preserve">xplicit PLMN ID </w:t>
            </w:r>
            <w:r>
              <w:rPr>
                <w:b/>
              </w:rPr>
              <w:t xml:space="preserve">is </w:t>
            </w:r>
            <w:r w:rsidR="001271DC">
              <w:rPr>
                <w:b/>
              </w:rPr>
              <w:t>not</w:t>
            </w:r>
            <w:r w:rsidRPr="00740585">
              <w:rPr>
                <w:b/>
              </w:rPr>
              <w:t xml:space="preserve"> used in </w:t>
            </w:r>
            <w:r w:rsidR="001271DC" w:rsidRPr="004E5D66">
              <w:rPr>
                <w:b/>
                <w:i/>
              </w:rPr>
              <w:t>MBSInterestIndication</w:t>
            </w:r>
            <w:r w:rsidR="001271DC">
              <w:rPr>
                <w:b/>
              </w:rPr>
              <w:t xml:space="preserve"> </w:t>
            </w:r>
            <w:r w:rsidRPr="00740585">
              <w:rPr>
                <w:b/>
              </w:rPr>
              <w:t xml:space="preserve">in case </w:t>
            </w:r>
            <w:r>
              <w:rPr>
                <w:b/>
              </w:rPr>
              <w:t>the UE is served by</w:t>
            </w:r>
            <w:r w:rsidRPr="00740585">
              <w:rPr>
                <w:b/>
              </w:rPr>
              <w:t xml:space="preserve"> SNPN</w:t>
            </w:r>
            <w:r w:rsidR="001271DC">
              <w:rPr>
                <w:b/>
              </w:rPr>
              <w:t xml:space="preserve"> in Rel-17</w:t>
            </w:r>
            <w:r w:rsidR="00BA2E0B" w:rsidRPr="00740585">
              <w:rPr>
                <w:b/>
              </w:rPr>
              <w:t>.</w:t>
            </w:r>
            <w:r w:rsidRPr="00740585">
              <w:rPr>
                <w:b/>
              </w:rPr>
              <w:t xml:space="preserve"> </w:t>
            </w:r>
          </w:p>
          <w:p w:rsidR="00BA2E0B" w:rsidRPr="00B82CCA" w:rsidRDefault="00BA2E0B" w:rsidP="00740585">
            <w:pPr>
              <w:rPr>
                <w:lang w:eastAsia="zh-CN"/>
              </w:rPr>
            </w:pPr>
          </w:p>
        </w:tc>
      </w:tr>
    </w:tbl>
    <w:p w:rsidR="000138E5" w:rsidRPr="00BA2E0B" w:rsidRDefault="000138E5" w:rsidP="000138E5"/>
    <w:p w:rsidR="000138E5" w:rsidRDefault="000138E5" w:rsidP="000138E5">
      <w:pPr>
        <w:pStyle w:val="3"/>
      </w:pPr>
      <w:r>
        <w:t>2.2.1 MBS Multicast</w:t>
      </w:r>
    </w:p>
    <w:p w:rsidR="000138E5" w:rsidRPr="00652FB2" w:rsidRDefault="000138E5" w:rsidP="000138E5">
      <w:pPr>
        <w:outlineLvl w:val="1"/>
        <w:rPr>
          <w:sz w:val="28"/>
        </w:rPr>
      </w:pPr>
      <w:r>
        <w:rPr>
          <w:sz w:val="28"/>
        </w:rPr>
        <w:t xml:space="preserve">Q1: when plmn-index is used in </w:t>
      </w:r>
      <w:r w:rsidRPr="00CA59B1">
        <w:rPr>
          <w:sz w:val="28"/>
        </w:rPr>
        <w:t>MRB-ToAddMod-r17</w:t>
      </w:r>
      <w:r>
        <w:rPr>
          <w:sz w:val="28"/>
        </w:rPr>
        <w:t>, should the plmn-index be mapped to PLMN ID only, or to (PLMN ID+NID)</w:t>
      </w:r>
      <w:r w:rsidR="0038740A">
        <w:rPr>
          <w:sz w:val="28"/>
        </w:rPr>
        <w:t xml:space="preserve"> at the UE</w:t>
      </w:r>
      <w:r>
        <w:rPr>
          <w:sz w:val="28"/>
        </w:rPr>
        <w:t>?</w:t>
      </w:r>
    </w:p>
    <w:p w:rsidR="000138E5" w:rsidRDefault="000138E5" w:rsidP="000138E5">
      <w:r w:rsidRPr="002C66B4">
        <w:rPr>
          <w:rFonts w:hint="eastAsia"/>
          <w:b/>
          <w:lang w:eastAsia="zh-CN"/>
        </w:rPr>
        <w:t>O</w:t>
      </w:r>
      <w:r w:rsidRPr="002C66B4">
        <w:rPr>
          <w:b/>
          <w:lang w:eastAsia="zh-CN"/>
        </w:rPr>
        <w:t>ption 1</w:t>
      </w:r>
      <w:r>
        <w:rPr>
          <w:lang w:eastAsia="zh-CN"/>
        </w:rPr>
        <w:t>: plmn-index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>is translated into PLMN ID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>only</w:t>
      </w:r>
      <w:r w:rsidR="00E37367">
        <w:rPr>
          <w:lang w:eastAsia="zh-CN"/>
        </w:rPr>
        <w:t xml:space="preserve"> at the UE, which is used together with the serving NID of the UE</w:t>
      </w:r>
      <w:r>
        <w:t>.</w:t>
      </w:r>
    </w:p>
    <w:p w:rsidR="000138E5" w:rsidRDefault="000138E5" w:rsidP="000138E5">
      <w:pPr>
        <w:rPr>
          <w:lang w:eastAsia="zh-CN"/>
        </w:rPr>
      </w:pPr>
      <w:r w:rsidRPr="0047141F">
        <w:rPr>
          <w:b/>
        </w:rPr>
        <w:t>Option 2</w:t>
      </w:r>
      <w:r w:rsidRPr="0047141F">
        <w:t xml:space="preserve">: </w:t>
      </w:r>
      <w:r w:rsidRPr="0047141F">
        <w:rPr>
          <w:lang w:eastAsia="zh-CN"/>
        </w:rPr>
        <w:t>plmn-index</w:t>
      </w:r>
      <w:r w:rsidRPr="0047141F">
        <w:rPr>
          <w:rFonts w:hint="eastAsia"/>
          <w:lang w:eastAsia="zh-CN"/>
        </w:rPr>
        <w:t xml:space="preserve"> </w:t>
      </w:r>
      <w:r w:rsidRPr="0047141F">
        <w:rPr>
          <w:lang w:eastAsia="zh-CN"/>
        </w:rPr>
        <w:t>is translated into (PLMN ID+NID).</w:t>
      </w:r>
      <w:r w:rsidR="00E37367" w:rsidRPr="0047141F">
        <w:rPr>
          <w:lang w:eastAsia="zh-CN"/>
        </w:rPr>
        <w:t xml:space="preserve"> The NID should be the serving NID</w:t>
      </w:r>
      <w:r w:rsidR="00E37367" w:rsidRPr="0047141F">
        <w:rPr>
          <w:rFonts w:hint="eastAsia"/>
          <w:lang w:eastAsia="zh-CN"/>
        </w:rPr>
        <w:t xml:space="preserve"> </w:t>
      </w:r>
      <w:r w:rsidR="00E37367" w:rsidRPr="0047141F">
        <w:rPr>
          <w:lang w:eastAsia="zh-CN"/>
        </w:rPr>
        <w:t>of the UE.</w:t>
      </w:r>
    </w:p>
    <w:p w:rsidR="00AE5A7F" w:rsidRDefault="00AE5A7F" w:rsidP="000138E5">
      <w:pPr>
        <w:rPr>
          <w:lang w:eastAsia="zh-CN"/>
        </w:rPr>
      </w:pPr>
    </w:p>
    <w:p w:rsidR="0038740A" w:rsidRPr="0047570D" w:rsidRDefault="0038740A" w:rsidP="0038740A">
      <w:pPr>
        <w:outlineLvl w:val="1"/>
        <w:rPr>
          <w:sz w:val="28"/>
        </w:rPr>
      </w:pPr>
      <w:r w:rsidRPr="0047570D">
        <w:rPr>
          <w:sz w:val="28"/>
        </w:rPr>
        <w:t xml:space="preserve">Q2a: Can the explicit PLMN ID be used in </w:t>
      </w:r>
      <w:r w:rsidRPr="00CA59B1">
        <w:rPr>
          <w:sz w:val="28"/>
        </w:rPr>
        <w:t>MRB-ToAddMod-r17</w:t>
      </w:r>
      <w:r>
        <w:rPr>
          <w:sz w:val="28"/>
        </w:rPr>
        <w:t xml:space="preserve"> </w:t>
      </w:r>
      <w:r w:rsidRPr="0047570D">
        <w:rPr>
          <w:sz w:val="28"/>
        </w:rPr>
        <w:t>in case of SNPN?</w:t>
      </w:r>
    </w:p>
    <w:p w:rsidR="000138E5" w:rsidRPr="00652FB2" w:rsidRDefault="000138E5" w:rsidP="000138E5">
      <w:pPr>
        <w:outlineLvl w:val="1"/>
        <w:rPr>
          <w:sz w:val="28"/>
        </w:rPr>
      </w:pPr>
      <w:r>
        <w:rPr>
          <w:sz w:val="28"/>
        </w:rPr>
        <w:t>Q2</w:t>
      </w:r>
      <w:r w:rsidR="0038740A">
        <w:rPr>
          <w:sz w:val="28"/>
        </w:rPr>
        <w:t>b</w:t>
      </w:r>
      <w:r>
        <w:rPr>
          <w:sz w:val="28"/>
        </w:rPr>
        <w:t xml:space="preserve">: when </w:t>
      </w:r>
      <w:r w:rsidR="0038740A">
        <w:rPr>
          <w:sz w:val="28"/>
        </w:rPr>
        <w:t xml:space="preserve">the </w:t>
      </w:r>
      <w:r>
        <w:rPr>
          <w:sz w:val="28"/>
        </w:rPr>
        <w:t xml:space="preserve">explicit PLMN ID is used in </w:t>
      </w:r>
      <w:r w:rsidRPr="00CA59B1">
        <w:rPr>
          <w:sz w:val="28"/>
        </w:rPr>
        <w:t>MRB-ToAddMod-r17</w:t>
      </w:r>
      <w:r>
        <w:rPr>
          <w:sz w:val="28"/>
        </w:rPr>
        <w:t xml:space="preserve">, anything more </w:t>
      </w:r>
      <w:r w:rsidR="0038740A">
        <w:rPr>
          <w:sz w:val="28"/>
        </w:rPr>
        <w:t xml:space="preserve">is </w:t>
      </w:r>
      <w:r>
        <w:rPr>
          <w:sz w:val="28"/>
        </w:rPr>
        <w:t>needed to indicate NID?</w:t>
      </w:r>
    </w:p>
    <w:p w:rsidR="000138E5" w:rsidRDefault="000138E5" w:rsidP="000138E5">
      <w:r w:rsidRPr="002C66B4">
        <w:rPr>
          <w:rFonts w:hint="eastAsia"/>
          <w:b/>
          <w:lang w:eastAsia="zh-CN"/>
        </w:rPr>
        <w:t>O</w:t>
      </w:r>
      <w:r w:rsidRPr="002C66B4">
        <w:rPr>
          <w:b/>
          <w:lang w:eastAsia="zh-CN"/>
        </w:rPr>
        <w:t>ption 1</w:t>
      </w:r>
      <w:r>
        <w:rPr>
          <w:lang w:eastAsia="zh-CN"/>
        </w:rPr>
        <w:t xml:space="preserve">: </w:t>
      </w:r>
      <w:r w:rsidR="0047141F">
        <w:rPr>
          <w:lang w:eastAsia="zh-CN"/>
        </w:rPr>
        <w:t>No more thing needed, and the explicit PLMN ID will be used together with serving NID at the UE</w:t>
      </w:r>
      <w:r>
        <w:t>.</w:t>
      </w:r>
    </w:p>
    <w:p w:rsidR="000138E5" w:rsidRDefault="000138E5" w:rsidP="000138E5">
      <w:pPr>
        <w:rPr>
          <w:lang w:eastAsia="zh-CN"/>
        </w:rPr>
      </w:pPr>
      <w:r w:rsidRPr="00577F84">
        <w:rPr>
          <w:b/>
        </w:rPr>
        <w:t>Option 2</w:t>
      </w:r>
      <w:r w:rsidRPr="00577F84">
        <w:t xml:space="preserve">: </w:t>
      </w:r>
      <w:r w:rsidR="0047141F" w:rsidRPr="00577F84">
        <w:rPr>
          <w:lang w:eastAsia="zh-CN"/>
        </w:rPr>
        <w:t>The NID (should be the serving NID of the UE) is introduced in MRB-ToAddMod-r17</w:t>
      </w:r>
      <w:r w:rsidRPr="00577F84">
        <w:rPr>
          <w:lang w:eastAsia="zh-CN"/>
        </w:rPr>
        <w:t>.</w:t>
      </w:r>
    </w:p>
    <w:p w:rsidR="000138E5" w:rsidRDefault="000138E5" w:rsidP="000138E5">
      <w:pPr>
        <w:rPr>
          <w:b/>
        </w:rPr>
      </w:pPr>
    </w:p>
    <w:tbl>
      <w:tblPr>
        <w:tblStyle w:val="ac"/>
        <w:tblW w:w="0" w:type="auto"/>
        <w:tblInd w:w="0" w:type="dxa"/>
        <w:tblLook w:val="04A0" w:firstRow="1" w:lastRow="0" w:firstColumn="1" w:lastColumn="0" w:noHBand="0" w:noVBand="1"/>
      </w:tblPr>
      <w:tblGrid>
        <w:gridCol w:w="9629"/>
      </w:tblGrid>
      <w:tr w:rsidR="00740585" w:rsidTr="00740585">
        <w:tc>
          <w:tcPr>
            <w:tcW w:w="9629" w:type="dxa"/>
          </w:tcPr>
          <w:p w:rsidR="00740585" w:rsidRDefault="00740585" w:rsidP="00740585">
            <w:pPr>
              <w:rPr>
                <w:lang w:eastAsia="zh-CN"/>
              </w:rPr>
            </w:pPr>
            <w:r w:rsidRPr="00740585">
              <w:rPr>
                <w:b/>
                <w:lang w:eastAsia="zh-CN"/>
              </w:rPr>
              <w:t xml:space="preserve">Offline Proposal </w:t>
            </w:r>
            <w:r>
              <w:rPr>
                <w:b/>
                <w:lang w:eastAsia="zh-CN"/>
              </w:rPr>
              <w:t>4</w:t>
            </w:r>
            <w:r>
              <w:rPr>
                <w:lang w:eastAsia="zh-CN"/>
              </w:rPr>
              <w:t>:</w:t>
            </w:r>
          </w:p>
          <w:p w:rsidR="00740585" w:rsidRPr="00740585" w:rsidRDefault="001271DC" w:rsidP="00740585">
            <w:pPr>
              <w:rPr>
                <w:b/>
              </w:rPr>
            </w:pPr>
            <w:r>
              <w:rPr>
                <w:b/>
              </w:rPr>
              <w:t>In</w:t>
            </w:r>
            <w:r w:rsidR="00740585">
              <w:rPr>
                <w:b/>
              </w:rPr>
              <w:t xml:space="preserve"> MBS multicast MRB configuration, </w:t>
            </w:r>
            <w:r>
              <w:rPr>
                <w:b/>
              </w:rPr>
              <w:t xml:space="preserve">no new signaling is introduced to indicate NID, regardless plmn-index or </w:t>
            </w:r>
            <w:r w:rsidR="006D0E42">
              <w:rPr>
                <w:b/>
              </w:rPr>
              <w:t xml:space="preserve">the </w:t>
            </w:r>
            <w:r>
              <w:rPr>
                <w:b/>
              </w:rPr>
              <w:t xml:space="preserve">explicit PLMN ID </w:t>
            </w:r>
            <w:r w:rsidR="006D0E42">
              <w:rPr>
                <w:b/>
              </w:rPr>
              <w:t xml:space="preserve">is </w:t>
            </w:r>
            <w:r>
              <w:rPr>
                <w:b/>
              </w:rPr>
              <w:t>used in TMGIs</w:t>
            </w:r>
            <w:r w:rsidR="00740585" w:rsidRPr="00740585">
              <w:rPr>
                <w:b/>
              </w:rPr>
              <w:t>.</w:t>
            </w:r>
          </w:p>
          <w:p w:rsidR="00740585" w:rsidRDefault="00740585" w:rsidP="009339CB"/>
        </w:tc>
      </w:tr>
    </w:tbl>
    <w:p w:rsidR="00815BAB" w:rsidRPr="00740585" w:rsidRDefault="00815BAB" w:rsidP="009339CB"/>
    <w:sectPr w:rsidR="00815BAB" w:rsidRPr="00740585" w:rsidSect="00BF77A1">
      <w:footnotePr>
        <w:numRestart w:val="eachSect"/>
      </w:footnotePr>
      <w:pgSz w:w="11907" w:h="16840" w:code="9"/>
      <w:pgMar w:top="1134" w:right="1134" w:bottom="1418" w:left="1134" w:header="851" w:footer="340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68AB" w:rsidRDefault="006E68AB">
      <w:r>
        <w:separator/>
      </w:r>
    </w:p>
  </w:endnote>
  <w:endnote w:type="continuationSeparator" w:id="0">
    <w:p w:rsidR="006E68AB" w:rsidRDefault="006E68AB">
      <w:r>
        <w:continuationSeparator/>
      </w:r>
    </w:p>
  </w:endnote>
  <w:endnote w:type="continuationNotice" w:id="1">
    <w:p w:rsidR="006E68AB" w:rsidRDefault="006E68AB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68AB" w:rsidRDefault="006E68AB">
      <w:r>
        <w:separator/>
      </w:r>
    </w:p>
  </w:footnote>
  <w:footnote w:type="continuationSeparator" w:id="0">
    <w:p w:rsidR="006E68AB" w:rsidRDefault="006E68AB">
      <w:r>
        <w:continuationSeparator/>
      </w:r>
    </w:p>
  </w:footnote>
  <w:footnote w:type="continuationNotice" w:id="1">
    <w:p w:rsidR="006E68AB" w:rsidRDefault="006E68AB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3572528"/>
    <w:multiLevelType w:val="hybridMultilevel"/>
    <w:tmpl w:val="AC6E7394"/>
    <w:lvl w:ilvl="0" w:tplc="47108820">
      <w:start w:val="1"/>
      <w:numFmt w:val="decimal"/>
      <w:lvlText w:val="%1)"/>
      <w:lvlJc w:val="left"/>
      <w:pPr>
        <w:ind w:left="5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00" w:hanging="420"/>
      </w:pPr>
    </w:lvl>
    <w:lvl w:ilvl="2" w:tplc="0409001B" w:tentative="1">
      <w:start w:val="1"/>
      <w:numFmt w:val="lowerRoman"/>
      <w:lvlText w:val="%3."/>
      <w:lvlJc w:val="right"/>
      <w:pPr>
        <w:ind w:left="1420" w:hanging="420"/>
      </w:pPr>
    </w:lvl>
    <w:lvl w:ilvl="3" w:tplc="0409000F" w:tentative="1">
      <w:start w:val="1"/>
      <w:numFmt w:val="decimal"/>
      <w:lvlText w:val="%4."/>
      <w:lvlJc w:val="left"/>
      <w:pPr>
        <w:ind w:left="1840" w:hanging="420"/>
      </w:pPr>
    </w:lvl>
    <w:lvl w:ilvl="4" w:tplc="04090019" w:tentative="1">
      <w:start w:val="1"/>
      <w:numFmt w:val="lowerLetter"/>
      <w:lvlText w:val="%5)"/>
      <w:lvlJc w:val="left"/>
      <w:pPr>
        <w:ind w:left="2260" w:hanging="420"/>
      </w:pPr>
    </w:lvl>
    <w:lvl w:ilvl="5" w:tplc="0409001B" w:tentative="1">
      <w:start w:val="1"/>
      <w:numFmt w:val="lowerRoman"/>
      <w:lvlText w:val="%6."/>
      <w:lvlJc w:val="right"/>
      <w:pPr>
        <w:ind w:left="2680" w:hanging="420"/>
      </w:pPr>
    </w:lvl>
    <w:lvl w:ilvl="6" w:tplc="0409000F" w:tentative="1">
      <w:start w:val="1"/>
      <w:numFmt w:val="decimal"/>
      <w:lvlText w:val="%7."/>
      <w:lvlJc w:val="left"/>
      <w:pPr>
        <w:ind w:left="3100" w:hanging="420"/>
      </w:pPr>
    </w:lvl>
    <w:lvl w:ilvl="7" w:tplc="04090019" w:tentative="1">
      <w:start w:val="1"/>
      <w:numFmt w:val="lowerLetter"/>
      <w:lvlText w:val="%8)"/>
      <w:lvlJc w:val="left"/>
      <w:pPr>
        <w:ind w:left="3520" w:hanging="420"/>
      </w:pPr>
    </w:lvl>
    <w:lvl w:ilvl="8" w:tplc="0409001B" w:tentative="1">
      <w:start w:val="1"/>
      <w:numFmt w:val="lowerRoman"/>
      <w:lvlText w:val="%9."/>
      <w:lvlJc w:val="right"/>
      <w:pPr>
        <w:ind w:left="3940" w:hanging="420"/>
      </w:pPr>
    </w:lvl>
  </w:abstractNum>
  <w:abstractNum w:abstractNumId="3" w15:restartNumberingAfterBreak="0">
    <w:nsid w:val="332F5038"/>
    <w:multiLevelType w:val="hybridMultilevel"/>
    <w:tmpl w:val="3828BD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010ADE"/>
    <w:multiLevelType w:val="hybridMultilevel"/>
    <w:tmpl w:val="350EC1F6"/>
    <w:lvl w:ilvl="0" w:tplc="AA4EF412">
      <w:start w:val="1"/>
      <w:numFmt w:val="decimal"/>
      <w:lvlText w:val="[%1]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45E41150"/>
    <w:multiLevelType w:val="hybridMultilevel"/>
    <w:tmpl w:val="F0D2435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6162A8"/>
    <w:multiLevelType w:val="hybridMultilevel"/>
    <w:tmpl w:val="3654AA16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496B64A8"/>
    <w:multiLevelType w:val="hybridMultilevel"/>
    <w:tmpl w:val="9E56EA48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352"/>
        </w:tabs>
        <w:ind w:left="1352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710F62"/>
    <w:multiLevelType w:val="multilevel"/>
    <w:tmpl w:val="7A710F62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"/>
  </w:num>
  <w:num w:numId="4">
    <w:abstractNumId w:val="4"/>
  </w:num>
  <w:num w:numId="5">
    <w:abstractNumId w:val="3"/>
  </w:num>
  <w:num w:numId="6">
    <w:abstractNumId w:val="6"/>
  </w:num>
  <w:num w:numId="7">
    <w:abstractNumId w:val="7"/>
  </w:num>
  <w:num w:numId="8">
    <w:abstractNumId w:val="2"/>
  </w:num>
  <w:num w:numId="9">
    <w:abstractNumId w:val="8"/>
  </w:num>
  <w:num w:numId="10">
    <w:abstractNumId w:val="5"/>
  </w:num>
  <w:num w:numId="11">
    <w:abstractNumId w:val="8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intFractionalCharacterWidth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BCF"/>
    <w:rsid w:val="000064C4"/>
    <w:rsid w:val="00006C10"/>
    <w:rsid w:val="000138E5"/>
    <w:rsid w:val="000145D0"/>
    <w:rsid w:val="00016557"/>
    <w:rsid w:val="000172B4"/>
    <w:rsid w:val="00023C40"/>
    <w:rsid w:val="00023F38"/>
    <w:rsid w:val="00033397"/>
    <w:rsid w:val="00040095"/>
    <w:rsid w:val="000400BC"/>
    <w:rsid w:val="0004270A"/>
    <w:rsid w:val="00065268"/>
    <w:rsid w:val="00073C9C"/>
    <w:rsid w:val="00076412"/>
    <w:rsid w:val="00080512"/>
    <w:rsid w:val="00090468"/>
    <w:rsid w:val="00094568"/>
    <w:rsid w:val="000B7BCF"/>
    <w:rsid w:val="000C522B"/>
    <w:rsid w:val="000D58AB"/>
    <w:rsid w:val="000F3681"/>
    <w:rsid w:val="000F68AC"/>
    <w:rsid w:val="00112F1A"/>
    <w:rsid w:val="00114B0C"/>
    <w:rsid w:val="00115DF3"/>
    <w:rsid w:val="001271DC"/>
    <w:rsid w:val="00145075"/>
    <w:rsid w:val="00151C57"/>
    <w:rsid w:val="00154E22"/>
    <w:rsid w:val="00165803"/>
    <w:rsid w:val="00173C23"/>
    <w:rsid w:val="001741A0"/>
    <w:rsid w:val="00175FA0"/>
    <w:rsid w:val="00194CD0"/>
    <w:rsid w:val="001B01BB"/>
    <w:rsid w:val="001B2323"/>
    <w:rsid w:val="001B49C9"/>
    <w:rsid w:val="001C23F4"/>
    <w:rsid w:val="001C4F79"/>
    <w:rsid w:val="001C5560"/>
    <w:rsid w:val="001F168B"/>
    <w:rsid w:val="001F7831"/>
    <w:rsid w:val="00204045"/>
    <w:rsid w:val="0020712B"/>
    <w:rsid w:val="00215EF9"/>
    <w:rsid w:val="0022606D"/>
    <w:rsid w:val="00231728"/>
    <w:rsid w:val="00244A05"/>
    <w:rsid w:val="00250404"/>
    <w:rsid w:val="00256B74"/>
    <w:rsid w:val="002610D8"/>
    <w:rsid w:val="00264264"/>
    <w:rsid w:val="00267CA0"/>
    <w:rsid w:val="002747EC"/>
    <w:rsid w:val="00280F73"/>
    <w:rsid w:val="002855BF"/>
    <w:rsid w:val="002A7DC4"/>
    <w:rsid w:val="002B2988"/>
    <w:rsid w:val="002B30F3"/>
    <w:rsid w:val="002C66B4"/>
    <w:rsid w:val="002F0D22"/>
    <w:rsid w:val="00311B17"/>
    <w:rsid w:val="003172DC"/>
    <w:rsid w:val="00325AE3"/>
    <w:rsid w:val="00326069"/>
    <w:rsid w:val="00331742"/>
    <w:rsid w:val="00347168"/>
    <w:rsid w:val="00352ABB"/>
    <w:rsid w:val="0035462D"/>
    <w:rsid w:val="0036459E"/>
    <w:rsid w:val="00364B41"/>
    <w:rsid w:val="00371672"/>
    <w:rsid w:val="00383096"/>
    <w:rsid w:val="00386BFA"/>
    <w:rsid w:val="0038740A"/>
    <w:rsid w:val="0039346C"/>
    <w:rsid w:val="003A41EF"/>
    <w:rsid w:val="003A4358"/>
    <w:rsid w:val="003B40AD"/>
    <w:rsid w:val="003B51E2"/>
    <w:rsid w:val="003C4E37"/>
    <w:rsid w:val="003C6D42"/>
    <w:rsid w:val="003E16BE"/>
    <w:rsid w:val="003F4DD3"/>
    <w:rsid w:val="003F4E28"/>
    <w:rsid w:val="003F6A71"/>
    <w:rsid w:val="004006E8"/>
    <w:rsid w:val="0040157B"/>
    <w:rsid w:val="00401855"/>
    <w:rsid w:val="004170FE"/>
    <w:rsid w:val="00446C3A"/>
    <w:rsid w:val="004509A0"/>
    <w:rsid w:val="00465587"/>
    <w:rsid w:val="004708BC"/>
    <w:rsid w:val="0047141F"/>
    <w:rsid w:val="0047570D"/>
    <w:rsid w:val="00475A21"/>
    <w:rsid w:val="00477455"/>
    <w:rsid w:val="004808FF"/>
    <w:rsid w:val="00482532"/>
    <w:rsid w:val="00496CE5"/>
    <w:rsid w:val="004A1F50"/>
    <w:rsid w:val="004A1F7B"/>
    <w:rsid w:val="004C44D2"/>
    <w:rsid w:val="004C4A25"/>
    <w:rsid w:val="004D3578"/>
    <w:rsid w:val="004D380D"/>
    <w:rsid w:val="004E213A"/>
    <w:rsid w:val="004E5D66"/>
    <w:rsid w:val="004E7E19"/>
    <w:rsid w:val="004F4540"/>
    <w:rsid w:val="004F6550"/>
    <w:rsid w:val="004F73A7"/>
    <w:rsid w:val="00503171"/>
    <w:rsid w:val="00506C28"/>
    <w:rsid w:val="005108D6"/>
    <w:rsid w:val="00521FBC"/>
    <w:rsid w:val="00534DA0"/>
    <w:rsid w:val="005376FC"/>
    <w:rsid w:val="00543E6C"/>
    <w:rsid w:val="00565087"/>
    <w:rsid w:val="0056573F"/>
    <w:rsid w:val="00571279"/>
    <w:rsid w:val="00577F84"/>
    <w:rsid w:val="005A13AB"/>
    <w:rsid w:val="005A49C6"/>
    <w:rsid w:val="005C28BF"/>
    <w:rsid w:val="005C766E"/>
    <w:rsid w:val="005C7CD5"/>
    <w:rsid w:val="005F279F"/>
    <w:rsid w:val="00602121"/>
    <w:rsid w:val="00611566"/>
    <w:rsid w:val="00626665"/>
    <w:rsid w:val="006325D3"/>
    <w:rsid w:val="00646D99"/>
    <w:rsid w:val="0065143A"/>
    <w:rsid w:val="00652FB2"/>
    <w:rsid w:val="00656910"/>
    <w:rsid w:val="006574C0"/>
    <w:rsid w:val="00673BDF"/>
    <w:rsid w:val="00680530"/>
    <w:rsid w:val="00690163"/>
    <w:rsid w:val="00696821"/>
    <w:rsid w:val="006C418C"/>
    <w:rsid w:val="006C66D8"/>
    <w:rsid w:val="006D0E42"/>
    <w:rsid w:val="006D1E24"/>
    <w:rsid w:val="006D35DE"/>
    <w:rsid w:val="006D4674"/>
    <w:rsid w:val="006D6298"/>
    <w:rsid w:val="006E1057"/>
    <w:rsid w:val="006E1417"/>
    <w:rsid w:val="006E68AB"/>
    <w:rsid w:val="006F6A2C"/>
    <w:rsid w:val="006F7586"/>
    <w:rsid w:val="00705600"/>
    <w:rsid w:val="007069DC"/>
    <w:rsid w:val="00710201"/>
    <w:rsid w:val="007111E6"/>
    <w:rsid w:val="0071589B"/>
    <w:rsid w:val="0072073A"/>
    <w:rsid w:val="007342B5"/>
    <w:rsid w:val="00734A5B"/>
    <w:rsid w:val="00740585"/>
    <w:rsid w:val="00744E76"/>
    <w:rsid w:val="00746F34"/>
    <w:rsid w:val="00751A1C"/>
    <w:rsid w:val="00757D40"/>
    <w:rsid w:val="007662B5"/>
    <w:rsid w:val="00781F0F"/>
    <w:rsid w:val="00784D53"/>
    <w:rsid w:val="0078727C"/>
    <w:rsid w:val="0079049D"/>
    <w:rsid w:val="00793DC5"/>
    <w:rsid w:val="00796823"/>
    <w:rsid w:val="007A2E55"/>
    <w:rsid w:val="007A7442"/>
    <w:rsid w:val="007B18D8"/>
    <w:rsid w:val="007C095F"/>
    <w:rsid w:val="007C0E1D"/>
    <w:rsid w:val="007C2BD0"/>
    <w:rsid w:val="007C2DD0"/>
    <w:rsid w:val="007C3BA2"/>
    <w:rsid w:val="007E632F"/>
    <w:rsid w:val="007F2E08"/>
    <w:rsid w:val="008024FA"/>
    <w:rsid w:val="008028A4"/>
    <w:rsid w:val="008100E0"/>
    <w:rsid w:val="00813245"/>
    <w:rsid w:val="00815BAB"/>
    <w:rsid w:val="0082695B"/>
    <w:rsid w:val="00836992"/>
    <w:rsid w:val="00837CA6"/>
    <w:rsid w:val="0084054D"/>
    <w:rsid w:val="00840DE0"/>
    <w:rsid w:val="00847CD0"/>
    <w:rsid w:val="008518C2"/>
    <w:rsid w:val="008607A8"/>
    <w:rsid w:val="0086354A"/>
    <w:rsid w:val="00863554"/>
    <w:rsid w:val="00863E0A"/>
    <w:rsid w:val="008752F5"/>
    <w:rsid w:val="008768CA"/>
    <w:rsid w:val="00877EF9"/>
    <w:rsid w:val="00880559"/>
    <w:rsid w:val="008B5306"/>
    <w:rsid w:val="008B54E8"/>
    <w:rsid w:val="008C2E2A"/>
    <w:rsid w:val="008C3057"/>
    <w:rsid w:val="008D2E4D"/>
    <w:rsid w:val="008D6AF3"/>
    <w:rsid w:val="008F396F"/>
    <w:rsid w:val="008F3DCD"/>
    <w:rsid w:val="008F768B"/>
    <w:rsid w:val="0090271F"/>
    <w:rsid w:val="00902DB9"/>
    <w:rsid w:val="0090466A"/>
    <w:rsid w:val="00911CD2"/>
    <w:rsid w:val="00923655"/>
    <w:rsid w:val="009339CB"/>
    <w:rsid w:val="00936071"/>
    <w:rsid w:val="009376CD"/>
    <w:rsid w:val="00940212"/>
    <w:rsid w:val="00942EC2"/>
    <w:rsid w:val="00955411"/>
    <w:rsid w:val="00961B32"/>
    <w:rsid w:val="00962509"/>
    <w:rsid w:val="00970DB3"/>
    <w:rsid w:val="00974BB0"/>
    <w:rsid w:val="00975BCD"/>
    <w:rsid w:val="009928A9"/>
    <w:rsid w:val="009968FC"/>
    <w:rsid w:val="009A0AF3"/>
    <w:rsid w:val="009B07CD"/>
    <w:rsid w:val="009B6EB4"/>
    <w:rsid w:val="009B7763"/>
    <w:rsid w:val="009C19E9"/>
    <w:rsid w:val="009D74A6"/>
    <w:rsid w:val="009D7CAE"/>
    <w:rsid w:val="009E0E87"/>
    <w:rsid w:val="009F28DB"/>
    <w:rsid w:val="00A10F02"/>
    <w:rsid w:val="00A14BE1"/>
    <w:rsid w:val="00A17176"/>
    <w:rsid w:val="00A204CA"/>
    <w:rsid w:val="00A209D6"/>
    <w:rsid w:val="00A22738"/>
    <w:rsid w:val="00A266C2"/>
    <w:rsid w:val="00A36F5F"/>
    <w:rsid w:val="00A430EC"/>
    <w:rsid w:val="00A53724"/>
    <w:rsid w:val="00A54B2B"/>
    <w:rsid w:val="00A67267"/>
    <w:rsid w:val="00A703B6"/>
    <w:rsid w:val="00A81CEA"/>
    <w:rsid w:val="00A82346"/>
    <w:rsid w:val="00A90ACC"/>
    <w:rsid w:val="00A92C63"/>
    <w:rsid w:val="00A9671C"/>
    <w:rsid w:val="00AA1553"/>
    <w:rsid w:val="00AC262E"/>
    <w:rsid w:val="00AE5A7F"/>
    <w:rsid w:val="00B05380"/>
    <w:rsid w:val="00B05962"/>
    <w:rsid w:val="00B145EC"/>
    <w:rsid w:val="00B15449"/>
    <w:rsid w:val="00B16C2F"/>
    <w:rsid w:val="00B27303"/>
    <w:rsid w:val="00B47FD1"/>
    <w:rsid w:val="00B516BB"/>
    <w:rsid w:val="00B64E20"/>
    <w:rsid w:val="00B7538C"/>
    <w:rsid w:val="00B82CCA"/>
    <w:rsid w:val="00B84DB2"/>
    <w:rsid w:val="00B96F5E"/>
    <w:rsid w:val="00BA2E0B"/>
    <w:rsid w:val="00BA7168"/>
    <w:rsid w:val="00BB3C2E"/>
    <w:rsid w:val="00BC3555"/>
    <w:rsid w:val="00BF4EB2"/>
    <w:rsid w:val="00BF77A1"/>
    <w:rsid w:val="00C12B51"/>
    <w:rsid w:val="00C150BC"/>
    <w:rsid w:val="00C237F0"/>
    <w:rsid w:val="00C24650"/>
    <w:rsid w:val="00C25465"/>
    <w:rsid w:val="00C33079"/>
    <w:rsid w:val="00C35221"/>
    <w:rsid w:val="00C55A12"/>
    <w:rsid w:val="00C6553E"/>
    <w:rsid w:val="00C83A13"/>
    <w:rsid w:val="00C86D12"/>
    <w:rsid w:val="00C86F10"/>
    <w:rsid w:val="00C9068C"/>
    <w:rsid w:val="00C92967"/>
    <w:rsid w:val="00C97F36"/>
    <w:rsid w:val="00CA3D0C"/>
    <w:rsid w:val="00CA59B1"/>
    <w:rsid w:val="00CA654B"/>
    <w:rsid w:val="00CB72B8"/>
    <w:rsid w:val="00CC45AC"/>
    <w:rsid w:val="00CC7F5E"/>
    <w:rsid w:val="00CD0BA8"/>
    <w:rsid w:val="00CD4C7B"/>
    <w:rsid w:val="00CD58FE"/>
    <w:rsid w:val="00CD7081"/>
    <w:rsid w:val="00D01630"/>
    <w:rsid w:val="00D31C04"/>
    <w:rsid w:val="00D33BE3"/>
    <w:rsid w:val="00D3792D"/>
    <w:rsid w:val="00D55E47"/>
    <w:rsid w:val="00D62E19"/>
    <w:rsid w:val="00D67CD1"/>
    <w:rsid w:val="00D73867"/>
    <w:rsid w:val="00D738D6"/>
    <w:rsid w:val="00D80795"/>
    <w:rsid w:val="00D854BE"/>
    <w:rsid w:val="00D87E00"/>
    <w:rsid w:val="00D9134D"/>
    <w:rsid w:val="00D913E5"/>
    <w:rsid w:val="00D96D11"/>
    <w:rsid w:val="00DA53FD"/>
    <w:rsid w:val="00DA7A03"/>
    <w:rsid w:val="00DB0DB8"/>
    <w:rsid w:val="00DB1818"/>
    <w:rsid w:val="00DC309B"/>
    <w:rsid w:val="00DC4DA2"/>
    <w:rsid w:val="00DC5261"/>
    <w:rsid w:val="00DD3BE4"/>
    <w:rsid w:val="00DE00F5"/>
    <w:rsid w:val="00DE25D2"/>
    <w:rsid w:val="00DF7C20"/>
    <w:rsid w:val="00E044CD"/>
    <w:rsid w:val="00E22F63"/>
    <w:rsid w:val="00E25634"/>
    <w:rsid w:val="00E36303"/>
    <w:rsid w:val="00E37367"/>
    <w:rsid w:val="00E41508"/>
    <w:rsid w:val="00E46C08"/>
    <w:rsid w:val="00E471CF"/>
    <w:rsid w:val="00E503A5"/>
    <w:rsid w:val="00E62835"/>
    <w:rsid w:val="00E77645"/>
    <w:rsid w:val="00E83697"/>
    <w:rsid w:val="00E859B6"/>
    <w:rsid w:val="00E85B86"/>
    <w:rsid w:val="00E97D5B"/>
    <w:rsid w:val="00EA66C9"/>
    <w:rsid w:val="00EB5D32"/>
    <w:rsid w:val="00EC4A25"/>
    <w:rsid w:val="00ED2A90"/>
    <w:rsid w:val="00EE2A9A"/>
    <w:rsid w:val="00EF612C"/>
    <w:rsid w:val="00F00BB5"/>
    <w:rsid w:val="00F025A2"/>
    <w:rsid w:val="00F036E9"/>
    <w:rsid w:val="00F07388"/>
    <w:rsid w:val="00F2026E"/>
    <w:rsid w:val="00F2210A"/>
    <w:rsid w:val="00F31372"/>
    <w:rsid w:val="00F37743"/>
    <w:rsid w:val="00F421C8"/>
    <w:rsid w:val="00F54A3D"/>
    <w:rsid w:val="00F54CB0"/>
    <w:rsid w:val="00F579CD"/>
    <w:rsid w:val="00F653B8"/>
    <w:rsid w:val="00F71B89"/>
    <w:rsid w:val="00F72392"/>
    <w:rsid w:val="00F7353C"/>
    <w:rsid w:val="00F76F8F"/>
    <w:rsid w:val="00F80A34"/>
    <w:rsid w:val="00F87257"/>
    <w:rsid w:val="00F941DF"/>
    <w:rsid w:val="00FA1266"/>
    <w:rsid w:val="00FA34A5"/>
    <w:rsid w:val="00FB36FA"/>
    <w:rsid w:val="00FB5FC1"/>
    <w:rsid w:val="00FC1192"/>
    <w:rsid w:val="00FD002B"/>
    <w:rsid w:val="00FE106D"/>
    <w:rsid w:val="00FE251B"/>
    <w:rsid w:val="00FF5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AA80A4E-D791-4BEA-92CC-75E12524E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4E22"/>
    <w:pPr>
      <w:spacing w:after="180"/>
    </w:pPr>
    <w:rPr>
      <w:lang w:eastAsia="en-US"/>
    </w:rPr>
  </w:style>
  <w:style w:type="paragraph" w:styleId="1">
    <w:name w:val="heading 1"/>
    <w:next w:val="a"/>
    <w:link w:val="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90">
    <w:name w:val="toc 9"/>
    <w:basedOn w:val="80"/>
    <w:semiHidden/>
    <w:pPr>
      <w:ind w:left="1418" w:hanging="1418"/>
    </w:pPr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a3">
    <w:name w:val="header"/>
    <w:aliases w:val="header odd"/>
    <w:link w:val="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50">
    <w:name w:val="toc 5"/>
    <w:basedOn w:val="40"/>
    <w:semiHidden/>
    <w:pPr>
      <w:ind w:left="1701" w:hanging="1701"/>
    </w:pPr>
  </w:style>
  <w:style w:type="paragraph" w:styleId="40">
    <w:name w:val="toc 4"/>
    <w:basedOn w:val="30"/>
    <w:semiHidden/>
    <w:pPr>
      <w:ind w:left="1418" w:hanging="1418"/>
    </w:pPr>
  </w:style>
  <w:style w:type="paragraph" w:styleId="30">
    <w:name w:val="toc 3"/>
    <w:basedOn w:val="20"/>
    <w:semiHidden/>
    <w:pPr>
      <w:ind w:left="1134" w:hanging="1134"/>
    </w:pPr>
  </w:style>
  <w:style w:type="paragraph" w:styleId="20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a4">
    <w:name w:val="footer"/>
    <w:basedOn w:val="a3"/>
    <w:pPr>
      <w:jc w:val="center"/>
    </w:pPr>
    <w:rPr>
      <w:i/>
    </w:rPr>
  </w:style>
  <w:style w:type="paragraph" w:customStyle="1" w:styleId="TT">
    <w:name w:val="TT"/>
    <w:basedOn w:val="1"/>
    <w:next w:val="a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a"/>
    <w:pPr>
      <w:keepLines/>
      <w:ind w:left="1135" w:hanging="851"/>
    </w:p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a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a"/>
    <w:pPr>
      <w:ind w:left="568" w:hanging="284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a"/>
    <w:pPr>
      <w:ind w:left="851" w:hanging="284"/>
    </w:pPr>
  </w:style>
  <w:style w:type="paragraph" w:customStyle="1" w:styleId="B3">
    <w:name w:val="B3"/>
    <w:basedOn w:val="a"/>
    <w:link w:val="B3Char"/>
    <w:qFormat/>
    <w:pPr>
      <w:ind w:left="1135" w:hanging="284"/>
    </w:pPr>
  </w:style>
  <w:style w:type="paragraph" w:customStyle="1" w:styleId="B4">
    <w:name w:val="B4"/>
    <w:basedOn w:val="a"/>
    <w:pPr>
      <w:ind w:left="1418" w:hanging="284"/>
    </w:pPr>
  </w:style>
  <w:style w:type="paragraph" w:customStyle="1" w:styleId="B5">
    <w:name w:val="B5"/>
    <w:basedOn w:val="a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a"/>
    <w:rPr>
      <w:i/>
      <w:color w:val="0000FF"/>
    </w:rPr>
  </w:style>
  <w:style w:type="character" w:customStyle="1" w:styleId="Char">
    <w:name w:val="页眉 Char"/>
    <w:aliases w:val="header odd Char"/>
    <w:link w:val="a3"/>
    <w:rsid w:val="00CD4C7B"/>
    <w:rPr>
      <w:rFonts w:ascii="Arial" w:hAnsi="Arial"/>
      <w:b/>
      <w:noProof/>
      <w:sz w:val="18"/>
      <w:lang w:val="en-GB" w:eastAsia="ja-JP" w:bidi="ar-SA"/>
    </w:rPr>
  </w:style>
  <w:style w:type="paragraph" w:customStyle="1" w:styleId="CRCoverPage">
    <w:name w:val="CR Cover Page"/>
    <w:link w:val="CRCoverPageZchn"/>
    <w:qFormat/>
    <w:rsid w:val="00CD4C7B"/>
    <w:pPr>
      <w:spacing w:after="120"/>
    </w:pPr>
    <w:rPr>
      <w:rFonts w:ascii="Arial" w:eastAsia="MS Mincho" w:hAnsi="Arial"/>
      <w:lang w:eastAsia="en-US"/>
    </w:rPr>
  </w:style>
  <w:style w:type="character" w:styleId="a5">
    <w:name w:val="Hyperlink"/>
    <w:rsid w:val="0056573F"/>
    <w:rPr>
      <w:color w:val="0000FF"/>
      <w:u w:val="single"/>
    </w:rPr>
  </w:style>
  <w:style w:type="paragraph" w:styleId="a6">
    <w:name w:val="Document Map"/>
    <w:basedOn w:val="a"/>
    <w:link w:val="Char0"/>
    <w:rsid w:val="009D74A6"/>
    <w:pPr>
      <w:spacing w:after="0"/>
    </w:pPr>
    <w:rPr>
      <w:sz w:val="24"/>
      <w:szCs w:val="24"/>
    </w:rPr>
  </w:style>
  <w:style w:type="character" w:customStyle="1" w:styleId="Char0">
    <w:name w:val="文档结构图 Char"/>
    <w:basedOn w:val="a0"/>
    <w:link w:val="a6"/>
    <w:rsid w:val="009D74A6"/>
    <w:rPr>
      <w:sz w:val="24"/>
      <w:szCs w:val="24"/>
      <w:lang w:eastAsia="en-US"/>
    </w:rPr>
  </w:style>
  <w:style w:type="paragraph" w:styleId="a7">
    <w:name w:val="Balloon Text"/>
    <w:basedOn w:val="a"/>
    <w:link w:val="Char1"/>
    <w:rsid w:val="00B27303"/>
    <w:pPr>
      <w:spacing w:after="0"/>
    </w:pPr>
    <w:rPr>
      <w:rFonts w:ascii="Helvetica" w:hAnsi="Helvetica"/>
      <w:sz w:val="18"/>
      <w:szCs w:val="18"/>
    </w:rPr>
  </w:style>
  <w:style w:type="character" w:customStyle="1" w:styleId="Char1">
    <w:name w:val="批注框文本 Char"/>
    <w:basedOn w:val="a0"/>
    <w:link w:val="a7"/>
    <w:rsid w:val="00B27303"/>
    <w:rPr>
      <w:rFonts w:ascii="Helvetica" w:hAnsi="Helvetica"/>
      <w:sz w:val="18"/>
      <w:szCs w:val="18"/>
      <w:lang w:eastAsia="en-US"/>
    </w:rPr>
  </w:style>
  <w:style w:type="character" w:customStyle="1" w:styleId="UnresolvedMention1">
    <w:name w:val="Unresolved Mention1"/>
    <w:basedOn w:val="a0"/>
    <w:rsid w:val="00DE25D2"/>
    <w:rPr>
      <w:color w:val="605E5C"/>
      <w:shd w:val="clear" w:color="auto" w:fill="E1DFDD"/>
    </w:rPr>
  </w:style>
  <w:style w:type="character" w:styleId="a8">
    <w:name w:val="annotation reference"/>
    <w:basedOn w:val="a0"/>
    <w:rsid w:val="003A4358"/>
    <w:rPr>
      <w:sz w:val="16"/>
      <w:szCs w:val="16"/>
    </w:rPr>
  </w:style>
  <w:style w:type="paragraph" w:styleId="a9">
    <w:name w:val="annotation text"/>
    <w:basedOn w:val="a"/>
    <w:link w:val="Char2"/>
    <w:rsid w:val="003A4358"/>
  </w:style>
  <w:style w:type="character" w:customStyle="1" w:styleId="Char2">
    <w:name w:val="批注文字 Char"/>
    <w:basedOn w:val="a0"/>
    <w:link w:val="a9"/>
    <w:rsid w:val="003A4358"/>
    <w:rPr>
      <w:lang w:eastAsia="en-US"/>
    </w:rPr>
  </w:style>
  <w:style w:type="paragraph" w:styleId="aa">
    <w:name w:val="annotation subject"/>
    <w:basedOn w:val="a9"/>
    <w:next w:val="a9"/>
    <w:link w:val="Char3"/>
    <w:rsid w:val="003A4358"/>
    <w:rPr>
      <w:b/>
      <w:bCs/>
    </w:rPr>
  </w:style>
  <w:style w:type="character" w:customStyle="1" w:styleId="Char3">
    <w:name w:val="批注主题 Char"/>
    <w:basedOn w:val="Char2"/>
    <w:link w:val="aa"/>
    <w:rsid w:val="003A4358"/>
    <w:rPr>
      <w:b/>
      <w:bCs/>
      <w:lang w:eastAsia="en-US"/>
    </w:rPr>
  </w:style>
  <w:style w:type="character" w:customStyle="1" w:styleId="Mention1">
    <w:name w:val="Mention1"/>
    <w:basedOn w:val="a0"/>
    <w:uiPriority w:val="99"/>
    <w:unhideWhenUsed/>
    <w:rsid w:val="003A4358"/>
    <w:rPr>
      <w:color w:val="2B579A"/>
      <w:shd w:val="clear" w:color="auto" w:fill="E1DFDD"/>
    </w:rPr>
  </w:style>
  <w:style w:type="character" w:customStyle="1" w:styleId="TALCar">
    <w:name w:val="TAL Car"/>
    <w:link w:val="TAL"/>
    <w:qFormat/>
    <w:rsid w:val="007A7442"/>
    <w:rPr>
      <w:rFonts w:ascii="Arial" w:hAnsi="Arial"/>
      <w:sz w:val="18"/>
      <w:lang w:eastAsia="en-US"/>
    </w:rPr>
  </w:style>
  <w:style w:type="character" w:customStyle="1" w:styleId="TAHCar">
    <w:name w:val="TAH Car"/>
    <w:link w:val="TAH"/>
    <w:qFormat/>
    <w:locked/>
    <w:rsid w:val="007A7442"/>
    <w:rPr>
      <w:rFonts w:ascii="Arial" w:hAnsi="Arial"/>
      <w:b/>
      <w:sz w:val="18"/>
      <w:lang w:eastAsia="en-US"/>
    </w:rPr>
  </w:style>
  <w:style w:type="paragraph" w:styleId="ab">
    <w:name w:val="Revision"/>
    <w:hidden/>
    <w:uiPriority w:val="99"/>
    <w:semiHidden/>
    <w:rsid w:val="00680530"/>
    <w:rPr>
      <w:lang w:eastAsia="en-US"/>
    </w:rPr>
  </w:style>
  <w:style w:type="character" w:customStyle="1" w:styleId="CRCoverPageZchn">
    <w:name w:val="CR Cover Page Zchn"/>
    <w:link w:val="CRCoverPage"/>
    <w:qFormat/>
    <w:rsid w:val="00863E0A"/>
    <w:rPr>
      <w:rFonts w:ascii="Arial" w:eastAsia="MS Mincho" w:hAnsi="Arial"/>
      <w:lang w:eastAsia="en-US"/>
    </w:rPr>
  </w:style>
  <w:style w:type="paragraph" w:customStyle="1" w:styleId="Doc-text2">
    <w:name w:val="Doc-text2"/>
    <w:basedOn w:val="a"/>
    <w:link w:val="Doc-text2Char"/>
    <w:qFormat/>
    <w:rsid w:val="00863E0A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863E0A"/>
    <w:rPr>
      <w:rFonts w:ascii="Arial" w:eastAsia="MS Mincho" w:hAnsi="Arial"/>
      <w:szCs w:val="24"/>
    </w:rPr>
  </w:style>
  <w:style w:type="paragraph" w:customStyle="1" w:styleId="Agreement">
    <w:name w:val="Agreement"/>
    <w:basedOn w:val="a"/>
    <w:next w:val="Doc-text2"/>
    <w:qFormat/>
    <w:rsid w:val="00863E0A"/>
    <w:pPr>
      <w:numPr>
        <w:numId w:val="9"/>
      </w:numPr>
      <w:tabs>
        <w:tab w:val="clear" w:pos="1352"/>
        <w:tab w:val="num" w:pos="1619"/>
      </w:tabs>
      <w:spacing w:before="60" w:after="0"/>
      <w:ind w:left="1619"/>
    </w:pPr>
    <w:rPr>
      <w:rFonts w:ascii="Arial" w:eastAsia="MS Mincho" w:hAnsi="Arial"/>
      <w:b/>
      <w:szCs w:val="24"/>
      <w:lang w:eastAsia="en-GB"/>
    </w:rPr>
  </w:style>
  <w:style w:type="paragraph" w:customStyle="1" w:styleId="Doc-comment">
    <w:name w:val="Doc-comment"/>
    <w:basedOn w:val="a"/>
    <w:next w:val="Doc-text2"/>
    <w:qFormat/>
    <w:rsid w:val="00863E0A"/>
    <w:pPr>
      <w:tabs>
        <w:tab w:val="left" w:pos="1622"/>
      </w:tabs>
      <w:spacing w:after="0"/>
      <w:ind w:left="1622" w:hanging="363"/>
    </w:pPr>
    <w:rPr>
      <w:rFonts w:ascii="Arial" w:eastAsia="MS Mincho" w:hAnsi="Arial"/>
      <w:i/>
      <w:szCs w:val="24"/>
      <w:lang w:eastAsia="en-GB"/>
    </w:rPr>
  </w:style>
  <w:style w:type="table" w:styleId="ac">
    <w:name w:val="Table Grid"/>
    <w:basedOn w:val="a1"/>
    <w:qFormat/>
    <w:rsid w:val="00BF77A1"/>
    <w:rPr>
      <w:lang w:val="en-US" w:eastAsia="zh-C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3Char">
    <w:name w:val="B3 Char"/>
    <w:link w:val="B3"/>
    <w:qFormat/>
    <w:locked/>
    <w:rsid w:val="00652FB2"/>
    <w:rPr>
      <w:lang w:eastAsia="en-US"/>
    </w:rPr>
  </w:style>
  <w:style w:type="character" w:customStyle="1" w:styleId="1Char">
    <w:name w:val="标题 1 Char"/>
    <w:basedOn w:val="a0"/>
    <w:link w:val="1"/>
    <w:rsid w:val="00652FB2"/>
    <w:rPr>
      <w:rFonts w:ascii="Arial" w:hAnsi="Arial"/>
      <w:sz w:val="36"/>
      <w:lang w:eastAsia="en-US"/>
    </w:rPr>
  </w:style>
  <w:style w:type="paragraph" w:styleId="ad">
    <w:name w:val="List Paragraph"/>
    <w:basedOn w:val="a"/>
    <w:uiPriority w:val="34"/>
    <w:qFormat/>
    <w:rsid w:val="008D6AF3"/>
    <w:pPr>
      <w:ind w:firstLineChars="200" w:firstLine="420"/>
    </w:pPr>
  </w:style>
  <w:style w:type="character" w:customStyle="1" w:styleId="3Char">
    <w:name w:val="标题 3 Char"/>
    <w:basedOn w:val="a0"/>
    <w:link w:val="3"/>
    <w:rsid w:val="00CA59B1"/>
    <w:rPr>
      <w:rFonts w:ascii="Arial" w:hAnsi="Arial"/>
      <w:sz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62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image" Target="media/image4.png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371E7EC0F13943B87F9D9F2BE005B3" ma:contentTypeVersion="29" ma:contentTypeDescription="Create a new document." ma:contentTypeScope="" ma:versionID="b94988eb0a512e26ff497882237b1490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83f22d2f-d16e-4be6-ad4f-29fa0b067c3c" targetNamespace="http://schemas.microsoft.com/office/2006/metadata/properties" ma:root="true" ma:fieldsID="be88c8710ed1a46b09e9e3d81045b218" ns2:_="" ns3:_="" ns4:_="" ns5:_="">
    <xsd:import namespace="71c5aaf6-e6ce-465b-b873-5148d2a4c105"/>
    <xsd:import namespace="3b34c8f0-1ef5-4d1e-bb66-517ce7fe7356"/>
    <xsd:import namespace="a3840f4f-04be-43d1-b2ef-6ff1382503c7"/>
    <xsd:import namespace="83f22d2f-d16e-4be6-ad4f-29fa0b067c3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MediaServiceDateTaken" minOccurs="0"/>
                <xsd:element ref="ns5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22d2f-d16e-4be6-ad4f-29fa0b067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0" nillable="true" ma:displayName="Tags" ma:internalName="MediaServiceAutoTags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3b34c8f0-1ef5-4d1e-bb66-517ce7fe7356" xsi:nil="true"/>
    <HideFromDelve xmlns="71c5aaf6-e6ce-465b-b873-5148d2a4c105">false</HideFromDelve>
    <Associated_x0020_Task xmlns="3b34c8f0-1ef5-4d1e-bb66-517ce7fe7356" xsi:nil="true"/>
    <_dlc_DocId xmlns="71c5aaf6-e6ce-465b-b873-5148d2a4c105">5AIRPNAIUNRU-859666464-12916</_dlc_DocId>
    <_dlc_DocIdUrl xmlns="71c5aaf6-e6ce-465b-b873-5148d2a4c105">
      <Url>https://nokia.sharepoint.com/sites/c5g/e2earch/_layouts/15/DocIdRedir.aspx?ID=5AIRPNAIUNRU-859666464-12916</Url>
      <Description>5AIRPNAIUNRU-859666464-12916</Description>
    </_dlc_DocIdUrl>
  </documentManagement>
</p:properties>
</file>

<file path=customXml/item5.xml><?xml version="1.0" encoding="utf-8"?>
<?mso-contentType ?>
<SharedContentType xmlns="Microsoft.SharePoint.Taxonomy.ContentTypeSync" SourceId="34c87397-5fc1-491e-85e7-d6110dbe9cbd" ContentTypeId="0x0101" PreviousValue="false"/>
</file>

<file path=customXml/itemProps1.xml><?xml version="1.0" encoding="utf-8"?>
<ds:datastoreItem xmlns:ds="http://schemas.openxmlformats.org/officeDocument/2006/customXml" ds:itemID="{82A9E171-399D-4767-AB5E-FFDE0C66C4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66C2573-CBE0-4638-8415-428B36BCACB2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B5AED20C-EACC-4B26-A1A5-77385D2DCF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83f22d2f-d16e-4be6-ad4f-29fa0b067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ED1FF41-9130-4FBF-B742-64100F73850B}">
  <ds:schemaRefs>
    <ds:schemaRef ds:uri="http://schemas.microsoft.com/office/2006/metadata/properties"/>
    <ds:schemaRef ds:uri="http://schemas.microsoft.com/office/infopath/2007/PartnerControls"/>
    <ds:schemaRef ds:uri="3b34c8f0-1ef5-4d1e-bb66-517ce7fe7356"/>
    <ds:schemaRef ds:uri="71c5aaf6-e6ce-465b-b873-5148d2a4c105"/>
  </ds:schemaRefs>
</ds:datastoreItem>
</file>

<file path=customXml/itemProps5.xml><?xml version="1.0" encoding="utf-8"?>
<ds:datastoreItem xmlns:ds="http://schemas.openxmlformats.org/officeDocument/2006/customXml" ds:itemID="{F12D86AF-1246-4760-9763-A448F936F82C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1050</Words>
  <Characters>5988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Nokia</Company>
  <LinksUpToDate>false</LinksUpToDate>
  <CharactersWithSpaces>7024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Benoist</dc:creator>
  <cp:keywords/>
  <dc:description/>
  <cp:lastModifiedBy>Huawei-Zhenzhen</cp:lastModifiedBy>
  <cp:revision>2</cp:revision>
  <dcterms:created xsi:type="dcterms:W3CDTF">2023-02-28T16:31:00Z</dcterms:created>
  <dcterms:modified xsi:type="dcterms:W3CDTF">2023-02-28T16:31:00Z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0x01010054371E7EC0F13943B87F9D9F2BE005B3</vt:lpwstr>
  </property>
  <property fmtid="{D5CDD505-2E9C-101B-9397-08002B2CF9AE}" pid="3" name="_dlc_DocIdItemGuid">
    <vt:lpwstr>28cc8cc8-96cc-4b8c-bf9c-e54b9803f2ac</vt:lpwstr>
  </property>
  <property fmtid="{D5CDD505-2E9C-101B-9397-08002B2CF9AE}" pid="4" name="_2015_ms_pID_725343">
    <vt:lpwstr>(3)KfaroSREGxTxX54aCF5IUFC++G0OKDGX1tN9XuFtrmn8jqdtndBOWKGmQDSERxJQD88bsKzz
aOKGT7jrTDVhJJUFRQAHktjs3fxUrB5B/ky3VnBbl8z14lrOuMhrIPsC1PvzQ495TkwAXUPI
vwkc0U8KUHF2FicXE04NVZtSqdMW/FcQkBzb6NSr3lmxRPxxypq059CTfPu+nxK7j2Z8e0wd
tqDy8+HhD9N6BbUIz/</vt:lpwstr>
  </property>
  <property fmtid="{D5CDD505-2E9C-101B-9397-08002B2CF9AE}" pid="5" name="_2015_ms_pID_7253431">
    <vt:lpwstr>3G4oE4pRJETT5zxBRw62jUowZCdDXLRKMt+Bpb1Tdx1XFoKjgu6yqi
blH5V56ZGmshIFe8CaAJjcNCVWX8VuYWDLZODa/iB6VvJ1oSvJ/0d59c30gJlUSmGuHZ6yvc
fa/sBOA2EYv5ZOZADO2ok8Ow4zDss7WdDg04OSzOw23mFxBncqPz1wO/ZXbJ65PvQAxTzpDN
y222mNQ/h9Iwq/OnfVeApb4cLsMLrG2JqbxA</vt:lpwstr>
  </property>
  <property fmtid="{D5CDD505-2E9C-101B-9397-08002B2CF9AE}" pid="6" name="_2015_ms_pID_7253432">
    <vt:lpwstr>BQ==</vt:lpwstr>
  </property>
</Properties>
</file>