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012][</w:t>
      </w:r>
      <w:proofErr w:type="gramEnd"/>
      <w:r>
        <w:rPr>
          <w:rFonts w:ascii="Arial" w:hAnsi="Arial" w:cs="Arial"/>
          <w:b/>
          <w:sz w:val="24"/>
          <w:szCs w:val="24"/>
        </w:rPr>
        <w:t>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1"/>
      </w:pPr>
      <w:r>
        <w:t>1</w:t>
      </w:r>
      <w:r>
        <w:tab/>
        <w:t>Introduction</w:t>
      </w:r>
    </w:p>
    <w:p w14:paraId="62AA2BB9" w14:textId="77777777" w:rsidR="00E23D8E" w:rsidRDefault="00E8096B">
      <w:pPr>
        <w:spacing w:before="120" w:after="120"/>
        <w:jc w:val="both"/>
        <w:rPr>
          <w:lang w:eastAsia="zh-CN"/>
        </w:rPr>
      </w:pPr>
      <w:r>
        <w:rPr>
          <w:lang w:eastAsia="zh-CN"/>
        </w:rPr>
        <w:t xml:space="preserve">This document is to </w:t>
      </w:r>
      <w:r>
        <w:rPr>
          <w:lang w:eastAsia="zh-CN"/>
        </w:rPr>
        <w:t>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w:t>
      </w:r>
      <w:proofErr w:type="gramStart"/>
      <w:r>
        <w:t>012][</w:t>
      </w:r>
      <w:proofErr w:type="gramEnd"/>
      <w:r>
        <w:t>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1"/>
        <w:rPr>
          <w:lang w:eastAsia="zh-CN"/>
        </w:rPr>
      </w:pPr>
      <w:r>
        <w:t>2</w:t>
      </w:r>
      <w:r>
        <w:tab/>
      </w:r>
      <w:r>
        <w:rPr>
          <w:lang w:eastAsia="ko-KR"/>
        </w:rPr>
        <w:t>Contact Information</w:t>
      </w:r>
    </w:p>
    <w:p w14:paraId="3A6EF1E3" w14:textId="77777777" w:rsidR="00E23D8E" w:rsidRDefault="00E23D8E"/>
    <w:tbl>
      <w:tblPr>
        <w:tblStyle w:val="afc"/>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rFonts w:eastAsia="Calibri"/>
                <w:lang w:eastAsia="ko-KR"/>
              </w:rPr>
            </w:pPr>
            <w:r>
              <w:rPr>
                <w:rFonts w:eastAsia="Calibri"/>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rFonts w:eastAsia="Calibri"/>
                <w:lang w:val="en-US"/>
              </w:rPr>
            </w:pPr>
            <w:r>
              <w:rPr>
                <w:rFonts w:eastAsia="Calibri"/>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rFonts w:eastAsia="Calibri"/>
                <w:lang w:val="en-US"/>
              </w:rPr>
            </w:pPr>
            <w:r>
              <w:rPr>
                <w:rFonts w:eastAsia="Calibri"/>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hint="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hint="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7777777" w:rsidR="00E23D8E" w:rsidRDefault="00E23D8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46DFCFB" w14:textId="77777777" w:rsidR="00E23D8E" w:rsidRDefault="00E23D8E">
            <w:pPr>
              <w:pStyle w:val="TAC"/>
              <w:jc w:val="left"/>
              <w:rPr>
                <w:rFonts w:eastAsia="Calibri"/>
                <w:lang w:val="en-US"/>
              </w:rPr>
            </w:pP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77777777" w:rsidR="00E23D8E" w:rsidRDefault="00E23D8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A554200" w14:textId="77777777" w:rsidR="00E23D8E" w:rsidRDefault="00E23D8E">
            <w:pPr>
              <w:pStyle w:val="TAC"/>
              <w:jc w:val="left"/>
              <w:rPr>
                <w:rFonts w:eastAsia="Calibri"/>
                <w:lang w:val="en-US" w:eastAsia="ko-KR"/>
              </w:rPr>
            </w:pP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77777777" w:rsidR="00E23D8E" w:rsidRDefault="00E23D8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rFonts w:eastAsia="Calibri"/>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77777777" w:rsidR="00E23D8E" w:rsidRDefault="00E23D8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289D6614" w14:textId="77777777" w:rsidR="00E23D8E" w:rsidRDefault="00E23D8E">
            <w:pPr>
              <w:pStyle w:val="TAC"/>
              <w:jc w:val="left"/>
              <w:rPr>
                <w:rFonts w:eastAsia="Calibri"/>
                <w:lang w:val="en-US"/>
              </w:rPr>
            </w:pP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77777777" w:rsidR="00E23D8E" w:rsidRDefault="00E23D8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C720770" w14:textId="77777777" w:rsidR="00E23D8E" w:rsidRDefault="00E23D8E">
            <w:pPr>
              <w:pStyle w:val="TAC"/>
              <w:jc w:val="left"/>
              <w:rPr>
                <w:rFonts w:eastAsia="Calibri"/>
                <w:lang w:val="en-US" w:eastAsia="ko-KR"/>
              </w:rPr>
            </w:pP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77777777" w:rsidR="00E23D8E" w:rsidRDefault="00E23D8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0891092" w14:textId="77777777" w:rsidR="00E23D8E" w:rsidRDefault="00E23D8E">
            <w:pPr>
              <w:pStyle w:val="TAC"/>
              <w:jc w:val="left"/>
              <w:rPr>
                <w:rFonts w:eastAsia="Calibri"/>
                <w:lang w:val="en-US" w:eastAsia="ko-KR"/>
              </w:rPr>
            </w:pP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77777777" w:rsidR="00E23D8E" w:rsidRDefault="00E23D8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2C7BFD6" w14:textId="77777777" w:rsidR="00E23D8E" w:rsidRDefault="00E23D8E">
            <w:pPr>
              <w:pStyle w:val="TAC"/>
              <w:jc w:val="left"/>
              <w:rPr>
                <w:rFonts w:eastAsia="Calibri"/>
                <w:lang w:val="en-US" w:eastAsia="ko-KR"/>
              </w:rPr>
            </w:pP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rFonts w:eastAsia="Calibri"/>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Default="00E23D8E">
            <w:pPr>
              <w:pStyle w:val="TAC"/>
              <w:jc w:val="left"/>
              <w:rPr>
                <w:rFonts w:eastAsia="Calibri"/>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rFonts w:eastAsia="Calibri"/>
                <w:lang w:val="en-US" w:eastAsia="ko-KR"/>
              </w:rPr>
            </w:pPr>
          </w:p>
        </w:tc>
      </w:tr>
    </w:tbl>
    <w:p w14:paraId="787D24C6" w14:textId="77777777" w:rsidR="00E23D8E" w:rsidRDefault="00E23D8E"/>
    <w:p w14:paraId="73F8BE55" w14:textId="77777777" w:rsidR="00E23D8E" w:rsidRDefault="00E8096B">
      <w:pPr>
        <w:pStyle w:val="1"/>
      </w:pPr>
      <w:r>
        <w:rPr>
          <w:rFonts w:hint="eastAsia"/>
          <w:lang w:eastAsia="zh-CN"/>
        </w:rPr>
        <w:t>3</w:t>
      </w:r>
      <w:r>
        <w:tab/>
        <w:t>Discussions</w:t>
      </w:r>
    </w:p>
    <w:p w14:paraId="28AAAD34" w14:textId="77777777" w:rsidR="00E23D8E" w:rsidRDefault="00E8096B">
      <w:pPr>
        <w:pStyle w:val="21"/>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aff4"/>
        <w:rPr>
          <w:rFonts w:ascii="Times New Roman" w:hAnsi="Times New Roman"/>
          <w:sz w:val="20"/>
          <w:lang w:val="en-US"/>
        </w:rPr>
      </w:pPr>
    </w:p>
    <w:p w14:paraId="7B7561B1" w14:textId="77777777" w:rsidR="00E23D8E" w:rsidRPr="009140E6" w:rsidRDefault="00E23D8E">
      <w:pPr>
        <w:pStyle w:val="aff4"/>
        <w:rPr>
          <w:rFonts w:ascii="Times New Roman" w:hAnsi="Times New Roman"/>
          <w:sz w:val="20"/>
          <w:lang w:val="en-US"/>
        </w:rPr>
      </w:pPr>
    </w:p>
    <w:p w14:paraId="6131AE4D" w14:textId="77777777" w:rsidR="00E23D8E" w:rsidRDefault="00E8096B">
      <w:r>
        <w:t xml:space="preserve">Since 38.331 refers to TS 38.304 for cell barring idle mode MT-IAB </w:t>
      </w:r>
      <w:r>
        <w:t>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proofErr w:type="spellStart"/>
            <w:r>
              <w:rPr>
                <w:lang w:val="sv-SE"/>
              </w:rPr>
              <w:t>Yes</w:t>
            </w:r>
            <w:proofErr w:type="spellEnd"/>
            <w:r>
              <w:rPr>
                <w:lang w:val="sv-SE"/>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proofErr w:type="spellStart"/>
            <w:r>
              <w:rPr>
                <w:lang w:val="sv-SE"/>
              </w:rPr>
              <w:t>Comments</w:t>
            </w:r>
            <w:proofErr w:type="spellEnd"/>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proofErr w:type="spellStart"/>
            <w:r>
              <w:rPr>
                <w:lang w:val="en-GB"/>
              </w:rPr>
              <w:t>SONy</w:t>
            </w:r>
            <w:proofErr w:type="spellEnd"/>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proofErr w:type="spellStart"/>
            <w:r>
              <w:rPr>
                <w:i/>
                <w:iCs/>
                <w:highlight w:val="yellow"/>
              </w:rPr>
              <w:t>iab</w:t>
            </w:r>
            <w:proofErr w:type="spellEnd"/>
            <w:r>
              <w:rPr>
                <w:i/>
                <w:iCs/>
                <w:highlight w:val="yellow"/>
              </w:rPr>
              <w:t>-Support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w:t>
            </w:r>
            <w:r>
              <w:rPr>
                <w:rFonts w:eastAsia="Malgun Gothic"/>
                <w:lang w:val="en-US" w:eastAsia="ko-KR"/>
              </w:rPr>
              <w:t xml:space="preserve">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w:t>
            </w:r>
            <w:proofErr w:type="gramStart"/>
            <w:r>
              <w:rPr>
                <w:rFonts w:eastAsia="Malgun Gothic"/>
                <w:lang w:val="en-US" w:eastAsia="ko-KR"/>
              </w:rPr>
              <w:t>increases</w:t>
            </w:r>
            <w:proofErr w:type="gramEnd"/>
            <w:r>
              <w:rPr>
                <w:rFonts w:eastAsia="Malgun Gothic"/>
                <w:lang w:val="en-US" w:eastAsia="ko-KR"/>
              </w:rPr>
              <w:t xml:space="preserve"> potential mismatch but no real gain. Unfortunately, our specs already have many duplicated </w:t>
            </w:r>
            <w:proofErr w:type="gramStart"/>
            <w:r>
              <w:rPr>
                <w:rFonts w:eastAsia="Malgun Gothic"/>
                <w:lang w:val="en-US" w:eastAsia="ko-KR"/>
              </w:rPr>
              <w:t>text</w:t>
            </w:r>
            <w:proofErr w:type="gramEnd"/>
            <w:r>
              <w:rPr>
                <w:rFonts w:eastAsia="Malgun Gothic"/>
                <w:lang w:val="en-US" w:eastAsia="ko-KR"/>
              </w:rPr>
              <w:t xml:space="preserve"> acros</w:t>
            </w:r>
            <w:r>
              <w:rPr>
                <w:rFonts w:eastAsia="Malgun Gothic"/>
                <w:lang w:val="en-US" w:eastAsia="ko-KR"/>
              </w:rPr>
              <w:t xml:space="preserve">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xml:space="preserve">. </w:t>
            </w:r>
            <w:proofErr w:type="gramStart"/>
            <w:r>
              <w:rPr>
                <w:rFonts w:hint="eastAsia"/>
                <w:lang w:val="en-US"/>
              </w:rPr>
              <w:t>However</w:t>
            </w:r>
            <w:proofErr w:type="gramEnd"/>
            <w:r>
              <w:rPr>
                <w:rFonts w:hint="eastAsia"/>
                <w:lang w:val="en-US"/>
              </w:rPr>
              <w:t xml:space="preserve">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w:t>
            </w:r>
            <w:proofErr w:type="spellStart"/>
            <w:r>
              <w:rPr>
                <w:lang w:val="en-US"/>
              </w:rPr>
              <w:t>iab</w:t>
            </w:r>
            <w:proofErr w:type="spellEnd"/>
            <w:r>
              <w:rPr>
                <w:lang w:val="en-US"/>
              </w:rPr>
              <w:t>-support”.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04489D"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62ADF8" w14:textId="77777777" w:rsidR="00E23D8E" w:rsidRDefault="00E23D8E">
            <w:pPr>
              <w:pStyle w:val="TAC"/>
              <w:spacing w:before="20" w:after="20"/>
              <w:ind w:left="57" w:right="57"/>
              <w:jc w:val="left"/>
              <w:rPr>
                <w:lang w:val="en-US"/>
              </w:rPr>
            </w:pPr>
          </w:p>
        </w:tc>
      </w:tr>
      <w:tr w:rsidR="00E23D8E"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77777777" w:rsidR="00E23D8E" w:rsidRDefault="00E23D8E">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EC4D01F"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713DA1" w14:textId="77777777" w:rsidR="00E23D8E" w:rsidRDefault="00E23D8E">
            <w:pPr>
              <w:pStyle w:val="TAC"/>
              <w:spacing w:before="20" w:after="20"/>
              <w:ind w:left="57" w:right="57"/>
              <w:jc w:val="left"/>
              <w:rPr>
                <w:lang w:val="en-US"/>
              </w:rPr>
            </w:pPr>
          </w:p>
        </w:tc>
      </w:tr>
      <w:tr w:rsidR="00E23D8E"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BB6507"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1F8911" w14:textId="77777777" w:rsidR="00E23D8E" w:rsidRDefault="00E23D8E">
            <w:pPr>
              <w:pStyle w:val="TAC"/>
              <w:spacing w:before="20" w:after="20"/>
              <w:ind w:left="57" w:right="57"/>
              <w:jc w:val="left"/>
              <w:rPr>
                <w:lang w:val="en-US"/>
              </w:rPr>
            </w:pPr>
          </w:p>
        </w:tc>
      </w:tr>
      <w:tr w:rsidR="00E23D8E"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E8C9A8"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8D0E45" w14:textId="77777777" w:rsidR="00E23D8E" w:rsidRDefault="00E23D8E">
            <w:pPr>
              <w:pStyle w:val="TAC"/>
              <w:spacing w:before="20" w:after="20"/>
              <w:ind w:left="57" w:right="57"/>
              <w:jc w:val="left"/>
              <w:rPr>
                <w:lang w:val="en-US"/>
              </w:rPr>
            </w:pPr>
          </w:p>
        </w:tc>
      </w:tr>
      <w:tr w:rsidR="00E23D8E"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8BB57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BCA491" w14:textId="77777777" w:rsidR="00E23D8E" w:rsidRDefault="00E23D8E">
            <w:pPr>
              <w:pStyle w:val="TAC"/>
              <w:spacing w:before="20" w:after="20"/>
              <w:ind w:left="57" w:right="57"/>
              <w:jc w:val="left"/>
              <w:rPr>
                <w:lang w:val="en-US"/>
              </w:rPr>
            </w:pPr>
          </w:p>
        </w:tc>
      </w:tr>
      <w:tr w:rsidR="00E23D8E"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A1953E"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E72B0F" w14:textId="77777777" w:rsidR="00E23D8E" w:rsidRDefault="00E23D8E">
            <w:pPr>
              <w:pStyle w:val="TAC"/>
              <w:spacing w:before="20" w:after="20"/>
              <w:ind w:left="57" w:right="57"/>
              <w:jc w:val="left"/>
              <w:rPr>
                <w:lang w:val="en-GB"/>
              </w:rPr>
            </w:pPr>
          </w:p>
        </w:tc>
      </w:tr>
      <w:tr w:rsidR="00E23D8E"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EA2730"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EE59DE" w14:textId="77777777" w:rsidR="00E23D8E" w:rsidRDefault="00E23D8E">
            <w:pPr>
              <w:pStyle w:val="TAC"/>
              <w:spacing w:before="20" w:after="20"/>
              <w:ind w:left="57" w:right="57"/>
              <w:jc w:val="left"/>
              <w:rPr>
                <w:lang w:val="en-US"/>
              </w:rPr>
            </w:pPr>
          </w:p>
        </w:tc>
      </w:tr>
      <w:tr w:rsidR="00E23D8E"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E23D8E" w:rsidRDefault="00E23D8E">
            <w:pPr>
              <w:pStyle w:val="TAC"/>
              <w:spacing w:before="20" w:after="20"/>
              <w:ind w:left="57" w:right="57"/>
              <w:jc w:val="left"/>
              <w:rPr>
                <w:lang w:val="en-US"/>
              </w:rPr>
            </w:pPr>
          </w:p>
        </w:tc>
      </w:tr>
      <w:tr w:rsidR="00E23D8E"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E23D8E" w:rsidRDefault="00E23D8E">
            <w:pPr>
              <w:pStyle w:val="TAC"/>
              <w:spacing w:before="20" w:after="20"/>
              <w:ind w:left="57" w:right="57"/>
              <w:jc w:val="left"/>
              <w:rPr>
                <w:lang w:val="en-US"/>
              </w:rPr>
            </w:pPr>
          </w:p>
        </w:tc>
      </w:tr>
      <w:tr w:rsidR="00E23D8E"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E23D8E" w:rsidRDefault="00E23D8E">
            <w:pPr>
              <w:pStyle w:val="TAC"/>
              <w:spacing w:before="20" w:after="20"/>
              <w:ind w:left="57" w:right="57"/>
              <w:jc w:val="left"/>
              <w:rPr>
                <w:lang w:val="en-US"/>
              </w:rPr>
            </w:pPr>
          </w:p>
        </w:tc>
      </w:tr>
      <w:tr w:rsidR="00E23D8E"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E23D8E" w:rsidRDefault="00E23D8E">
            <w:pPr>
              <w:pStyle w:val="TAC"/>
              <w:spacing w:before="20" w:after="20"/>
              <w:ind w:left="57" w:right="57"/>
              <w:jc w:val="left"/>
              <w:rPr>
                <w:lang w:val="en-US"/>
              </w:rPr>
            </w:pPr>
          </w:p>
        </w:tc>
      </w:tr>
    </w:tbl>
    <w:p w14:paraId="21FA82F0" w14:textId="77777777" w:rsidR="00E23D8E" w:rsidRDefault="00E23D8E">
      <w:pPr>
        <w:pStyle w:val="21"/>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B503" w14:textId="77777777" w:rsidR="00E8096B" w:rsidRDefault="00E8096B">
      <w:pPr>
        <w:spacing w:after="0"/>
      </w:pPr>
      <w:r>
        <w:separator/>
      </w:r>
    </w:p>
  </w:endnote>
  <w:endnote w:type="continuationSeparator" w:id="0">
    <w:p w14:paraId="234A82BB" w14:textId="77777777" w:rsidR="00E8096B" w:rsidRDefault="00E809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0EA" w14:textId="77777777" w:rsidR="00E23D8E" w:rsidRDefault="00E8096B">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0E6B" w14:textId="77777777" w:rsidR="00E8096B" w:rsidRDefault="00E8096B">
      <w:pPr>
        <w:spacing w:after="0"/>
      </w:pPr>
      <w:r>
        <w:separator/>
      </w:r>
    </w:p>
  </w:footnote>
  <w:footnote w:type="continuationSeparator" w:id="0">
    <w:p w14:paraId="4CFB5604" w14:textId="77777777" w:rsidR="00E8096B" w:rsidRDefault="00E809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791" w14:textId="77777777" w:rsidR="00E23D8E" w:rsidRDefault="00E809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a8"/>
    <w:pPr>
      <w:shd w:val="clear" w:color="auto" w:fill="000080"/>
    </w:pPr>
    <w:rPr>
      <w:rFonts w:ascii="Tahoma" w:hAnsi="Tahoma" w:cs="Tahoma"/>
    </w:rPr>
  </w:style>
  <w:style w:type="paragraph" w:styleId="a9">
    <w:name w:val="annotation text"/>
    <w:basedOn w:val="a1"/>
    <w:link w:val="aa"/>
    <w:uiPriority w:val="99"/>
    <w:qFormat/>
  </w:style>
  <w:style w:type="paragraph" w:styleId="ab">
    <w:name w:val="Body Text"/>
    <w:basedOn w:val="a1"/>
    <w:link w:val="ac"/>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b"/>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9"/>
    <w:next w:val="a9"/>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b"/>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b"/>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2"/>
    <w:link w:val="B4Char"/>
    <w:qFormat/>
  </w:style>
  <w:style w:type="paragraph" w:customStyle="1" w:styleId="Proposal">
    <w:name w:val="Proposal"/>
    <w:basedOn w:val="ab"/>
    <w:qFormat/>
    <w:pPr>
      <w:numPr>
        <w:numId w:val="10"/>
      </w:numPr>
      <w:tabs>
        <w:tab w:val="clear" w:pos="1304"/>
        <w:tab w:val="left" w:pos="1701"/>
      </w:tabs>
      <w:ind w:left="1701" w:hanging="1701"/>
    </w:pPr>
    <w:rPr>
      <w:b/>
      <w:bCs/>
    </w:rPr>
  </w:style>
  <w:style w:type="character" w:customStyle="1" w:styleId="ac">
    <w:name w:val="正文文本 字符"/>
    <w:link w:val="ab"/>
    <w:qFormat/>
    <w:rPr>
      <w:rFonts w:ascii="Arial" w:hAnsi="Arial"/>
      <w:lang w:eastAsia="zh-CN"/>
    </w:rPr>
  </w:style>
  <w:style w:type="paragraph" w:customStyle="1" w:styleId="B5">
    <w:name w:val="B5"/>
    <w:basedOn w:val="52"/>
    <w:link w:val="B5Cha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a">
    <w:name w:val="批注文字 字符"/>
    <w:link w:val="a9"/>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8">
    <w:name w:val="文档结构图 字符"/>
    <w:link w:val="a7"/>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EB7867-AC36-4675-89C2-68497B0547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Company>Ericsson</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CATT-Luyang</cp:lastModifiedBy>
  <cp:revision>2</cp:revision>
  <cp:lastPrinted>2008-01-31T07:09:00Z</cp:lastPrinted>
  <dcterms:created xsi:type="dcterms:W3CDTF">2023-02-28T12:03:00Z</dcterms:created>
  <dcterms:modified xsi:type="dcterms:W3CDTF">2023-02-28T12:03:00Z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