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Heading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[AT121][012][IAB]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Heading1"/>
        <w:rPr>
          <w:lang w:eastAsia="zh-CN"/>
        </w:rPr>
      </w:pPr>
      <w:r>
        <w:t>2</w:t>
      </w:r>
      <w:r>
        <w:tab/>
      </w:r>
      <w:r>
        <w:rPr>
          <w:lang w:eastAsia="ko-KR"/>
        </w:rPr>
        <w:t>Contact Information</w:t>
      </w:r>
    </w:p>
    <w:p w14:paraId="3A6EF1E3" w14:textId="77777777" w:rsidR="00E23D8E" w:rsidRDefault="00E23D8E"/>
    <w:tbl>
      <w:tblPr>
        <w:tblStyle w:val="TableGrid"/>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098634B1" w:rsidR="00E23D8E" w:rsidRDefault="00D10321">
            <w:pPr>
              <w:pStyle w:val="TAC"/>
              <w:jc w:val="left"/>
              <w:rPr>
                <w:lang w:val="en-US" w:eastAsia="ko-KR"/>
              </w:rPr>
            </w:pPr>
            <w:r>
              <w:rPr>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1A554200" w14:textId="72D93915" w:rsidR="00E23D8E" w:rsidRDefault="00D10321">
            <w:pPr>
              <w:pStyle w:val="TAC"/>
              <w:jc w:val="left"/>
              <w:rPr>
                <w:lang w:val="en-US" w:eastAsia="ko-KR"/>
              </w:rPr>
            </w:pPr>
            <w:r>
              <w:rPr>
                <w:lang w:val="en-US" w:eastAsia="ko-KR"/>
              </w:rPr>
              <w:t>m.tesanovic@samsung.com</w:t>
            </w: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3B8174EE" w:rsidR="00E23D8E" w:rsidRDefault="00C452AC">
            <w:pPr>
              <w:pStyle w:val="TAC"/>
              <w:jc w:val="left"/>
              <w:rPr>
                <w:lang w:val="en-US"/>
              </w:rPr>
            </w:pPr>
            <w:r>
              <w:rPr>
                <w:lang w:val="en-US"/>
              </w:rPr>
              <w:t>Sharp</w:t>
            </w: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314ED438" w:rsidR="00E23D8E" w:rsidRDefault="00C452A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289D6614" w14:textId="475EAB4E" w:rsidR="00E23D8E" w:rsidRDefault="00C452AC">
            <w:pPr>
              <w:pStyle w:val="TAC"/>
              <w:jc w:val="left"/>
              <w:rPr>
                <w:lang w:val="en-US"/>
              </w:rPr>
            </w:pPr>
            <w:r>
              <w:rPr>
                <w:lang w:val="en-US"/>
              </w:rPr>
              <w:t>andrew.lappalainen@nokia.com</w:t>
            </w: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17DCC541" w:rsidR="00E23D8E" w:rsidRDefault="00032AA5">
            <w:pPr>
              <w:pStyle w:val="TAC"/>
              <w:jc w:val="left"/>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C720770" w14:textId="60EEDD3C" w:rsidR="00E23D8E" w:rsidRDefault="00032AA5">
            <w:pPr>
              <w:pStyle w:val="TAC"/>
              <w:jc w:val="left"/>
              <w:rPr>
                <w:lang w:val="en-US" w:eastAsia="ko-KR"/>
              </w:rPr>
            </w:pPr>
            <w:r>
              <w:rPr>
                <w:lang w:val="en-US" w:eastAsia="ko-KR"/>
              </w:rPr>
              <w:t>pcheng24@apple.com</w:t>
            </w: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27E9521F" w:rsidR="00E23D8E" w:rsidRDefault="00341E40">
            <w:pPr>
              <w:pStyle w:val="TAC"/>
              <w:jc w:val="left"/>
              <w:rPr>
                <w:lang w:val="en-US" w:eastAsia="ko-KR"/>
              </w:rPr>
            </w:pPr>
            <w:r>
              <w:rPr>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70891092" w14:textId="08C483E0" w:rsidR="00E23D8E" w:rsidRDefault="00341E40">
            <w:pPr>
              <w:pStyle w:val="TAC"/>
              <w:jc w:val="left"/>
              <w:rPr>
                <w:lang w:val="en-US" w:eastAsia="ko-KR"/>
              </w:rPr>
            </w:pPr>
            <w:r>
              <w:rPr>
                <w:lang w:val="en-US" w:eastAsia="ko-KR"/>
              </w:rPr>
              <w:t>ghampel@qti.qualcomm.com</w:t>
            </w: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Heading1"/>
      </w:pPr>
      <w:r>
        <w:rPr>
          <w:rFonts w:hint="eastAsia"/>
          <w:lang w:eastAsia="zh-CN"/>
        </w:rPr>
        <w:t>3</w:t>
      </w:r>
      <w:r>
        <w:tab/>
        <w:t>Discussions</w:t>
      </w:r>
    </w:p>
    <w:p w14:paraId="28AAAD34" w14:textId="77777777" w:rsidR="00E23D8E" w:rsidRDefault="00E8096B">
      <w:pPr>
        <w:pStyle w:val="Heading2"/>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ListParagraph"/>
        <w:rPr>
          <w:rFonts w:ascii="Times New Roman" w:hAnsi="Times New Roman"/>
          <w:sz w:val="20"/>
          <w:lang w:val="en-US"/>
        </w:rPr>
      </w:pPr>
    </w:p>
    <w:p w14:paraId="7B7561B1" w14:textId="77777777" w:rsidR="00E23D8E" w:rsidRPr="009140E6" w:rsidRDefault="00E23D8E">
      <w:pPr>
        <w:pStyle w:val="ListParagraph"/>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r>
              <w:rPr>
                <w:lang w:val="sv-SE"/>
              </w:rPr>
              <w:t>Comments</w:t>
            </w:r>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r>
              <w:rPr>
                <w:lang w:val="en-GB"/>
              </w:rPr>
              <w:t>SONy</w:t>
            </w:r>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r>
              <w:rPr>
                <w:i/>
                <w:iCs/>
                <w:highlight w:val="yellow"/>
              </w:rPr>
              <w:t>iab-Support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However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“iab-support”.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behaviour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Would the following change in 331 help avoid the confusion:</w:t>
            </w:r>
          </w:p>
          <w:p w14:paraId="0BF8946D" w14:textId="606793B3" w:rsidR="00DC3237" w:rsidRDefault="00DC3237">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662ADF8" w14:textId="149C44D9" w:rsidR="000D3A88" w:rsidRDefault="000D3A88">
            <w:pPr>
              <w:pStyle w:val="TAC"/>
              <w:spacing w:before="20" w:after="20"/>
              <w:ind w:left="57" w:right="57"/>
              <w:jc w:val="left"/>
              <w:rPr>
                <w:lang w:val="en-US"/>
              </w:rPr>
            </w:pPr>
          </w:p>
        </w:tc>
      </w:tr>
      <w:tr w:rsidR="0091778A"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29E5A864" w:rsidR="0091778A" w:rsidRDefault="0091778A" w:rsidP="0091778A">
            <w:pPr>
              <w:pStyle w:val="TAC"/>
              <w:spacing w:before="20" w:after="20"/>
              <w:ind w:left="57" w:right="57"/>
              <w:jc w:val="left"/>
              <w:rPr>
                <w:lang w:val="en-GB"/>
              </w:rPr>
            </w:pPr>
            <w:r w:rsidRPr="00851D5F">
              <w:t>Samsung</w:t>
            </w:r>
          </w:p>
        </w:tc>
        <w:tc>
          <w:tcPr>
            <w:tcW w:w="2478" w:type="dxa"/>
            <w:tcBorders>
              <w:top w:val="single" w:sz="4" w:space="0" w:color="auto"/>
              <w:left w:val="single" w:sz="4" w:space="0" w:color="auto"/>
              <w:bottom w:val="single" w:sz="4" w:space="0" w:color="auto"/>
              <w:right w:val="single" w:sz="4" w:space="0" w:color="auto"/>
            </w:tcBorders>
          </w:tcPr>
          <w:p w14:paraId="7EC4D01F" w14:textId="6A79CF41" w:rsidR="0091778A" w:rsidRDefault="0091778A" w:rsidP="0091778A">
            <w:pPr>
              <w:pStyle w:val="TAC"/>
              <w:spacing w:before="20" w:after="20"/>
              <w:ind w:left="57" w:right="57"/>
              <w:jc w:val="left"/>
              <w:rPr>
                <w:lang w:val="en-US"/>
              </w:rPr>
            </w:pPr>
            <w:r w:rsidRPr="00851D5F">
              <w:t>No strong view</w:t>
            </w:r>
          </w:p>
        </w:tc>
        <w:tc>
          <w:tcPr>
            <w:tcW w:w="7142" w:type="dxa"/>
            <w:tcBorders>
              <w:top w:val="single" w:sz="4" w:space="0" w:color="auto"/>
              <w:left w:val="single" w:sz="4" w:space="0" w:color="auto"/>
              <w:bottom w:val="single" w:sz="4" w:space="0" w:color="auto"/>
              <w:right w:val="single" w:sz="4" w:space="0" w:color="auto"/>
            </w:tcBorders>
          </w:tcPr>
          <w:p w14:paraId="56618A01" w14:textId="77777777" w:rsidR="0091778A" w:rsidRDefault="0091778A" w:rsidP="0091778A">
            <w:pPr>
              <w:pStyle w:val="TAC"/>
              <w:spacing w:before="20" w:after="20"/>
              <w:ind w:left="57" w:right="57"/>
              <w:jc w:val="left"/>
            </w:pPr>
            <w:r w:rsidRPr="00851D5F">
              <w:t xml:space="preserve">We feel the cross reference is clearer with this change, but we also </w:t>
            </w:r>
            <w:r>
              <w:rPr>
                <w:lang w:val="en-GB"/>
              </w:rPr>
              <w:t>empathise with</w:t>
            </w:r>
            <w:r w:rsidRPr="00851D5F">
              <w:t xml:space="preserve"> LGE’s view.</w:t>
            </w:r>
          </w:p>
          <w:p w14:paraId="5F713DA1" w14:textId="04431BA6" w:rsidR="009E79ED" w:rsidRPr="009E79ED" w:rsidRDefault="009E79ED" w:rsidP="0091778A">
            <w:pPr>
              <w:pStyle w:val="TAC"/>
              <w:spacing w:before="20" w:after="20"/>
              <w:ind w:left="57" w:right="57"/>
              <w:jc w:val="left"/>
              <w:rPr>
                <w:lang w:val="en-GB"/>
              </w:rPr>
            </w:pPr>
            <w:r>
              <w:rPr>
                <w:lang w:val="en-GB"/>
              </w:rPr>
              <w:t>We also see Intel’s point</w:t>
            </w:r>
            <w:r w:rsidR="002644FB">
              <w:rPr>
                <w:lang w:val="en-GB"/>
              </w:rPr>
              <w:t>,</w:t>
            </w:r>
            <w:r>
              <w:rPr>
                <w:lang w:val="en-GB"/>
              </w:rPr>
              <w:t xml:space="preserve"> but do not think their proposal fixes this (the rewording could also be interpreted in the wrong way).</w:t>
            </w:r>
          </w:p>
        </w:tc>
      </w:tr>
      <w:tr w:rsidR="00C452AC"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1FFCC855" w:rsidR="00C452AC" w:rsidRDefault="00C452AC" w:rsidP="00C452AC">
            <w:pPr>
              <w:pStyle w:val="TAC"/>
              <w:spacing w:before="20" w:after="20"/>
              <w:ind w:left="57" w:right="57"/>
              <w:jc w:val="left"/>
              <w:rPr>
                <w:lang w:val="en-US"/>
              </w:rPr>
            </w:pPr>
            <w:r>
              <w:rPr>
                <w:lang w:val="en-US"/>
              </w:rPr>
              <w:t>Sharp</w:t>
            </w:r>
          </w:p>
        </w:tc>
        <w:tc>
          <w:tcPr>
            <w:tcW w:w="2478" w:type="dxa"/>
            <w:tcBorders>
              <w:top w:val="single" w:sz="4" w:space="0" w:color="auto"/>
              <w:left w:val="single" w:sz="4" w:space="0" w:color="auto"/>
              <w:bottom w:val="single" w:sz="4" w:space="0" w:color="auto"/>
              <w:right w:val="single" w:sz="4" w:space="0" w:color="auto"/>
            </w:tcBorders>
          </w:tcPr>
          <w:p w14:paraId="31BB6507" w14:textId="4435FA6E" w:rsidR="00C452AC" w:rsidRDefault="00C452AC" w:rsidP="00C452A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D1F8911" w14:textId="014F4065" w:rsidR="00C452AC" w:rsidRDefault="00C452AC" w:rsidP="00C452AC">
            <w:pPr>
              <w:pStyle w:val="TAC"/>
              <w:spacing w:before="20" w:after="20"/>
              <w:ind w:left="57" w:right="57"/>
              <w:jc w:val="left"/>
              <w:rPr>
                <w:lang w:val="en-US"/>
              </w:rPr>
            </w:pPr>
            <w:r>
              <w:rPr>
                <w:lang w:val="en-US"/>
              </w:rPr>
              <w:t>As many of the other cell restriction/reservation parameters are captured in both 304 and 331, we think it is natural to follow the current style. It looks odd if only “iab-support” is treated differently.</w:t>
            </w:r>
          </w:p>
        </w:tc>
      </w:tr>
      <w:tr w:rsidR="00C452AC"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415A004B" w:rsidR="00C452AC" w:rsidRDefault="00C452AC" w:rsidP="00C452A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E8C9A8" w14:textId="7DDAA600" w:rsidR="00C452AC" w:rsidRDefault="00C452AC" w:rsidP="00C452AC">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1EAE544" w14:textId="43625811" w:rsidR="00C452AC" w:rsidRDefault="00C452AC" w:rsidP="00C452AC">
            <w:pPr>
              <w:pStyle w:val="TAC"/>
              <w:spacing w:before="20" w:after="20"/>
              <w:ind w:left="57" w:right="57"/>
              <w:jc w:val="left"/>
              <w:rPr>
                <w:lang w:val="en-US"/>
              </w:rPr>
            </w:pPr>
            <w:r>
              <w:rPr>
                <w:lang w:val="en-US"/>
              </w:rPr>
              <w:t>We wonder if the green text highlighted by LG from 38.331 has some ambiguity that appears to be resulting in different interpretations of the text.</w:t>
            </w:r>
          </w:p>
          <w:p w14:paraId="1CA7BAD3" w14:textId="77777777" w:rsidR="00C452AC" w:rsidRDefault="00C452AC" w:rsidP="00C452AC">
            <w:pPr>
              <w:pStyle w:val="TAC"/>
              <w:spacing w:before="20" w:after="20"/>
              <w:ind w:left="57" w:right="57"/>
              <w:jc w:val="left"/>
              <w:rPr>
                <w:lang w:val="en-US"/>
              </w:rPr>
            </w:pPr>
          </w:p>
          <w:p w14:paraId="192193CF" w14:textId="2B6A00A6" w:rsidR="00C452AC" w:rsidRDefault="00C452AC" w:rsidP="00C452AC">
            <w:pPr>
              <w:pStyle w:val="TAC"/>
              <w:spacing w:before="20" w:after="20"/>
              <w:ind w:left="57" w:right="57"/>
              <w:jc w:val="left"/>
              <w:rPr>
                <w:lang w:val="en-US"/>
              </w:rPr>
            </w:pPr>
            <w:r>
              <w:rPr>
                <w:lang w:val="en-US"/>
              </w:rPr>
              <w:t xml:space="preserve">The text should be interpreted in reference to the following from 38.304 5.3.1: </w:t>
            </w:r>
          </w:p>
          <w:p w14:paraId="383035EE" w14:textId="77777777" w:rsidR="00C452AC" w:rsidRPr="00CE0371" w:rsidRDefault="00C452AC" w:rsidP="00C452AC">
            <w:r>
              <w:rPr>
                <w:lang w:val="en-US"/>
              </w:rPr>
              <w:t>“</w:t>
            </w:r>
            <w:r w:rsidRPr="00F155BF">
              <w:t>When cell status "barred" is indicated or to be treated as if the cell status is "barred",</w:t>
            </w:r>
            <w:r>
              <w:t>…”</w:t>
            </w:r>
          </w:p>
          <w:p w14:paraId="2C91BB1C" w14:textId="36E9FEF8" w:rsidR="00C452AC" w:rsidRDefault="00C452AC" w:rsidP="00C452AC">
            <w:pPr>
              <w:pStyle w:val="TAC"/>
              <w:spacing w:before="20" w:after="20"/>
              <w:ind w:left="57" w:right="57"/>
              <w:jc w:val="left"/>
              <w:rPr>
                <w:lang w:val="en-US"/>
              </w:rPr>
            </w:pPr>
            <w:r>
              <w:rPr>
                <w:lang w:val="en-US"/>
              </w:rPr>
              <w:t>However, as currently structured, prior to this text, 38.304 already notes IAB-specific behaviour in addition to UE behaviour when some other feature-specific barring indications are present/not present. We are wondering if this is leading some individuals to instead interpret that those behaviours are what are being referenced to by the statement in green.</w:t>
            </w:r>
          </w:p>
          <w:p w14:paraId="6DC3FE3B" w14:textId="77777777" w:rsidR="00C452AC" w:rsidRDefault="00C452AC" w:rsidP="00C452AC">
            <w:pPr>
              <w:pStyle w:val="TAC"/>
              <w:spacing w:before="20" w:after="20"/>
              <w:ind w:left="57" w:right="57"/>
              <w:jc w:val="left"/>
              <w:rPr>
                <w:lang w:val="en-US"/>
              </w:rPr>
            </w:pPr>
          </w:p>
          <w:p w14:paraId="468D0E45" w14:textId="69DBFD60" w:rsidR="00C452AC" w:rsidRDefault="00C452AC" w:rsidP="00C452AC">
            <w:pPr>
              <w:pStyle w:val="TAC"/>
              <w:spacing w:before="20" w:after="20"/>
              <w:ind w:left="57" w:right="57"/>
              <w:jc w:val="left"/>
              <w:rPr>
                <w:lang w:val="en-US"/>
              </w:rPr>
            </w:pPr>
            <w:r>
              <w:rPr>
                <w:lang w:val="en-US"/>
              </w:rPr>
              <w:t>The text proposal from Intel would have the same issue, whereas the CR seems to at least resolve this ambiguity (even if it is somehow a little excessive by restating things across specs).</w:t>
            </w:r>
          </w:p>
        </w:tc>
      </w:tr>
      <w:tr w:rsidR="00C452AC"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66E11E70" w:rsidR="00C452AC" w:rsidRDefault="002D399F" w:rsidP="00C452A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0E8BB573" w14:textId="2FFAE170" w:rsidR="00C452AC" w:rsidRDefault="009E6CF1" w:rsidP="00C452AC">
            <w:pPr>
              <w:pStyle w:val="TAC"/>
              <w:spacing w:before="20" w:after="20"/>
              <w:ind w:left="57" w:right="57"/>
              <w:jc w:val="left"/>
              <w:rPr>
                <w:lang w:val="en-US"/>
              </w:rPr>
            </w:pPr>
            <w:r>
              <w:rPr>
                <w:lang w:val="en-US"/>
              </w:rPr>
              <w:t>Perhaps no</w:t>
            </w:r>
          </w:p>
        </w:tc>
        <w:tc>
          <w:tcPr>
            <w:tcW w:w="7142" w:type="dxa"/>
            <w:tcBorders>
              <w:top w:val="single" w:sz="4" w:space="0" w:color="auto"/>
              <w:left w:val="single" w:sz="4" w:space="0" w:color="auto"/>
              <w:bottom w:val="single" w:sz="4" w:space="0" w:color="auto"/>
              <w:right w:val="single" w:sz="4" w:space="0" w:color="auto"/>
            </w:tcBorders>
          </w:tcPr>
          <w:p w14:paraId="20BCA491" w14:textId="06718885" w:rsidR="00C452AC" w:rsidRDefault="009E6CF1" w:rsidP="00C452AC">
            <w:pPr>
              <w:pStyle w:val="TAC"/>
              <w:spacing w:before="20" w:after="20"/>
              <w:ind w:left="57" w:right="57"/>
              <w:jc w:val="left"/>
              <w:rPr>
                <w:lang w:val="en-US"/>
              </w:rPr>
            </w:pPr>
            <w:r>
              <w:rPr>
                <w:lang w:val="en-US"/>
              </w:rPr>
              <w:t xml:space="preserve">We </w:t>
            </w:r>
            <w:r w:rsidR="00B167DA">
              <w:rPr>
                <w:lang w:val="en-US"/>
              </w:rPr>
              <w:t xml:space="preserve">think the CR is </w:t>
            </w:r>
            <w:r w:rsidR="0041590A">
              <w:rPr>
                <w:lang w:val="en-US"/>
              </w:rPr>
              <w:t>correct</w:t>
            </w:r>
            <w:r w:rsidR="00B167DA">
              <w:rPr>
                <w:lang w:val="en-US"/>
              </w:rPr>
              <w:t xml:space="preserve">, but </w:t>
            </w:r>
            <w:r>
              <w:rPr>
                <w:lang w:val="en-US"/>
              </w:rPr>
              <w:t xml:space="preserve">have sympathy with LGE on avoiding the duplicated description in different spec. Since it is Rel-17 CR, we think the bar for CR </w:t>
            </w:r>
            <w:r w:rsidR="00FC1AC0">
              <w:rPr>
                <w:lang w:val="en-US"/>
              </w:rPr>
              <w:t>is</w:t>
            </w:r>
            <w:r>
              <w:rPr>
                <w:lang w:val="en-US"/>
              </w:rPr>
              <w:t xml:space="preserve"> high</w:t>
            </w:r>
            <w:r w:rsidR="00B167DA">
              <w:rPr>
                <w:lang w:val="en-US"/>
              </w:rPr>
              <w:t>, and maybe the CR is not needed.</w:t>
            </w:r>
            <w:r>
              <w:rPr>
                <w:lang w:val="en-US"/>
              </w:rPr>
              <w:t xml:space="preserve"> </w:t>
            </w:r>
          </w:p>
        </w:tc>
      </w:tr>
      <w:tr w:rsidR="00C452AC"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5556961A" w:rsidR="00C452AC" w:rsidRDefault="00AB6A33" w:rsidP="00C452AC">
            <w:pPr>
              <w:pStyle w:val="TAC"/>
              <w:spacing w:before="20" w:after="20"/>
              <w:ind w:left="57" w:right="57"/>
              <w:jc w:val="left"/>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32A1953E" w14:textId="4C0550C9" w:rsidR="00C452AC" w:rsidRDefault="00AB6A33" w:rsidP="00C452A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56A744" w14:textId="77777777" w:rsidR="00C452AC" w:rsidRDefault="00AB6A33" w:rsidP="00C452AC">
            <w:pPr>
              <w:pStyle w:val="TAC"/>
              <w:spacing w:before="20" w:after="20"/>
              <w:ind w:left="57" w:right="57"/>
              <w:jc w:val="left"/>
              <w:rPr>
                <w:lang w:val="en-GB"/>
              </w:rPr>
            </w:pPr>
            <w:r>
              <w:rPr>
                <w:lang w:val="en-GB"/>
              </w:rPr>
              <w:t>Intel made a good point. The intention of the RRC statement is:</w:t>
            </w:r>
          </w:p>
          <w:p w14:paraId="4D89369E" w14:textId="77777777" w:rsidR="00AB6A33" w:rsidRDefault="00AB6A33" w:rsidP="00AB6A33">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7E236E2" w14:textId="77777777" w:rsidR="00AB6A33" w:rsidRDefault="00AB6A33" w:rsidP="00C452AC">
            <w:pPr>
              <w:pStyle w:val="TAC"/>
              <w:spacing w:before="20" w:after="20"/>
              <w:ind w:left="57" w:right="57"/>
              <w:jc w:val="left"/>
              <w:rPr>
                <w:lang w:val="en-US"/>
              </w:rPr>
            </w:pPr>
          </w:p>
          <w:p w14:paraId="6116B20C" w14:textId="1BFD43EB" w:rsidR="00AB6A33" w:rsidRDefault="00AB6A33" w:rsidP="00C452AC">
            <w:pPr>
              <w:pStyle w:val="TAC"/>
              <w:spacing w:before="20" w:after="20"/>
              <w:ind w:left="57" w:right="57"/>
              <w:jc w:val="left"/>
              <w:rPr>
                <w:lang w:val="en-US"/>
              </w:rPr>
            </w:pPr>
            <w:r>
              <w:rPr>
                <w:lang w:val="en-US"/>
              </w:rPr>
              <w:t>However, the RRC presently states:</w:t>
            </w:r>
          </w:p>
          <w:p w14:paraId="0E47FDF7" w14:textId="57DD7765" w:rsidR="00AB6A33" w:rsidRDefault="00AB6A33" w:rsidP="00AB6A33">
            <w:pPr>
              <w:pStyle w:val="TAC"/>
              <w:spacing w:before="20" w:after="20"/>
              <w:ind w:left="57" w:right="57"/>
              <w:jc w:val="left"/>
              <w:rPr>
                <w:lang w:val="en-US"/>
              </w:rPr>
            </w:pPr>
            <w:r>
              <w:rPr>
                <w:highlight w:val="yellow"/>
              </w:rPr>
              <w:t>consider the cell as barred for IAB-MT</w:t>
            </w:r>
            <w:r>
              <w:rPr>
                <w:highlight w:val="green"/>
              </w:rPr>
              <w:t xml:space="preserve"> </w:t>
            </w:r>
            <w:r>
              <w:rPr>
                <w:highlight w:val="green"/>
              </w:rPr>
              <w:t>in accordance with TS 38.304 [20];</w:t>
            </w:r>
          </w:p>
          <w:p w14:paraId="62A20BE1" w14:textId="77777777" w:rsidR="00AB6A33" w:rsidRDefault="00AB6A33" w:rsidP="00C452AC">
            <w:pPr>
              <w:pStyle w:val="TAC"/>
              <w:spacing w:before="20" w:after="20"/>
              <w:ind w:left="57" w:right="57"/>
              <w:jc w:val="left"/>
              <w:rPr>
                <w:lang w:val="en-US"/>
              </w:rPr>
            </w:pPr>
          </w:p>
          <w:p w14:paraId="7BE72B0F" w14:textId="092FAB8E" w:rsidR="00AB6A33" w:rsidRPr="00AB6A33" w:rsidRDefault="00AB6A33" w:rsidP="00C452AC">
            <w:pPr>
              <w:pStyle w:val="TAC"/>
              <w:spacing w:before="20" w:after="20"/>
              <w:ind w:left="57" w:right="57"/>
              <w:jc w:val="left"/>
              <w:rPr>
                <w:lang w:val="en-US"/>
              </w:rPr>
            </w:pPr>
            <w:r>
              <w:rPr>
                <w:lang w:val="en-US"/>
              </w:rPr>
              <w:t xml:space="preserve">We should not add anything to 38.304. We could consider a rewording in RRC. However, this clarification may not be necessary. The RRC spec’s intention becomes clear by the very fact that there is no corresponding statement on IAB-MT in TS 38.304.  </w:t>
            </w:r>
          </w:p>
        </w:tc>
      </w:tr>
      <w:tr w:rsidR="00C452AC"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C452AC" w:rsidRDefault="00C452AC" w:rsidP="00C452AC">
            <w:pPr>
              <w:pStyle w:val="TAC"/>
              <w:spacing w:before="20" w:after="20"/>
              <w:ind w:left="57" w:right="57"/>
              <w:jc w:val="left"/>
              <w:rPr>
                <w:lang w:val="en-US"/>
              </w:rPr>
            </w:pPr>
          </w:p>
        </w:tc>
      </w:tr>
      <w:tr w:rsidR="00C452AC"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C452AC" w:rsidRDefault="00C452AC" w:rsidP="00C452AC">
            <w:pPr>
              <w:pStyle w:val="TAC"/>
              <w:spacing w:before="20" w:after="20"/>
              <w:ind w:left="57" w:right="57"/>
              <w:jc w:val="left"/>
              <w:rPr>
                <w:lang w:val="en-US"/>
              </w:rPr>
            </w:pPr>
          </w:p>
        </w:tc>
      </w:tr>
      <w:tr w:rsidR="00C452AC"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C452AC" w:rsidRDefault="00C452AC" w:rsidP="00C452AC">
            <w:pPr>
              <w:pStyle w:val="TAC"/>
              <w:spacing w:before="20" w:after="20"/>
              <w:ind w:left="57" w:right="57"/>
              <w:jc w:val="left"/>
              <w:rPr>
                <w:lang w:val="en-US"/>
              </w:rPr>
            </w:pPr>
          </w:p>
        </w:tc>
      </w:tr>
      <w:tr w:rsidR="00C452AC"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C452AC" w:rsidRDefault="00C452AC" w:rsidP="00C452AC">
            <w:pPr>
              <w:pStyle w:val="TAC"/>
              <w:spacing w:before="20" w:after="20"/>
              <w:ind w:left="57" w:right="57"/>
              <w:jc w:val="left"/>
              <w:rPr>
                <w:lang w:val="en-US"/>
              </w:rPr>
            </w:pPr>
          </w:p>
        </w:tc>
      </w:tr>
      <w:tr w:rsidR="00C452AC"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C452AC" w:rsidRDefault="00C452AC" w:rsidP="00C452AC">
            <w:pPr>
              <w:pStyle w:val="TAC"/>
              <w:spacing w:before="20" w:after="20"/>
              <w:ind w:left="57" w:right="57"/>
              <w:jc w:val="left"/>
              <w:rPr>
                <w:lang w:val="en-US"/>
              </w:rPr>
            </w:pPr>
          </w:p>
        </w:tc>
      </w:tr>
    </w:tbl>
    <w:p w14:paraId="21FA82F0" w14:textId="77777777" w:rsidR="00E23D8E" w:rsidRDefault="00E23D8E">
      <w:pPr>
        <w:pStyle w:val="Heading2"/>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952C" w14:textId="77777777" w:rsidR="000F0F60" w:rsidRDefault="000F0F60">
      <w:pPr>
        <w:spacing w:after="0"/>
      </w:pPr>
      <w:r>
        <w:separator/>
      </w:r>
    </w:p>
  </w:endnote>
  <w:endnote w:type="continuationSeparator" w:id="0">
    <w:p w14:paraId="0A72340D" w14:textId="77777777" w:rsidR="000F0F60" w:rsidRDefault="000F0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44FB">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44FB">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71CE" w14:textId="77777777" w:rsidR="000F0F60" w:rsidRDefault="000F0F60">
      <w:pPr>
        <w:spacing w:after="0"/>
      </w:pPr>
      <w:r>
        <w:separator/>
      </w:r>
    </w:p>
  </w:footnote>
  <w:footnote w:type="continuationSeparator" w:id="0">
    <w:p w14:paraId="287F3DC3" w14:textId="77777777" w:rsidR="000F0F60" w:rsidRDefault="000F0F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981354094">
    <w:abstractNumId w:val="11"/>
  </w:num>
  <w:num w:numId="2" w16cid:durableId="957251276">
    <w:abstractNumId w:val="4"/>
  </w:num>
  <w:num w:numId="3" w16cid:durableId="788745771">
    <w:abstractNumId w:val="1"/>
  </w:num>
  <w:num w:numId="4" w16cid:durableId="416247089">
    <w:abstractNumId w:val="3"/>
  </w:num>
  <w:num w:numId="5" w16cid:durableId="1271624785">
    <w:abstractNumId w:val="2"/>
  </w:num>
  <w:num w:numId="6" w16cid:durableId="696544587">
    <w:abstractNumId w:val="10"/>
  </w:num>
  <w:num w:numId="7" w16cid:durableId="619846622">
    <w:abstractNumId w:val="0"/>
  </w:num>
  <w:num w:numId="8" w16cid:durableId="1193303982">
    <w:abstractNumId w:val="12"/>
  </w:num>
  <w:num w:numId="9" w16cid:durableId="668022560">
    <w:abstractNumId w:val="7"/>
  </w:num>
  <w:num w:numId="10" w16cid:durableId="695038457">
    <w:abstractNumId w:val="5"/>
  </w:num>
  <w:num w:numId="11" w16cid:durableId="1542475053">
    <w:abstractNumId w:val="8"/>
  </w:num>
  <w:num w:numId="12" w16cid:durableId="1928879449">
    <w:abstractNumId w:val="9"/>
  </w:num>
  <w:num w:numId="13" w16cid:durableId="230895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2AA5"/>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0F60"/>
    <w:rsid w:val="000F1106"/>
    <w:rsid w:val="000F3BE9"/>
    <w:rsid w:val="000F3F23"/>
    <w:rsid w:val="000F3F6C"/>
    <w:rsid w:val="000F577B"/>
    <w:rsid w:val="000F6DF3"/>
    <w:rsid w:val="000F7114"/>
    <w:rsid w:val="00100203"/>
    <w:rsid w:val="001005FF"/>
    <w:rsid w:val="00102DCC"/>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5C8F"/>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4FB"/>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99F"/>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1E40"/>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1590A"/>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6F769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78A"/>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E6CF1"/>
    <w:rsid w:val="009E79ED"/>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B6A33"/>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167DA"/>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52AC"/>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0321"/>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32FC"/>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1AC0"/>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FF690D-EBE9-419D-AB76-8D6ADBD3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Georg Hampel</cp:lastModifiedBy>
  <cp:revision>4</cp:revision>
  <cp:lastPrinted>2008-01-31T07:09:00Z</cp:lastPrinted>
  <dcterms:created xsi:type="dcterms:W3CDTF">2023-03-01T08:25:00Z</dcterms:created>
  <dcterms:modified xsi:type="dcterms:W3CDTF">2023-03-01T08:32:00Z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