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 xml:space="preserve">here may be potential procedures, </w:t>
            </w:r>
            <w:proofErr w:type="gramStart"/>
            <w:r w:rsidRPr="006D5068">
              <w:rPr>
                <w:b/>
              </w:rPr>
              <w:t>issues</w:t>
            </w:r>
            <w:proofErr w:type="gramEnd"/>
            <w:r w:rsidRPr="006D5068">
              <w:rPr>
                <w:b/>
              </w:rPr>
              <w:t xml:space="preserve">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It is not reasonable that the gN</w:t>
            </w:r>
            <w:r w:rsidRPr="00590229">
              <w:rPr>
                <w:rFonts w:hint="eastAsia"/>
                <w:b/>
              </w:rPr>
              <w:t>B</w:t>
            </w:r>
            <w:r w:rsidRPr="00590229">
              <w:rPr>
                <w:b/>
              </w:rPr>
              <w:t xml:space="preserve"> decides to move the RRC connected UE into RRC inactive when the gNB </w:t>
            </w:r>
            <w:r>
              <w:rPr>
                <w:b/>
              </w:rPr>
              <w:t xml:space="preserve">still </w:t>
            </w:r>
            <w:r w:rsidRPr="00590229">
              <w:rPr>
                <w:b/>
              </w:rPr>
              <w:t>needs to send downlink data to the UE</w:t>
            </w:r>
            <w:r>
              <w:rPr>
                <w:b/>
              </w:rPr>
              <w:t xml:space="preserve"> and a smart gNB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gNB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If the gNB decides to move the UE to RRC CONNECTED in the step 10</w:t>
            </w:r>
            <w:r>
              <w:rPr>
                <w:b/>
              </w:rPr>
              <w:t>a</w:t>
            </w:r>
            <w:r w:rsidRPr="004571CA">
              <w:rPr>
                <w:b/>
              </w:rPr>
              <w:t>, the gNB should generate the SRS configuration for RRC connected and send it to the LMF by NRPPa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3:No, state transition during a positioning session is </w:t>
      </w:r>
      <w:proofErr w:type="gramStart"/>
      <w:r>
        <w:rPr>
          <w:b/>
          <w:bCs/>
          <w:i/>
          <w:iCs/>
          <w:szCs w:val="18"/>
        </w:rPr>
        <w:t>forbidden;</w:t>
      </w:r>
      <w:proofErr w:type="gramEnd"/>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 xml:space="preserve">However the judgement of RRC state is in magnitude of second. </w:t>
            </w:r>
            <w:r>
              <w:rPr>
                <w:lang w:eastAsia="zh-CN"/>
              </w:rPr>
              <w:t>”, to our understanding</w:t>
            </w:r>
            <w:r w:rsidR="009100DE">
              <w:rPr>
                <w:lang w:eastAsia="zh-CN"/>
              </w:rPr>
              <w:t xml:space="preserve">, it is pure network implementation, and we should avoid </w:t>
            </w:r>
            <w:proofErr w:type="gramStart"/>
            <w:r w:rsidR="009100DE">
              <w:rPr>
                <w:lang w:eastAsia="zh-CN"/>
              </w:rPr>
              <w:t xml:space="preserve">to </w:t>
            </w:r>
            <w:r w:rsidR="005771D3">
              <w:rPr>
                <w:lang w:eastAsia="zh-CN"/>
              </w:rPr>
              <w:t>judge</w:t>
            </w:r>
            <w:proofErr w:type="gramEnd"/>
            <w:r w:rsidR="005771D3">
              <w:rPr>
                <w:lang w:eastAsia="zh-CN"/>
              </w:rPr>
              <w:t xml:space="preserve"> the</w:t>
            </w:r>
            <w:r w:rsidR="009100DE" w:rsidRPr="009100DE">
              <w:rPr>
                <w:lang w:eastAsia="zh-CN"/>
              </w:rPr>
              <w:t xml:space="preserve"> internal box processing of a gNB</w:t>
            </w:r>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We understand that the change of UE state is up to gNB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gNB should generate the SRS configuration for RRC connected and send it to the LMF by NRPPa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which includes the amount and interval of event reports. If the interval is quite long, e.g., 64 seconds, then the gNB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gNB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to gNB implementation</w:t>
            </w:r>
            <w:r>
              <w:rPr>
                <w:sz w:val="20"/>
                <w:szCs w:val="20"/>
                <w:lang w:val="en-GB" w:eastAsia="zh-CN"/>
              </w:rPr>
              <w:t xml:space="preserve"> b</w:t>
            </w:r>
            <w:r w:rsidRPr="00CD2E8C">
              <w:rPr>
                <w:sz w:val="20"/>
                <w:szCs w:val="20"/>
                <w:lang w:val="en-GB" w:eastAsia="zh-CN"/>
              </w:rPr>
              <w:t xml:space="preserve">ut, a gNB also must </w:t>
            </w:r>
            <w:proofErr w:type="gramStart"/>
            <w:r w:rsidRPr="00CD2E8C">
              <w:rPr>
                <w:sz w:val="20"/>
                <w:szCs w:val="20"/>
                <w:lang w:val="en-GB" w:eastAsia="zh-CN"/>
              </w:rPr>
              <w:t>take into account</w:t>
            </w:r>
            <w:proofErr w:type="gramEnd"/>
            <w:r w:rsidRPr="00CD2E8C">
              <w:rPr>
                <w:sz w:val="20"/>
                <w:szCs w:val="20"/>
                <w:lang w:val="en-GB" w:eastAsia="zh-CN"/>
              </w:rPr>
              <w:t xml:space="preserve">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r w:rsidR="00807B74" w14:paraId="780678F5" w14:textId="77777777" w:rsidTr="004B0B89">
        <w:tc>
          <w:tcPr>
            <w:tcW w:w="1938" w:type="dxa"/>
          </w:tcPr>
          <w:p w14:paraId="33167B5A" w14:textId="3B73CA54" w:rsidR="00807B74" w:rsidRDefault="00807B74" w:rsidP="009A3CFA">
            <w:pPr>
              <w:spacing w:after="0"/>
              <w:rPr>
                <w:sz w:val="20"/>
                <w:szCs w:val="20"/>
                <w:lang w:eastAsia="zh-CN"/>
              </w:rPr>
            </w:pPr>
            <w:r>
              <w:rPr>
                <w:rFonts w:hint="eastAsia"/>
                <w:sz w:val="20"/>
                <w:szCs w:val="20"/>
                <w:lang w:eastAsia="zh-CN"/>
              </w:rPr>
              <w:t>Huawei</w:t>
            </w:r>
            <w:r>
              <w:rPr>
                <w:sz w:val="20"/>
                <w:szCs w:val="20"/>
                <w:lang w:eastAsia="zh-CN"/>
              </w:rPr>
              <w:t>, HiSilicon</w:t>
            </w:r>
          </w:p>
        </w:tc>
        <w:tc>
          <w:tcPr>
            <w:tcW w:w="1809" w:type="dxa"/>
          </w:tcPr>
          <w:p w14:paraId="00870D68" w14:textId="2E20C91D" w:rsidR="00807B74" w:rsidRDefault="00807B74" w:rsidP="009A3CFA">
            <w:pPr>
              <w:spacing w:after="0"/>
              <w:rPr>
                <w:sz w:val="20"/>
                <w:szCs w:val="20"/>
                <w:lang w:val="en-GB" w:eastAsia="zh-CN"/>
              </w:rPr>
            </w:pPr>
            <w:r>
              <w:rPr>
                <w:rFonts w:hint="eastAsia"/>
                <w:sz w:val="20"/>
                <w:szCs w:val="20"/>
                <w:lang w:val="en-GB" w:eastAsia="zh-CN"/>
              </w:rPr>
              <w:t>O</w:t>
            </w:r>
            <w:r>
              <w:rPr>
                <w:sz w:val="20"/>
                <w:szCs w:val="20"/>
                <w:lang w:val="en-GB" w:eastAsia="zh-CN"/>
              </w:rPr>
              <w:t>ption</w:t>
            </w:r>
            <w:r w:rsidR="007A4048">
              <w:rPr>
                <w:sz w:val="20"/>
                <w:szCs w:val="20"/>
                <w:lang w:val="en-GB" w:eastAsia="zh-CN"/>
              </w:rPr>
              <w:t xml:space="preserve"> </w:t>
            </w:r>
            <w:r w:rsidR="00B33761">
              <w:rPr>
                <w:sz w:val="20"/>
                <w:szCs w:val="20"/>
                <w:lang w:val="en-GB" w:eastAsia="zh-CN"/>
              </w:rPr>
              <w:t>1</w:t>
            </w:r>
          </w:p>
        </w:tc>
        <w:tc>
          <w:tcPr>
            <w:tcW w:w="5490" w:type="dxa"/>
          </w:tcPr>
          <w:p w14:paraId="5819FCDC" w14:textId="77777777" w:rsidR="00807B74" w:rsidRDefault="00807B74" w:rsidP="009A3CFA">
            <w:pPr>
              <w:spacing w:after="0"/>
              <w:rPr>
                <w:sz w:val="20"/>
                <w:szCs w:val="20"/>
                <w:lang w:val="en-GB" w:eastAsia="zh-CN"/>
              </w:rPr>
            </w:pPr>
          </w:p>
        </w:tc>
      </w:tr>
      <w:tr w:rsidR="00BA7E83" w14:paraId="17E7BE10" w14:textId="77777777" w:rsidTr="004B0B89">
        <w:tc>
          <w:tcPr>
            <w:tcW w:w="1938" w:type="dxa"/>
          </w:tcPr>
          <w:p w14:paraId="234E4BC4" w14:textId="7F93F47A" w:rsidR="00BA7E83" w:rsidRDefault="00BA7E83" w:rsidP="009A3CFA">
            <w:pPr>
              <w:spacing w:after="0"/>
              <w:rPr>
                <w:rFonts w:hint="eastAsia"/>
                <w:sz w:val="20"/>
                <w:szCs w:val="20"/>
                <w:lang w:eastAsia="zh-CN"/>
              </w:rPr>
            </w:pPr>
            <w:r>
              <w:rPr>
                <w:sz w:val="20"/>
                <w:szCs w:val="20"/>
                <w:lang w:eastAsia="zh-CN"/>
              </w:rPr>
              <w:lastRenderedPageBreak/>
              <w:t>Ericsson</w:t>
            </w:r>
          </w:p>
        </w:tc>
        <w:tc>
          <w:tcPr>
            <w:tcW w:w="1809" w:type="dxa"/>
          </w:tcPr>
          <w:p w14:paraId="0DBD5B93" w14:textId="131D1305" w:rsidR="00BA7E83" w:rsidRDefault="00BA7E83" w:rsidP="009A3CFA">
            <w:pPr>
              <w:spacing w:after="0"/>
              <w:rPr>
                <w:rFonts w:hint="eastAsia"/>
                <w:sz w:val="20"/>
                <w:szCs w:val="20"/>
                <w:lang w:val="en-GB" w:eastAsia="zh-CN"/>
              </w:rPr>
            </w:pPr>
            <w:r>
              <w:rPr>
                <w:sz w:val="20"/>
                <w:szCs w:val="20"/>
                <w:lang w:val="en-GB" w:eastAsia="zh-CN"/>
              </w:rPr>
              <w:t>Option 1</w:t>
            </w:r>
          </w:p>
        </w:tc>
        <w:tc>
          <w:tcPr>
            <w:tcW w:w="5490" w:type="dxa"/>
          </w:tcPr>
          <w:p w14:paraId="3E8600A1" w14:textId="77777777" w:rsidR="00BA7E83" w:rsidRDefault="00BA7E83" w:rsidP="009A3CFA">
            <w:pPr>
              <w:spacing w:after="0"/>
              <w:rPr>
                <w:sz w:val="20"/>
                <w:szCs w:val="20"/>
                <w:lang w:val="en-GB" w:eastAsia="zh-CN"/>
              </w:rPr>
            </w:pPr>
            <w:r>
              <w:rPr>
                <w:sz w:val="20"/>
                <w:szCs w:val="20"/>
                <w:lang w:val="en-GB" w:eastAsia="zh-CN"/>
              </w:rPr>
              <w:t>From Inactive to connected can happen for various reasons.</w:t>
            </w:r>
          </w:p>
          <w:p w14:paraId="346EC0D0" w14:textId="39D2DDBE" w:rsidR="00BA7E83" w:rsidRDefault="00BA7E83" w:rsidP="009A3CFA">
            <w:pPr>
              <w:spacing w:after="0"/>
              <w:rPr>
                <w:sz w:val="20"/>
                <w:szCs w:val="20"/>
                <w:lang w:val="en-GB" w:eastAsia="zh-CN"/>
              </w:rPr>
            </w:pPr>
            <w:r>
              <w:rPr>
                <w:sz w:val="20"/>
                <w:szCs w:val="20"/>
                <w:lang w:val="en-GB" w:eastAsia="zh-CN"/>
              </w:rPr>
              <w:t>But for connected to inactive could be controlled by NW to some extent.</w:t>
            </w: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proofErr w:type="gramStart"/>
      <w:r w:rsidR="00A101E7">
        <w:rPr>
          <w:lang w:val="en-GB" w:eastAsia="en-GB"/>
        </w:rPr>
        <w:t>allowed,  where</w:t>
      </w:r>
      <w:proofErr w:type="gramEnd"/>
      <w:r w:rsidR="00A101E7">
        <w:rPr>
          <w:lang w:val="en-GB" w:eastAsia="en-GB"/>
        </w:rPr>
        <w:t xml:space="preserv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DengXian" w:hAnsi="Arial" w:cs="Arial"/>
                <w:lang w:eastAsia="zh-CN"/>
              </w:rPr>
            </w:pPr>
            <w:r w:rsidRPr="00115DC0">
              <w:rPr>
                <w:rFonts w:ascii="Arial" w:eastAsia="DengXian" w:hAnsi="Arial" w:cs="Arial"/>
                <w:lang w:eastAsia="zh-CN"/>
              </w:rPr>
              <w:t>We don’t need to capture anything from RAN2 perspective, we just state the discussion situation in Rely LS.</w:t>
            </w:r>
            <w:r w:rsidR="00CB7BC3" w:rsidRPr="00CB7BC3">
              <w:rPr>
                <w:rFonts w:ascii="Arial" w:eastAsia="DengXian"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SimSun" w:hAnsi="SimSun" w:cs="SimSun"/>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w:t>
            </w:r>
            <w:proofErr w:type="spellStart"/>
            <w:r w:rsidRPr="00702836">
              <w:rPr>
                <w:rFonts w:ascii="Arial" w:eastAsia="DengXian" w:hAnsi="Arial" w:cs="Arial"/>
                <w:lang w:eastAsia="zh-CN"/>
              </w:rPr>
              <w:t>signalling</w:t>
            </w:r>
            <w:proofErr w:type="spellEnd"/>
            <w:r w:rsidRPr="00702836">
              <w:rPr>
                <w:rFonts w:ascii="Arial" w:eastAsia="DengXian"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lastRenderedPageBreak/>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r w:rsidR="00E23118">
              <w:rPr>
                <w:rFonts w:ascii="Arial" w:eastAsiaTheme="minorEastAsia" w:hAnsi="Arial" w:cs="Arial"/>
                <w:iCs/>
                <w:lang w:eastAsia="zh-CN"/>
              </w:rPr>
              <w:t xml:space="preserve">gNB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A101E7" w14:paraId="57F8051F" w14:textId="77777777" w:rsidTr="00E03E42">
        <w:tc>
          <w:tcPr>
            <w:tcW w:w="1938" w:type="dxa"/>
          </w:tcPr>
          <w:p w14:paraId="50F52E6A" w14:textId="6ADCA7DD"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3"/>
            <w:bookmarkEnd w:id="4"/>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lastRenderedPageBreak/>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DengXian"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DengXian"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DengXian" w:hAnsi="Arial" w:cs="Arial"/>
                <w:lang w:eastAsia="zh-CN"/>
              </w:rPr>
              <w:t xml:space="preserve"> and </w:t>
            </w:r>
            <w:r w:rsidRPr="00092831">
              <w:rPr>
                <w:rFonts w:ascii="Arial" w:eastAsia="DengXian" w:hAnsi="Arial" w:cs="Arial"/>
                <w:lang w:eastAsia="zh-CN"/>
              </w:rPr>
              <w:t>the</w:t>
            </w:r>
            <w:r>
              <w:rPr>
                <w:rFonts w:ascii="Arial" w:eastAsia="DengXian" w:hAnsi="Arial" w:cs="Arial"/>
                <w:lang w:eastAsia="zh-CN"/>
              </w:rPr>
              <w:t xml:space="preserve">re may be potential spec impact for supporting UE RRC state </w:t>
            </w:r>
            <w:r w:rsidR="00553A07">
              <w:rPr>
                <w:rFonts w:ascii="Arial" w:eastAsia="DengXian" w:hAnsi="Arial" w:cs="Arial"/>
                <w:lang w:eastAsia="zh-CN"/>
              </w:rPr>
              <w:t>transition</w:t>
            </w:r>
            <w:r>
              <w:rPr>
                <w:rFonts w:ascii="Arial" w:eastAsia="DengXian" w:hAnsi="Arial" w:cs="Arial"/>
                <w:lang w:eastAsia="zh-CN"/>
              </w:rPr>
              <w:t xml:space="preserve"> during positioning session.</w:t>
            </w:r>
            <w:r w:rsidR="00115DC0">
              <w:rPr>
                <w:rFonts w:ascii="Arial" w:eastAsia="DengXian" w:hAnsi="Arial" w:cs="Arial"/>
                <w:lang w:eastAsia="zh-CN"/>
              </w:rPr>
              <w:t xml:space="preserve"> Moreover, RAN2 think </w:t>
            </w:r>
            <w:r w:rsidR="00844E87">
              <w:rPr>
                <w:rFonts w:ascii="Arial" w:eastAsia="DengXian" w:hAnsi="Arial" w:cs="Arial"/>
                <w:lang w:eastAsia="zh-CN"/>
              </w:rPr>
              <w:t>the example</w:t>
            </w:r>
            <w:r w:rsidR="00CB7BC3">
              <w:rPr>
                <w:rFonts w:ascii="Arial" w:eastAsia="DengXian"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it is up to gNB implementation how and when it decides to move the UE to RRC_INACTIVE. RAN2 have not discussed during Rel-17 positioning work about these RRC state transitions while there is an ongoing positioning session. RAN2 does not plan to address in Rel-17 these scenarios described in the RAN3 LS as the specification is now frozen.</w:t>
            </w:r>
          </w:p>
        </w:tc>
      </w:tr>
      <w:tr w:rsidR="005D54CC" w14:paraId="17032308" w14:textId="77777777" w:rsidTr="00E03E42">
        <w:tc>
          <w:tcPr>
            <w:tcW w:w="1938" w:type="dxa"/>
          </w:tcPr>
          <w:p w14:paraId="47C9E358" w14:textId="065736F6" w:rsidR="005D54CC" w:rsidRDefault="005D54CC" w:rsidP="005D54CC">
            <w:pPr>
              <w:spacing w:after="0"/>
              <w:rPr>
                <w:sz w:val="20"/>
                <w:szCs w:val="20"/>
                <w:lang w:eastAsia="zh-CN"/>
              </w:rPr>
            </w:pPr>
          </w:p>
        </w:tc>
        <w:tc>
          <w:tcPr>
            <w:tcW w:w="5490" w:type="dxa"/>
          </w:tcPr>
          <w:p w14:paraId="272379C4" w14:textId="77777777" w:rsidR="005D54CC" w:rsidRDefault="005D54CC" w:rsidP="005D54CC">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65CA" w14:textId="77777777" w:rsidR="002666DD" w:rsidRDefault="002666DD" w:rsidP="008A375A">
      <w:pPr>
        <w:spacing w:after="0" w:line="240" w:lineRule="auto"/>
      </w:pPr>
      <w:r>
        <w:separator/>
      </w:r>
    </w:p>
  </w:endnote>
  <w:endnote w:type="continuationSeparator" w:id="0">
    <w:p w14:paraId="79E3FC02" w14:textId="77777777" w:rsidR="002666DD" w:rsidRDefault="002666DD" w:rsidP="008A375A">
      <w:pPr>
        <w:spacing w:after="0" w:line="240" w:lineRule="auto"/>
      </w:pPr>
      <w:r>
        <w:continuationSeparator/>
      </w:r>
    </w:p>
  </w:endnote>
  <w:endnote w:type="continuationNotice" w:id="1">
    <w:p w14:paraId="7046009F" w14:textId="77777777" w:rsidR="002666DD" w:rsidRDefault="00266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7393" w14:textId="77777777" w:rsidR="002666DD" w:rsidRDefault="002666DD" w:rsidP="008A375A">
      <w:pPr>
        <w:spacing w:after="0" w:line="240" w:lineRule="auto"/>
      </w:pPr>
      <w:r>
        <w:separator/>
      </w:r>
    </w:p>
  </w:footnote>
  <w:footnote w:type="continuationSeparator" w:id="0">
    <w:p w14:paraId="4EE1E2F5" w14:textId="77777777" w:rsidR="002666DD" w:rsidRDefault="002666DD" w:rsidP="008A375A">
      <w:pPr>
        <w:spacing w:after="0" w:line="240" w:lineRule="auto"/>
      </w:pPr>
      <w:r>
        <w:continuationSeparator/>
      </w:r>
    </w:p>
  </w:footnote>
  <w:footnote w:type="continuationNotice" w:id="1">
    <w:p w14:paraId="2AF38FED" w14:textId="77777777" w:rsidR="002666DD" w:rsidRDefault="00266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6DD"/>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048"/>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07B74"/>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761"/>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A7E83"/>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411"/>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unhideWhenUsed/>
    <w:rsid w:val="00B60EEE"/>
    <w:rPr>
      <w:color w:val="605E5C"/>
      <w:shd w:val="clear" w:color="auto" w:fill="E1DFDD"/>
    </w:rPr>
  </w:style>
  <w:style w:type="character" w:customStyle="1" w:styleId="12">
    <w:name w:val="@他1"/>
    <w:basedOn w:val="DefaultParagraphFont"/>
    <w:uiPriority w:val="99"/>
    <w:unhideWhenUsed/>
    <w:rsid w:val="00B60EEE"/>
    <w:rPr>
      <w:color w:val="2B579A"/>
      <w:shd w:val="clear" w:color="auto" w:fill="E1DFDD"/>
    </w:rPr>
  </w:style>
  <w:style w:type="character" w:customStyle="1" w:styleId="text-only">
    <w:name w:val="text-only"/>
    <w:basedOn w:val="DefaultParagraphFont"/>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0F3A2-791B-41BC-8CFE-758447FD47C1}">
  <ds:schemaRefs>
    <ds:schemaRef ds:uri="http://schemas.openxmlformats.org/officeDocument/2006/bibliography"/>
  </ds:schemaRefs>
</ds:datastoreItem>
</file>

<file path=customXml/itemProps3.xml><?xml version="1.0" encoding="utf-8"?>
<ds:datastoreItem xmlns:ds="http://schemas.openxmlformats.org/officeDocument/2006/customXml" ds:itemID="{02D1633F-2CE0-4481-A04F-11190CE96C09}">
  <ds:schemaRefs>
    <ds:schemaRef ds:uri="Microsoft.SharePoint.Taxonomy.ContentTypeSync"/>
  </ds:schemaRefs>
</ds:datastoreItem>
</file>

<file path=customXml/itemProps4.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7.xml><?xml version="1.0" encoding="utf-8"?>
<ds:datastoreItem xmlns:ds="http://schemas.openxmlformats.org/officeDocument/2006/customXml" ds:itemID="{5D88116A-D815-4570-A4C6-B9D477D58D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2538</Words>
  <Characters>14471</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16976</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Ericsson2</cp:lastModifiedBy>
  <cp:revision>2</cp:revision>
  <dcterms:created xsi:type="dcterms:W3CDTF">2022-10-13T13:36:00Z</dcterms:created>
  <dcterms:modified xsi:type="dcterms:W3CDTF">2022-10-13T13:36:00Z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