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9B72C" w14:textId="38297C02" w:rsidR="008B500E" w:rsidRPr="00331DF4" w:rsidRDefault="008B500E" w:rsidP="008B500E">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Pr="007862A2">
        <w:rPr>
          <w:b/>
          <w:noProof/>
          <w:sz w:val="24"/>
          <w:szCs w:val="24"/>
          <w:lang w:val="de-DE"/>
        </w:rPr>
        <w:t>#119bis electronic</w:t>
      </w:r>
      <w:r w:rsidRPr="00331DF4">
        <w:rPr>
          <w:b/>
          <w:noProof/>
          <w:sz w:val="24"/>
          <w:szCs w:val="24"/>
          <w:lang w:val="de-DE"/>
        </w:rPr>
        <w:tab/>
      </w:r>
      <w:r w:rsidR="00C47C0B" w:rsidRPr="00C47C0B">
        <w:rPr>
          <w:b/>
          <w:noProof/>
          <w:sz w:val="24"/>
          <w:szCs w:val="24"/>
          <w:lang w:val="de-DE"/>
        </w:rPr>
        <w:t>R2-2210857</w:t>
      </w:r>
    </w:p>
    <w:p w14:paraId="673F1C68" w14:textId="3CF4D3DF" w:rsidR="00DE0F70" w:rsidRDefault="008B500E" w:rsidP="008B500E">
      <w:pPr>
        <w:pStyle w:val="CRCoverPage"/>
        <w:tabs>
          <w:tab w:val="right" w:pos="9639"/>
          <w:tab w:val="right" w:pos="13323"/>
        </w:tabs>
        <w:spacing w:after="0"/>
        <w:rPr>
          <w:rFonts w:eastAsia="等线"/>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af0"/>
        <w:spacing w:before="120"/>
      </w:pPr>
    </w:p>
    <w:p w14:paraId="6035A99F" w14:textId="5D529E42" w:rsidR="00463675" w:rsidRPr="00FC2ED2" w:rsidRDefault="00463675" w:rsidP="007021A8">
      <w:pPr>
        <w:pStyle w:val="af0"/>
        <w:spacing w:before="120"/>
      </w:pPr>
      <w:r w:rsidRPr="000F4E43">
        <w:t>Title:</w:t>
      </w:r>
      <w:r w:rsidRPr="000F4E43">
        <w:tab/>
      </w:r>
      <w:r w:rsidR="00B923C5" w:rsidRPr="008B500E">
        <w:rPr>
          <w:highlight w:val="yellow"/>
        </w:rPr>
        <w:t>DRAFT</w:t>
      </w:r>
      <w:r w:rsidR="00B923C5">
        <w:t xml:space="preserve"> </w:t>
      </w:r>
      <w:r w:rsidR="004142A3" w:rsidRPr="004142A3">
        <w:t xml:space="preserve">LS on </w:t>
      </w:r>
      <w:r w:rsidR="00732D77">
        <w:t>v</w:t>
      </w:r>
      <w:r w:rsidR="00732D77" w:rsidRPr="00732D77">
        <w:t>alidity of assistance information</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1BF1B9E0"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B923C5">
        <w:rPr>
          <w:color w:val="000000"/>
        </w:rPr>
        <w:t>7</w:t>
      </w:r>
    </w:p>
    <w:p w14:paraId="23747715" w14:textId="3D9FA52F" w:rsidR="0091287C" w:rsidRPr="0091287C" w:rsidRDefault="0091287C" w:rsidP="0091287C">
      <w:r w:rsidRPr="000A33D1">
        <w:rPr>
          <w:rFonts w:ascii="Arial" w:hAnsi="Arial" w:cs="Arial"/>
          <w:b/>
        </w:rPr>
        <w:t>Work Item:</w:t>
      </w:r>
      <w:r>
        <w:rPr>
          <w:rFonts w:ascii="Arial" w:hAnsi="Arial" w:cs="Arial"/>
          <w:b/>
          <w:bCs/>
        </w:rPr>
        <w:tab/>
        <w:t xml:space="preserve">     </w:t>
      </w:r>
      <w:r w:rsidRPr="00E8175C">
        <w:rPr>
          <w:rFonts w:ascii="Arial" w:hAnsi="Arial" w:cs="Arial"/>
          <w:b/>
          <w:bCs/>
        </w:rPr>
        <w:t>NR_NTN_solutions</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 xml:space="preserve">OPPO </w:t>
      </w:r>
      <w:r w:rsidR="00B923C5" w:rsidRPr="008B500E">
        <w:rPr>
          <w:highlight w:val="yellow"/>
        </w:rPr>
        <w:t xml:space="preserve">(to be </w:t>
      </w:r>
      <w:r w:rsidR="005012BB" w:rsidRPr="008B500E">
        <w:rPr>
          <w:rFonts w:hint="eastAsia"/>
          <w:highlight w:val="yellow"/>
        </w:rPr>
        <w:t>RAN</w:t>
      </w:r>
      <w:r w:rsidR="004D3C3E" w:rsidRPr="008B500E">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6C5E8D64" w:rsidR="00463675" w:rsidRPr="004A7F66" w:rsidRDefault="00463675" w:rsidP="000F4E43">
      <w:pPr>
        <w:pStyle w:val="Source"/>
        <w:rPr>
          <w:lang w:val="fr-FR"/>
        </w:rPr>
      </w:pPr>
      <w:r w:rsidRPr="004A7F66">
        <w:rPr>
          <w:lang w:val="fr-FR"/>
        </w:rPr>
        <w:t>Cc:</w:t>
      </w:r>
      <w:r w:rsidRPr="004A7F66">
        <w:rPr>
          <w:lang w:val="fr-FR"/>
        </w:rPr>
        <w:tab/>
      </w:r>
      <w:r w:rsidR="00B923C5">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D69D27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w:t>
      </w:r>
      <w:r w:rsidR="008B500E">
        <w:rPr>
          <w:bCs/>
          <w:color w:val="0000FF"/>
          <w:lang w:val="en-US"/>
        </w:rPr>
        <w:t>@</w:t>
      </w:r>
      <w:r w:rsidR="00173E8C">
        <w:rPr>
          <w:bCs/>
          <w:color w:val="0000FF"/>
          <w:lang w:val="en-US"/>
        </w:rPr>
        <w:t>oppo</w:t>
      </w:r>
      <w:r w:rsidR="008B500E">
        <w:rPr>
          <w:bCs/>
          <w:color w:val="0000FF"/>
          <w:lang w:val="en-US"/>
        </w:rPr>
        <w:t>.</w:t>
      </w:r>
      <w:r w:rsidR="00173E8C">
        <w:rPr>
          <w:bCs/>
          <w:color w:val="0000FF"/>
          <w:lang w:val="en-US"/>
        </w:rPr>
        <w:t>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803017">
        <w:rPr>
          <w:rStyle w:val="aa"/>
          <w:rFonts w:ascii="Arial" w:hAnsi="Arial"/>
        </w:rPr>
        <w:commentReference w:id="2"/>
      </w:r>
      <w:r w:rsidRPr="000F4E43">
        <w:rPr>
          <w:rFonts w:ascii="Arial" w:hAnsi="Arial" w:cs="Arial"/>
          <w:b/>
        </w:rPr>
        <w:t>:</w:t>
      </w:r>
    </w:p>
    <w:p w14:paraId="5612D931" w14:textId="77777777" w:rsidR="009D68F6" w:rsidRDefault="009D68F6" w:rsidP="00946350">
      <w:pPr>
        <w:rPr>
          <w:rFonts w:ascii="Arial" w:hAnsi="Arial" w:cs="Arial"/>
          <w:color w:val="000000"/>
          <w:lang w:eastAsia="ko-KR"/>
        </w:rPr>
      </w:pPr>
    </w:p>
    <w:p w14:paraId="291B1A06" w14:textId="59DBEFE2" w:rsidR="00725FF2" w:rsidRDefault="003C7057" w:rsidP="00CF423E">
      <w:pPr>
        <w:jc w:val="both"/>
      </w:pPr>
      <w:r>
        <w:rPr>
          <w:rFonts w:eastAsia="宋体"/>
          <w:lang w:eastAsia="zh-CN"/>
        </w:rPr>
        <w:t xml:space="preserve">Regarding RAN1’s agreement </w:t>
      </w:r>
      <w:r w:rsidR="004B303E">
        <w:rPr>
          <w:rFonts w:eastAsia="宋体"/>
          <w:lang w:eastAsia="zh-CN"/>
        </w:rPr>
        <w:t xml:space="preserve">on serving cell’s explicit </w:t>
      </w:r>
      <w:r w:rsidR="00526996">
        <w:rPr>
          <w:rFonts w:eastAsia="宋体"/>
          <w:lang w:eastAsia="zh-CN"/>
        </w:rPr>
        <w:t>E</w:t>
      </w:r>
      <w:r w:rsidR="004B303E">
        <w:rPr>
          <w:rFonts w:eastAsia="宋体"/>
          <w:lang w:eastAsia="zh-CN"/>
        </w:rPr>
        <w:t xml:space="preserve">poch time </w:t>
      </w:r>
      <w:r w:rsidR="0097655B">
        <w:rPr>
          <w:iCs/>
          <w:lang w:eastAsia="zh-CN"/>
        </w:rPr>
        <w:t>refer</w:t>
      </w:r>
      <w:r w:rsidR="00515C36">
        <w:rPr>
          <w:iCs/>
          <w:lang w:eastAsia="zh-CN"/>
        </w:rPr>
        <w:t>ring</w:t>
      </w:r>
      <w:r w:rsidR="0097655B">
        <w:rPr>
          <w:iCs/>
          <w:lang w:eastAsia="zh-CN"/>
        </w:rPr>
        <w:t xml:space="preserve"> to</w:t>
      </w:r>
      <w:r w:rsidR="004B303E" w:rsidRPr="00733065">
        <w:rPr>
          <w:iCs/>
          <w:lang w:eastAsia="zh-CN"/>
        </w:rPr>
        <w:t xml:space="preserve"> the current SFN or the next upcoming SFN after the frame where the message indicating the Epoch time is received</w:t>
      </w:r>
      <w:r w:rsidR="0097655B">
        <w:rPr>
          <w:iCs/>
          <w:lang w:eastAsia="zh-CN"/>
        </w:rPr>
        <w:t xml:space="preserve">, RAN2 </w:t>
      </w:r>
      <w:r w:rsidR="00AF3813">
        <w:rPr>
          <w:iCs/>
          <w:lang w:eastAsia="zh-CN"/>
        </w:rPr>
        <w:t xml:space="preserve">has discussed and </w:t>
      </w:r>
      <w:r w:rsidR="0097655B">
        <w:t>thinks</w:t>
      </w:r>
      <w:r w:rsidR="00AB4B6B">
        <w:t xml:space="preserve"> that</w:t>
      </w:r>
      <w:r w:rsidR="0097655B">
        <w:t xml:space="preserve"> there could be an issue with latency (e.g. </w:t>
      </w:r>
      <w:r w:rsidR="00526996">
        <w:t xml:space="preserve">for </w:t>
      </w:r>
      <w:r w:rsidR="0097655B">
        <w:t>initial access)</w:t>
      </w:r>
      <w:r w:rsidR="00526996">
        <w:t xml:space="preserve"> when </w:t>
      </w:r>
      <w:bookmarkStart w:id="3" w:name="_GoBack"/>
      <w:bookmarkEnd w:id="3"/>
      <w:r w:rsidR="00526996">
        <w:t xml:space="preserve">Epoch time </w:t>
      </w:r>
      <w:r w:rsidR="00142A0D">
        <w:t>points to a future time and valid</w:t>
      </w:r>
      <w:r w:rsidR="007B630B">
        <w:t>ity</w:t>
      </w:r>
      <w:r w:rsidR="00142A0D">
        <w:t xml:space="preserve"> timer has not started. </w:t>
      </w:r>
    </w:p>
    <w:p w14:paraId="2326339E" w14:textId="77777777" w:rsidR="00725FF2" w:rsidRDefault="00725FF2" w:rsidP="00CF423E">
      <w:pPr>
        <w:jc w:val="both"/>
      </w:pPr>
    </w:p>
    <w:p w14:paraId="3C697041" w14:textId="1A34786B" w:rsidR="004B303E" w:rsidRPr="00E6230A" w:rsidRDefault="007B630B" w:rsidP="00CF423E">
      <w:pPr>
        <w:jc w:val="both"/>
      </w:pPr>
      <w:r>
        <w:t xml:space="preserve">To solve this issue, </w:t>
      </w:r>
      <w:r w:rsidR="00142A0D">
        <w:t xml:space="preserve">RAN2 would like to </w:t>
      </w:r>
      <w:r w:rsidR="00F0004E">
        <w:t>ask</w:t>
      </w:r>
      <w:r w:rsidR="00142A0D">
        <w:t xml:space="preserve"> RAN1</w:t>
      </w:r>
      <w:r w:rsidR="00F0004E">
        <w:t xml:space="preserve"> whether </w:t>
      </w:r>
      <w:r w:rsidR="00142A0D">
        <w:t xml:space="preserve">backwards propagation </w:t>
      </w:r>
      <w:r w:rsidR="00F0004E">
        <w:t xml:space="preserve">of satellite assistance information </w:t>
      </w:r>
      <w:r w:rsidR="00142A0D">
        <w:t>would be needed</w:t>
      </w:r>
      <w:r w:rsidR="003B0AC8">
        <w:t>,</w:t>
      </w:r>
      <w:r w:rsidR="00142A0D">
        <w:t xml:space="preserve"> or whether the problem could be mitigated by making E</w:t>
      </w:r>
      <w:r w:rsidR="00142A0D" w:rsidRPr="00633854">
        <w:t>poch time</w:t>
      </w:r>
      <w:r w:rsidR="009F7179">
        <w:rPr>
          <w:rFonts w:hint="eastAsia"/>
          <w:lang w:eastAsia="zh-CN"/>
        </w:rPr>
        <w:t xml:space="preserve"> </w:t>
      </w:r>
      <w:r w:rsidR="009F7179" w:rsidRPr="00633854">
        <w:t>for serving cell</w:t>
      </w:r>
      <w:r w:rsidR="00142A0D" w:rsidRPr="00633854">
        <w:t xml:space="preserve"> </w:t>
      </w:r>
      <w:r w:rsidR="00DD3F30" w:rsidRPr="00733065">
        <w:rPr>
          <w:iCs/>
          <w:lang w:eastAsia="zh-CN"/>
        </w:rPr>
        <w:t>the frame nearest to the frame where the message indicating the Epoch time is received</w:t>
      </w:r>
      <w:r w:rsidR="003B0AC8">
        <w:t>,</w:t>
      </w:r>
      <w:r w:rsidR="00142A0D">
        <w:t xml:space="preserve"> or </w:t>
      </w:r>
      <w:r w:rsidR="00E6230A">
        <w:t>whether</w:t>
      </w:r>
      <w:r w:rsidR="00142A0D">
        <w:t xml:space="preserve"> this can be addressed by simply setting the Epoch time properly</w:t>
      </w:r>
      <w:r w:rsidR="00803017">
        <w:t xml:space="preserve"> by the network</w:t>
      </w:r>
      <w:r w:rsidR="00142A0D">
        <w:t xml:space="preserve"> (i.e. no spec changes)</w:t>
      </w:r>
      <w:r w:rsidR="003B0AC8">
        <w:t>.</w:t>
      </w:r>
    </w:p>
    <w:p w14:paraId="38820CC9" w14:textId="681AE94A"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4" w:name="_Hlk46227635"/>
      <w:r w:rsidR="00942D93">
        <w:rPr>
          <w:rFonts w:ascii="Arial" w:hAnsi="Arial" w:cs="Arial"/>
          <w:b/>
        </w:rPr>
        <w:t xml:space="preserve"> </w:t>
      </w:r>
      <w:bookmarkEnd w:id="4"/>
      <w:r w:rsidR="00361A7C">
        <w:rPr>
          <w:rFonts w:ascii="Arial" w:hAnsi="Arial" w:cs="Arial"/>
          <w:b/>
        </w:rPr>
        <w:t>RAN1</w:t>
      </w:r>
    </w:p>
    <w:p w14:paraId="6F2861B9" w14:textId="31D4931A"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requests RAN1 to provide </w:t>
      </w:r>
      <w:r w:rsidR="00725FF2">
        <w:rPr>
          <w:color w:val="000000"/>
        </w:rPr>
        <w:t>feedback</w:t>
      </w:r>
      <w:r w:rsidR="00361A7C">
        <w:rPr>
          <w:color w:val="000000"/>
        </w:rPr>
        <w:t xml:space="preserve"> to the above questions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w:date="2022-10-18T09:43:00Z" w:initials="OPPO">
    <w:p w14:paraId="6EACDD90" w14:textId="77777777" w:rsidR="00803017" w:rsidRDefault="00803017">
      <w:pPr>
        <w:pStyle w:val="a6"/>
        <w:rPr>
          <w:lang w:eastAsia="zh-CN"/>
        </w:rPr>
      </w:pPr>
      <w:r>
        <w:rPr>
          <w:rStyle w:val="aa"/>
        </w:rPr>
        <w:annotationRef/>
      </w:r>
      <w:r>
        <w:rPr>
          <w:lang w:eastAsia="zh-CN"/>
        </w:rPr>
        <w:t xml:space="preserve">Online guidance from </w:t>
      </w:r>
      <w:r w:rsidR="00AF3813">
        <w:rPr>
          <w:lang w:eastAsia="zh-CN"/>
        </w:rPr>
        <w:t>VC:</w:t>
      </w:r>
    </w:p>
    <w:p w14:paraId="78BCD51F" w14:textId="77777777" w:rsidR="00AF3813" w:rsidRDefault="00AF3813" w:rsidP="00AF3813">
      <w:pPr>
        <w:pStyle w:val="Doc-text2"/>
        <w:numPr>
          <w:ilvl w:val="0"/>
          <w:numId w:val="32"/>
        </w:numPr>
      </w:pPr>
      <w:r>
        <w:t>VC suggests to send a LS to RAN1 saying that RAN2 thinks there could be an issue with latency (e.g. initial access) and ask them whether backwards propagation would be needed or whether the problem could be mitigated by making E</w:t>
      </w:r>
      <w:r w:rsidRPr="00633854">
        <w:t>poch time the nearest frame for serving cell</w:t>
      </w:r>
      <w:r>
        <w:t xml:space="preserve"> or if this can be addressed by simply setting the Epoch time properly (i.e. no spec changes)</w:t>
      </w:r>
    </w:p>
    <w:p w14:paraId="5BC08F15" w14:textId="56575035" w:rsidR="00AF3813" w:rsidRDefault="00AF3813">
      <w:pPr>
        <w:pStyle w:val="a6"/>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C08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E123" w16cex:dateUtc="2022-08-24T15:40:00Z"/>
  <w16cex:commentExtensible w16cex:durableId="26B0E013" w16cex:dateUtc="2022-08-24T15:36:00Z"/>
  <w16cex:commentExtensible w16cex:durableId="26B1E575" w16cex:dateUtc="2022-08-2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C08F15" w16cid:durableId="26F8F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BA0C" w14:textId="77777777" w:rsidR="00671CD1" w:rsidRDefault="00671CD1">
      <w:r>
        <w:separator/>
      </w:r>
    </w:p>
  </w:endnote>
  <w:endnote w:type="continuationSeparator" w:id="0">
    <w:p w14:paraId="43EAA6C5" w14:textId="77777777" w:rsidR="00671CD1" w:rsidRDefault="00671CD1">
      <w:r>
        <w:continuationSeparator/>
      </w:r>
    </w:p>
  </w:endnote>
  <w:endnote w:type="continuationNotice" w:id="1">
    <w:p w14:paraId="2FAFA612" w14:textId="77777777" w:rsidR="00671CD1" w:rsidRDefault="00671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9F582FB" w:rsidR="004F6B55" w:rsidRDefault="004F6B55">
        <w:pPr>
          <w:pStyle w:val="a4"/>
          <w:jc w:val="right"/>
        </w:pPr>
        <w:r>
          <w:fldChar w:fldCharType="begin"/>
        </w:r>
        <w:r>
          <w:instrText>PAGE   \* MERGEFORMAT</w:instrText>
        </w:r>
        <w:r>
          <w:fldChar w:fldCharType="separate"/>
        </w:r>
        <w:r w:rsidR="009A253B" w:rsidRPr="009A253B">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14B7" w14:textId="77777777" w:rsidR="00671CD1" w:rsidRDefault="00671CD1">
      <w:r>
        <w:separator/>
      </w:r>
    </w:p>
  </w:footnote>
  <w:footnote w:type="continuationSeparator" w:id="0">
    <w:p w14:paraId="75C0AE58" w14:textId="77777777" w:rsidR="00671CD1" w:rsidRDefault="00671CD1">
      <w:r>
        <w:continuationSeparator/>
      </w:r>
    </w:p>
  </w:footnote>
  <w:footnote w:type="continuationNotice" w:id="1">
    <w:p w14:paraId="5B1F92A1" w14:textId="77777777" w:rsidR="00671CD1" w:rsidRDefault="00671C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3B0254C"/>
    <w:multiLevelType w:val="hybridMultilevel"/>
    <w:tmpl w:val="14FEAEA0"/>
    <w:lvl w:ilvl="0" w:tplc="9294A8E6">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1"/>
  </w:num>
  <w:num w:numId="28">
    <w:abstractNumId w:val="18"/>
  </w:num>
  <w:num w:numId="29">
    <w:abstractNumId w:val="14"/>
  </w:num>
  <w:num w:numId="30">
    <w:abstractNumId w:val="20"/>
  </w:num>
  <w:num w:numId="31">
    <w:abstractNumId w:val="29"/>
  </w:num>
  <w:num w:numId="32">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0294"/>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2A0D"/>
    <w:rsid w:val="001435BE"/>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22D6"/>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4C14"/>
    <w:rsid w:val="002652E8"/>
    <w:rsid w:val="002664FB"/>
    <w:rsid w:val="00267697"/>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0AC8"/>
    <w:rsid w:val="003B1AD4"/>
    <w:rsid w:val="003B4B48"/>
    <w:rsid w:val="003B710F"/>
    <w:rsid w:val="003C2BB1"/>
    <w:rsid w:val="003C4851"/>
    <w:rsid w:val="003C6079"/>
    <w:rsid w:val="003C7057"/>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303E"/>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10ABC"/>
    <w:rsid w:val="00512355"/>
    <w:rsid w:val="005135D8"/>
    <w:rsid w:val="00515C36"/>
    <w:rsid w:val="005162EE"/>
    <w:rsid w:val="00517EFB"/>
    <w:rsid w:val="00521F2C"/>
    <w:rsid w:val="0052208B"/>
    <w:rsid w:val="00523593"/>
    <w:rsid w:val="00526996"/>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06011"/>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1CD1"/>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49BD"/>
    <w:rsid w:val="007053FF"/>
    <w:rsid w:val="00710DBD"/>
    <w:rsid w:val="007210EF"/>
    <w:rsid w:val="00722D4F"/>
    <w:rsid w:val="00724AD2"/>
    <w:rsid w:val="00725FF2"/>
    <w:rsid w:val="00726FC3"/>
    <w:rsid w:val="007310AF"/>
    <w:rsid w:val="0073252B"/>
    <w:rsid w:val="00732675"/>
    <w:rsid w:val="00732D77"/>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1EB"/>
    <w:rsid w:val="00794977"/>
    <w:rsid w:val="00794BC6"/>
    <w:rsid w:val="00795D8B"/>
    <w:rsid w:val="00795ECA"/>
    <w:rsid w:val="007A2060"/>
    <w:rsid w:val="007A4B51"/>
    <w:rsid w:val="007A581A"/>
    <w:rsid w:val="007B048A"/>
    <w:rsid w:val="007B312E"/>
    <w:rsid w:val="007B630B"/>
    <w:rsid w:val="007C2E13"/>
    <w:rsid w:val="007C31A7"/>
    <w:rsid w:val="007C330B"/>
    <w:rsid w:val="007C586E"/>
    <w:rsid w:val="007E31C6"/>
    <w:rsid w:val="007E365E"/>
    <w:rsid w:val="007F29E4"/>
    <w:rsid w:val="007F52A1"/>
    <w:rsid w:val="007F65E2"/>
    <w:rsid w:val="0080117D"/>
    <w:rsid w:val="00801416"/>
    <w:rsid w:val="00803017"/>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500E"/>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7655B"/>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F215E"/>
    <w:rsid w:val="009F7179"/>
    <w:rsid w:val="009F7429"/>
    <w:rsid w:val="00A02737"/>
    <w:rsid w:val="00A06291"/>
    <w:rsid w:val="00A07FE7"/>
    <w:rsid w:val="00A10493"/>
    <w:rsid w:val="00A1094E"/>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5106"/>
    <w:rsid w:val="00A87268"/>
    <w:rsid w:val="00A9062E"/>
    <w:rsid w:val="00A91B06"/>
    <w:rsid w:val="00A91FCB"/>
    <w:rsid w:val="00A955B4"/>
    <w:rsid w:val="00A962D9"/>
    <w:rsid w:val="00A96D34"/>
    <w:rsid w:val="00AA0499"/>
    <w:rsid w:val="00AA0C39"/>
    <w:rsid w:val="00AA4FD7"/>
    <w:rsid w:val="00AB4B6B"/>
    <w:rsid w:val="00AB507A"/>
    <w:rsid w:val="00AB64F8"/>
    <w:rsid w:val="00AB66F6"/>
    <w:rsid w:val="00AB6AE7"/>
    <w:rsid w:val="00AB6DD2"/>
    <w:rsid w:val="00AB783A"/>
    <w:rsid w:val="00AC2D4C"/>
    <w:rsid w:val="00AC7F58"/>
    <w:rsid w:val="00AD50B2"/>
    <w:rsid w:val="00AD598E"/>
    <w:rsid w:val="00AE46CC"/>
    <w:rsid w:val="00AF3813"/>
    <w:rsid w:val="00AF5307"/>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7C0B"/>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27833"/>
    <w:rsid w:val="00D307B7"/>
    <w:rsid w:val="00D32B8B"/>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3F30"/>
    <w:rsid w:val="00DD4252"/>
    <w:rsid w:val="00DE0F70"/>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30A"/>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04E"/>
    <w:rsid w:val="00F002B1"/>
    <w:rsid w:val="00F0431C"/>
    <w:rsid w:val="00F04D4D"/>
    <w:rsid w:val="00F068FC"/>
    <w:rsid w:val="00F0699F"/>
    <w:rsid w:val="00F1153F"/>
    <w:rsid w:val="00F24627"/>
    <w:rsid w:val="00F31169"/>
    <w:rsid w:val="00F345BE"/>
    <w:rsid w:val="00F4444A"/>
    <w:rsid w:val="00F44686"/>
    <w:rsid w:val="00F50618"/>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3GPPLiaison@etsi.org"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232</Words>
  <Characters>1323</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1552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OPPO</cp:lastModifiedBy>
  <cp:revision>9</cp:revision>
  <cp:lastPrinted>2020-08-26T01:27:00Z</cp:lastPrinted>
  <dcterms:created xsi:type="dcterms:W3CDTF">2022-09-27T09:57:00Z</dcterms:created>
  <dcterms:modified xsi:type="dcterms:W3CDTF">2022-10-18T01:49:00Z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