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BB996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81B7F">
        <w:rPr>
          <w:bCs/>
          <w:noProof w:val="0"/>
          <w:sz w:val="24"/>
          <w:szCs w:val="24"/>
        </w:rPr>
        <w:t xml:space="preserve">8 </w:t>
      </w:r>
      <w:r w:rsidR="00244A05">
        <w:rPr>
          <w:bCs/>
          <w:noProof w:val="0"/>
          <w:sz w:val="24"/>
          <w:szCs w:val="24"/>
        </w:rPr>
        <w:t>Electronic</w:t>
      </w:r>
      <w:r w:rsidRPr="00B266B0">
        <w:rPr>
          <w:bCs/>
          <w:noProof w:val="0"/>
          <w:sz w:val="24"/>
          <w:szCs w:val="24"/>
        </w:rPr>
        <w:tab/>
      </w:r>
      <w:r w:rsidR="001656EB">
        <w:rPr>
          <w:bCs/>
          <w:noProof w:val="0"/>
          <w:sz w:val="24"/>
          <w:szCs w:val="24"/>
        </w:rPr>
        <w:t>R2-2</w:t>
      </w:r>
      <w:r w:rsidR="00583A3D">
        <w:rPr>
          <w:bCs/>
          <w:noProof w:val="0"/>
          <w:sz w:val="24"/>
          <w:szCs w:val="24"/>
        </w:rPr>
        <w:t>20</w:t>
      </w:r>
      <w:r w:rsidR="00180D15">
        <w:rPr>
          <w:bCs/>
          <w:noProof w:val="0"/>
          <w:sz w:val="24"/>
          <w:szCs w:val="24"/>
        </w:rPr>
        <w:t>5601</w:t>
      </w:r>
    </w:p>
    <w:p w14:paraId="11776FA6" w14:textId="34BC40A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w:t>
      </w:r>
      <w:r w:rsidR="003103FF">
        <w:rPr>
          <w:rFonts w:eastAsia="SimSun"/>
          <w:bCs/>
          <w:sz w:val="24"/>
          <w:szCs w:val="24"/>
          <w:lang w:eastAsia="zh-CN"/>
        </w:rPr>
        <w:t xml:space="preserve"> </w:t>
      </w:r>
      <w:r w:rsidR="00381B7F">
        <w:rPr>
          <w:rFonts w:eastAsia="SimSun"/>
          <w:bCs/>
          <w:sz w:val="24"/>
          <w:szCs w:val="24"/>
          <w:lang w:eastAsia="zh-CN"/>
        </w:rPr>
        <w:t>9</w:t>
      </w:r>
      <w:r w:rsidR="00381B7F" w:rsidRPr="00381B7F">
        <w:rPr>
          <w:rFonts w:eastAsia="SimSun"/>
          <w:bCs/>
          <w:sz w:val="24"/>
          <w:szCs w:val="24"/>
          <w:vertAlign w:val="superscript"/>
          <w:lang w:eastAsia="zh-CN"/>
        </w:rPr>
        <w:t>th</w:t>
      </w:r>
      <w:r w:rsidR="00381B7F">
        <w:rPr>
          <w:rFonts w:eastAsia="SimSun"/>
          <w:bCs/>
          <w:sz w:val="24"/>
          <w:szCs w:val="24"/>
          <w:lang w:eastAsia="zh-CN"/>
        </w:rPr>
        <w:t xml:space="preserve"> May- 19</w:t>
      </w:r>
      <w:r w:rsidR="00381B7F" w:rsidRPr="00381B7F">
        <w:rPr>
          <w:rFonts w:eastAsia="SimSun"/>
          <w:bCs/>
          <w:sz w:val="24"/>
          <w:szCs w:val="24"/>
          <w:vertAlign w:val="superscript"/>
          <w:lang w:eastAsia="zh-CN"/>
        </w:rPr>
        <w:t>th</w:t>
      </w:r>
      <w:r w:rsidR="00381B7F">
        <w:rPr>
          <w:rFonts w:eastAsia="SimSun"/>
          <w:bCs/>
          <w:sz w:val="24"/>
          <w:szCs w:val="24"/>
          <w:lang w:eastAsia="zh-CN"/>
        </w:rPr>
        <w:t xml:space="preserve"> May</w:t>
      </w:r>
      <w:r w:rsidR="00BB20E3">
        <w:rPr>
          <w:rFonts w:eastAsia="SimSun"/>
          <w:bCs/>
          <w:sz w:val="24"/>
          <w:szCs w:val="24"/>
          <w:lang w:eastAsia="zh-CN"/>
        </w:rPr>
        <w:t xml:space="preserve"> </w:t>
      </w:r>
      <w:r w:rsidR="003103FF">
        <w:rPr>
          <w:rFonts w:eastAsia="SimSun"/>
          <w:bCs/>
          <w:sz w:val="24"/>
          <w:szCs w:val="24"/>
          <w:lang w:eastAsia="zh-CN"/>
        </w:rPr>
        <w:t>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B8FF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1B7F">
        <w:rPr>
          <w:rFonts w:cs="Arial"/>
          <w:b/>
          <w:bCs/>
          <w:sz w:val="24"/>
        </w:rPr>
        <w:t>7.2.</w:t>
      </w:r>
      <w:r w:rsidR="007E38EB">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DFCBE7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38EB">
        <w:rPr>
          <w:rFonts w:ascii="Arial" w:hAnsi="Arial" w:cs="Arial"/>
          <w:b/>
          <w:bCs/>
          <w:sz w:val="24"/>
        </w:rPr>
        <w:t>On Capability Indication of existing IoT-Features for NTN connectivity</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5320" w:rsidRPr="000A7145">
        <w:rPr>
          <w:rFonts w:ascii="Arial" w:hAnsi="Arial" w:cs="Arial"/>
          <w:b/>
          <w:bCs/>
          <w:sz w:val="24"/>
        </w:rPr>
        <w:t>LTE_NBIOT_eMTC_NTN</w:t>
      </w:r>
      <w:proofErr w:type="spellEnd"/>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8CD337" w14:textId="1F257BBC" w:rsidR="007E38EB" w:rsidRDefault="007E38EB" w:rsidP="00E15320">
      <w:r>
        <w:t xml:space="preserve">In RAN2-118e meeting need for duplicating the capability indications of existing IoT features for NTN connectivity was discussed over </w:t>
      </w:r>
      <w:r w:rsidR="00E5395B">
        <w:t xml:space="preserve">AT-meeting </w:t>
      </w:r>
      <w:r>
        <w:t>e-mail discussion.</w:t>
      </w:r>
      <w:r w:rsidR="00E5395B">
        <w:t xml:space="preserve"> Different solution options for NB-IoT and eMTC to address this issue were discussed without consensus on the final option. Moreover, the need for separate capability and features which requires such indication, and the reasons were not discussed. In this paper we further analyse this open issue.</w:t>
      </w:r>
    </w:p>
    <w:p w14:paraId="4F547731" w14:textId="2A1A2763" w:rsidR="00A209D6" w:rsidRDefault="00A209D6" w:rsidP="00B7538C">
      <w:pPr>
        <w:pStyle w:val="Heading1"/>
      </w:pPr>
      <w:r w:rsidRPr="006E13D1">
        <w:t>2</w:t>
      </w:r>
      <w:r w:rsidRPr="006E13D1">
        <w:tab/>
      </w:r>
      <w:r w:rsidR="00E15320">
        <w:t>Discussion</w:t>
      </w:r>
    </w:p>
    <w:p w14:paraId="7E4A20EC" w14:textId="1E85303C" w:rsidR="001A0667" w:rsidRDefault="007E38EB" w:rsidP="00ED5893">
      <w:r>
        <w:t xml:space="preserve">During the study phase of IoT-NTN WI it was concluded that all the features specified until Rel-16 are applicable for </w:t>
      </w:r>
      <w:r w:rsidR="006506FF">
        <w:t>NTN connectivity unless specific issues are identified.  For some features such as PUR the additional changes required are identified and additional capabilities are specified for Rel-17.  During RAN2-118e meetings, many companies indicated that eventhough these features does not have any specification impacts there could be some additional UE implementation impacts and testing efforts to make these features applicable for NTN connectivity. Hence some companies prefer to indicate the capability for IoT features using new capability indication towards NTN. But the scenarios where such additional indications needed were not discussed in detail.</w:t>
      </w:r>
    </w:p>
    <w:p w14:paraId="7698204C" w14:textId="7B01F005" w:rsidR="00FC25E3" w:rsidRPr="00FC25E3" w:rsidRDefault="00FC25E3" w:rsidP="00ED5893">
      <w:pPr>
        <w:rPr>
          <w:b/>
          <w:bCs/>
        </w:rPr>
      </w:pPr>
      <w:r w:rsidRPr="00FC25E3">
        <w:rPr>
          <w:b/>
          <w:bCs/>
        </w:rPr>
        <w:t xml:space="preserve">Observation 1: </w:t>
      </w:r>
      <w:r>
        <w:rPr>
          <w:b/>
          <w:bCs/>
        </w:rPr>
        <w:t>Device implementation may not support all the IoT-features supported for TN for NTN connectivity due to additional implementation and testing efforts</w:t>
      </w:r>
      <w:r w:rsidR="002215AA">
        <w:rPr>
          <w:b/>
          <w:bCs/>
        </w:rPr>
        <w:t xml:space="preserve"> required for the NTN connectivity.</w:t>
      </w:r>
    </w:p>
    <w:p w14:paraId="1F690F0E" w14:textId="1E342F6B" w:rsidR="00FC25E3" w:rsidRDefault="00FC25E3" w:rsidP="00ED5893">
      <w:r>
        <w:t>When some capabilities supported for TN are not supported for NTN connectivity, UE can still make use of existing capability indication to indicate the same</w:t>
      </w:r>
      <w:r w:rsidR="002215AA">
        <w:t xml:space="preserve"> with values of capability field varies depending on the connected network</w:t>
      </w:r>
      <w:r>
        <w:t xml:space="preserve">. </w:t>
      </w:r>
      <w:r w:rsidR="005E43BE">
        <w:t>But this will require the UE to trigger NAS level signalling procedure on switching between TN and NTN cells to trigger the capability enquiry procedure from new serving cell. This option is already possible where UE can trigger NAS procedure if its E-UTRA capability has been changed  [TS36.331. Clause 5.6.3].</w:t>
      </w:r>
    </w:p>
    <w:p w14:paraId="0F967E93" w14:textId="4D5F9559" w:rsidR="005E43BE" w:rsidRDefault="005E43BE" w:rsidP="005E43BE">
      <w:pPr>
        <w:rPr>
          <w:b/>
          <w:bCs/>
        </w:rPr>
      </w:pPr>
      <w:r w:rsidRPr="00FC25E3">
        <w:rPr>
          <w:b/>
          <w:bCs/>
        </w:rPr>
        <w:t xml:space="preserve">Observation </w:t>
      </w:r>
      <w:r>
        <w:rPr>
          <w:b/>
          <w:bCs/>
        </w:rPr>
        <w:t>2</w:t>
      </w:r>
      <w:r w:rsidRPr="00FC25E3">
        <w:rPr>
          <w:b/>
          <w:bCs/>
        </w:rPr>
        <w:t xml:space="preserve">: </w:t>
      </w:r>
      <w:r>
        <w:rPr>
          <w:b/>
          <w:bCs/>
        </w:rPr>
        <w:t>It is possible to indicate different values for same capability indication parameter towards TN and NTN cell</w:t>
      </w:r>
      <w:r w:rsidR="00B361F5">
        <w:rPr>
          <w:b/>
          <w:bCs/>
        </w:rPr>
        <w:t xml:space="preserve"> for idle mode mobility. </w:t>
      </w:r>
      <w:r w:rsidR="00934891">
        <w:rPr>
          <w:b/>
          <w:bCs/>
        </w:rPr>
        <w:t>In this case,</w:t>
      </w:r>
      <w:r w:rsidR="00B361F5">
        <w:rPr>
          <w:b/>
          <w:bCs/>
        </w:rPr>
        <w:t xml:space="preserve"> UE </w:t>
      </w:r>
      <w:r w:rsidR="00934891">
        <w:rPr>
          <w:b/>
          <w:bCs/>
        </w:rPr>
        <w:t>should</w:t>
      </w:r>
      <w:r w:rsidR="00B361F5">
        <w:rPr>
          <w:b/>
          <w:bCs/>
        </w:rPr>
        <w:t xml:space="preserve"> trigger NAS signalling procedure to indicate the change of capability indication.</w:t>
      </w:r>
    </w:p>
    <w:p w14:paraId="21B440B9" w14:textId="31B407EC" w:rsidR="006506FF" w:rsidRDefault="00B361F5" w:rsidP="006506FF">
      <w:r>
        <w:t>In case of connected mode mobility between TN and NTN cell use of same capability indication with different values for TN and NTN may lead to some impacts after the mobility procedure. To provide the updated capability UE may need to trigger NAS signalling procedure after connected mode mobility. This will require some additional specification changes.  But connected mode mobility between TN and NTN is not in the scope for Rel-17 IoT-NTN. Moreover NB-IoT does not support connected mode mobility.</w:t>
      </w:r>
    </w:p>
    <w:p w14:paraId="5A4318B7" w14:textId="66F15BF5" w:rsidR="00B361F5" w:rsidRDefault="00B361F5" w:rsidP="00B361F5">
      <w:pPr>
        <w:rPr>
          <w:b/>
          <w:bCs/>
        </w:rPr>
      </w:pPr>
      <w:r w:rsidRPr="00FC25E3">
        <w:rPr>
          <w:b/>
          <w:bCs/>
        </w:rPr>
        <w:t xml:space="preserve">Observation </w:t>
      </w:r>
      <w:r w:rsidR="002215AA">
        <w:rPr>
          <w:b/>
          <w:bCs/>
        </w:rPr>
        <w:t>3</w:t>
      </w:r>
      <w:r w:rsidRPr="00FC25E3">
        <w:rPr>
          <w:b/>
          <w:bCs/>
        </w:rPr>
        <w:t>:</w:t>
      </w:r>
      <w:r>
        <w:rPr>
          <w:b/>
          <w:bCs/>
        </w:rPr>
        <w:t xml:space="preserve"> Separate capability indication for IoT-Features will be required for connected mode mobility between TN and NTN.</w:t>
      </w:r>
    </w:p>
    <w:p w14:paraId="5461C408" w14:textId="595E5BB8" w:rsidR="00934891" w:rsidRDefault="00934891" w:rsidP="00B361F5">
      <w:r>
        <w:t>Connected mode mobility between TN and NTN cells is not in the scope of Rel-17 functionality. Support for TN and NTN mobility will require some additional features to be introduced. But introducing separate capability for the features which are not supported for NTN in later release may lead to backward compatibility issues. Introducing the separate capability for specific features which requires additional UE implementation or testing efforts for NTN in Rel-17 is preferred for devices which supports connected mode mobility.</w:t>
      </w:r>
    </w:p>
    <w:p w14:paraId="40F90ABA" w14:textId="77777777" w:rsidR="00934891" w:rsidRPr="00934891" w:rsidRDefault="00934891" w:rsidP="00B361F5"/>
    <w:p w14:paraId="2817E269" w14:textId="04D2F7C0" w:rsidR="00EF11EC" w:rsidRDefault="00EF11EC" w:rsidP="00B361F5">
      <w:r>
        <w:t xml:space="preserve">If separate capability indication is needed for NTN connectivity, the set of features which requires duplicate capability for NTN needs to be identified instead of introducing the separate capability indication for all the features.  We have considered NB-IoT feature capability list as example and analyse the need for duplication based on whether the feature is essential for NTN connectivity and the changes needed in UE implementation or testing for the specific feature in the below table.  </w:t>
      </w:r>
      <w:r w:rsidR="00FD1A20" w:rsidRPr="00173FBA">
        <w:rPr>
          <w:highlight w:val="yellow"/>
        </w:rPr>
        <w:t>The highlighted rows are potential candidate to consider for separate capability indication for NTN connectivity.</w:t>
      </w:r>
    </w:p>
    <w:tbl>
      <w:tblPr>
        <w:tblW w:w="9200" w:type="dxa"/>
        <w:tblLook w:val="04A0" w:firstRow="1" w:lastRow="0" w:firstColumn="1" w:lastColumn="0" w:noHBand="0" w:noVBand="1"/>
      </w:tblPr>
      <w:tblGrid>
        <w:gridCol w:w="2689"/>
        <w:gridCol w:w="1275"/>
        <w:gridCol w:w="4225"/>
        <w:gridCol w:w="1011"/>
      </w:tblGrid>
      <w:tr w:rsidR="00EF11EC" w:rsidRPr="005E58E0" w14:paraId="529D87CE" w14:textId="77777777" w:rsidTr="00EB2609">
        <w:trPr>
          <w:trHeight w:val="440"/>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BF9F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311057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 for Initial IoT-NTN deployments</w:t>
            </w:r>
          </w:p>
        </w:tc>
        <w:tc>
          <w:tcPr>
            <w:tcW w:w="4225" w:type="dxa"/>
            <w:tcBorders>
              <w:top w:val="single" w:sz="4" w:space="0" w:color="auto"/>
              <w:left w:val="nil"/>
              <w:bottom w:val="single" w:sz="4" w:space="0" w:color="auto"/>
              <w:right w:val="single" w:sz="4" w:space="0" w:color="auto"/>
            </w:tcBorders>
            <w:shd w:val="clear" w:color="auto" w:fill="auto"/>
            <w:vAlign w:val="bottom"/>
            <w:hideMark/>
          </w:tcPr>
          <w:p w14:paraId="7F0BA1C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Need for Additional Testing specific to NTN scenario</w:t>
            </w:r>
          </w:p>
        </w:tc>
        <w:tc>
          <w:tcPr>
            <w:tcW w:w="1011" w:type="dxa"/>
            <w:tcBorders>
              <w:top w:val="nil"/>
              <w:left w:val="nil"/>
              <w:bottom w:val="nil"/>
              <w:right w:val="nil"/>
            </w:tcBorders>
            <w:shd w:val="clear" w:color="auto" w:fill="auto"/>
            <w:vAlign w:val="bottom"/>
            <w:hideMark/>
          </w:tcPr>
          <w:p w14:paraId="7C4A8A0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Separate capability for NTN connectivity</w:t>
            </w:r>
          </w:p>
        </w:tc>
      </w:tr>
      <w:tr w:rsidR="00EF11EC" w:rsidRPr="005E58E0" w14:paraId="374DD7DD"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06FC747" w14:textId="77777777" w:rsidR="00EF11EC" w:rsidRPr="005E58E0" w:rsidRDefault="00EF11EC" w:rsidP="00EB2609">
            <w:pPr>
              <w:spacing w:after="0"/>
              <w:rPr>
                <w:rFonts w:ascii="Calibri" w:hAnsi="Calibri" w:cs="Calibri"/>
                <w:color w:val="000000"/>
                <w:sz w:val="16"/>
                <w:szCs w:val="16"/>
                <w:lang w:eastAsia="en-IN"/>
              </w:rPr>
            </w:pPr>
            <w:proofErr w:type="spellStart"/>
            <w:r w:rsidRPr="005E58E0">
              <w:rPr>
                <w:rFonts w:ascii="Calibri" w:hAnsi="Calibri" w:cs="Calibri"/>
                <w:color w:val="000000"/>
                <w:sz w:val="16"/>
                <w:szCs w:val="16"/>
                <w:lang w:eastAsia="en-IN"/>
              </w:rPr>
              <w:t>ue</w:t>
            </w:r>
            <w:proofErr w:type="spellEnd"/>
            <w:r w:rsidRPr="005E58E0">
              <w:rPr>
                <w:rFonts w:ascii="Calibri" w:hAnsi="Calibri" w:cs="Calibri"/>
                <w:color w:val="000000"/>
                <w:sz w:val="16"/>
                <w:szCs w:val="16"/>
                <w:lang w:eastAsia="en-IN"/>
              </w:rPr>
              <w:t>-Category-NB in NB-IoT (clause 4.1C)</w:t>
            </w:r>
          </w:p>
        </w:tc>
        <w:tc>
          <w:tcPr>
            <w:tcW w:w="1275" w:type="dxa"/>
            <w:tcBorders>
              <w:top w:val="nil"/>
              <w:left w:val="nil"/>
              <w:bottom w:val="single" w:sz="4" w:space="0" w:color="auto"/>
              <w:right w:val="single" w:sz="4" w:space="0" w:color="auto"/>
            </w:tcBorders>
            <w:shd w:val="clear" w:color="auto" w:fill="auto"/>
            <w:noWrap/>
            <w:vAlign w:val="bottom"/>
            <w:hideMark/>
          </w:tcPr>
          <w:p w14:paraId="5B3C8F4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3D52C37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single" w:sz="4" w:space="0" w:color="auto"/>
              <w:left w:val="nil"/>
              <w:bottom w:val="single" w:sz="4" w:space="0" w:color="auto"/>
              <w:right w:val="single" w:sz="4" w:space="0" w:color="auto"/>
            </w:tcBorders>
            <w:shd w:val="clear" w:color="auto" w:fill="auto"/>
            <w:vAlign w:val="bottom"/>
            <w:hideMark/>
          </w:tcPr>
          <w:p w14:paraId="2B214B2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38ABC69A"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5EFCF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supportedROHC-Profiles-r13 (clause 4.3.1.1A)</w:t>
            </w:r>
          </w:p>
        </w:tc>
        <w:tc>
          <w:tcPr>
            <w:tcW w:w="1275" w:type="dxa"/>
            <w:tcBorders>
              <w:top w:val="nil"/>
              <w:left w:val="nil"/>
              <w:bottom w:val="single" w:sz="4" w:space="0" w:color="auto"/>
              <w:right w:val="single" w:sz="4" w:space="0" w:color="auto"/>
            </w:tcBorders>
            <w:shd w:val="clear" w:color="auto" w:fill="auto"/>
            <w:noWrap/>
            <w:vAlign w:val="bottom"/>
            <w:hideMark/>
          </w:tcPr>
          <w:p w14:paraId="171AAA9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750EC15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521CDF3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64213E94"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EECD5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maxNumberROHC-ContextSessions-r13 (clause 4.3.1.2A)</w:t>
            </w:r>
          </w:p>
        </w:tc>
        <w:tc>
          <w:tcPr>
            <w:tcW w:w="1275" w:type="dxa"/>
            <w:tcBorders>
              <w:top w:val="nil"/>
              <w:left w:val="nil"/>
              <w:bottom w:val="single" w:sz="4" w:space="0" w:color="auto"/>
              <w:right w:val="single" w:sz="4" w:space="0" w:color="auto"/>
            </w:tcBorders>
            <w:shd w:val="clear" w:color="auto" w:fill="auto"/>
            <w:noWrap/>
            <w:vAlign w:val="bottom"/>
            <w:hideMark/>
          </w:tcPr>
          <w:p w14:paraId="5447B8A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5E83ADC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7CAF176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732E84CD"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A6A994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rlc-UM-r15 (clause 4.3.2.5)</w:t>
            </w:r>
          </w:p>
        </w:tc>
        <w:tc>
          <w:tcPr>
            <w:tcW w:w="1275" w:type="dxa"/>
            <w:tcBorders>
              <w:top w:val="nil"/>
              <w:left w:val="nil"/>
              <w:bottom w:val="single" w:sz="4" w:space="0" w:color="auto"/>
              <w:right w:val="single" w:sz="4" w:space="0" w:color="auto"/>
            </w:tcBorders>
            <w:shd w:val="clear" w:color="auto" w:fill="auto"/>
            <w:noWrap/>
            <w:vAlign w:val="bottom"/>
            <w:hideMark/>
          </w:tcPr>
          <w:p w14:paraId="1687B0C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Essential </w:t>
            </w:r>
          </w:p>
        </w:tc>
        <w:tc>
          <w:tcPr>
            <w:tcW w:w="4225" w:type="dxa"/>
            <w:tcBorders>
              <w:top w:val="nil"/>
              <w:left w:val="nil"/>
              <w:bottom w:val="single" w:sz="4" w:space="0" w:color="auto"/>
              <w:right w:val="single" w:sz="4" w:space="0" w:color="auto"/>
            </w:tcBorders>
            <w:shd w:val="clear" w:color="auto" w:fill="auto"/>
            <w:vAlign w:val="bottom"/>
            <w:hideMark/>
          </w:tcPr>
          <w:p w14:paraId="6E96B18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2624F74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15ABBBEF"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A9A6E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multiTone-r13 (clause 4.3.4.55)</w:t>
            </w:r>
          </w:p>
        </w:tc>
        <w:tc>
          <w:tcPr>
            <w:tcW w:w="1275" w:type="dxa"/>
            <w:tcBorders>
              <w:top w:val="nil"/>
              <w:left w:val="nil"/>
              <w:bottom w:val="single" w:sz="4" w:space="0" w:color="auto"/>
              <w:right w:val="single" w:sz="4" w:space="0" w:color="auto"/>
            </w:tcBorders>
            <w:shd w:val="clear" w:color="auto" w:fill="auto"/>
            <w:noWrap/>
            <w:vAlign w:val="bottom"/>
            <w:hideMark/>
          </w:tcPr>
          <w:p w14:paraId="3974E4A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Essential </w:t>
            </w:r>
          </w:p>
        </w:tc>
        <w:tc>
          <w:tcPr>
            <w:tcW w:w="4225" w:type="dxa"/>
            <w:tcBorders>
              <w:top w:val="nil"/>
              <w:left w:val="nil"/>
              <w:bottom w:val="single" w:sz="4" w:space="0" w:color="auto"/>
              <w:right w:val="single" w:sz="4" w:space="0" w:color="auto"/>
            </w:tcBorders>
            <w:shd w:val="clear" w:color="auto" w:fill="auto"/>
            <w:vAlign w:val="bottom"/>
            <w:hideMark/>
          </w:tcPr>
          <w:p w14:paraId="5473BFD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7794772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67D78A49"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556C1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multiCarrier-r13 (clause 4.3.4.56)</w:t>
            </w:r>
          </w:p>
        </w:tc>
        <w:tc>
          <w:tcPr>
            <w:tcW w:w="1275" w:type="dxa"/>
            <w:tcBorders>
              <w:top w:val="nil"/>
              <w:left w:val="nil"/>
              <w:bottom w:val="single" w:sz="4" w:space="0" w:color="auto"/>
              <w:right w:val="single" w:sz="4" w:space="0" w:color="auto"/>
            </w:tcBorders>
            <w:shd w:val="clear" w:color="auto" w:fill="auto"/>
            <w:noWrap/>
            <w:vAlign w:val="bottom"/>
            <w:hideMark/>
          </w:tcPr>
          <w:p w14:paraId="00212F1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Essential </w:t>
            </w:r>
          </w:p>
        </w:tc>
        <w:tc>
          <w:tcPr>
            <w:tcW w:w="4225" w:type="dxa"/>
            <w:tcBorders>
              <w:top w:val="nil"/>
              <w:left w:val="nil"/>
              <w:bottom w:val="single" w:sz="4" w:space="0" w:color="auto"/>
              <w:right w:val="single" w:sz="4" w:space="0" w:color="auto"/>
            </w:tcBorders>
            <w:shd w:val="clear" w:color="auto" w:fill="auto"/>
            <w:vAlign w:val="bottom"/>
            <w:hideMark/>
          </w:tcPr>
          <w:p w14:paraId="141737F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59CB506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1F4FD8C9"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E0F7E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twoHARQ-Processes-r14 (clause 4.3.4.62)</w:t>
            </w:r>
          </w:p>
        </w:tc>
        <w:tc>
          <w:tcPr>
            <w:tcW w:w="1275" w:type="dxa"/>
            <w:tcBorders>
              <w:top w:val="nil"/>
              <w:left w:val="nil"/>
              <w:bottom w:val="single" w:sz="4" w:space="0" w:color="auto"/>
              <w:right w:val="single" w:sz="4" w:space="0" w:color="auto"/>
            </w:tcBorders>
            <w:shd w:val="clear" w:color="auto" w:fill="auto"/>
            <w:noWrap/>
            <w:vAlign w:val="bottom"/>
            <w:hideMark/>
          </w:tcPr>
          <w:p w14:paraId="1B93032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Essential </w:t>
            </w:r>
          </w:p>
        </w:tc>
        <w:tc>
          <w:tcPr>
            <w:tcW w:w="4225" w:type="dxa"/>
            <w:tcBorders>
              <w:top w:val="nil"/>
              <w:left w:val="nil"/>
              <w:bottom w:val="single" w:sz="4" w:space="0" w:color="auto"/>
              <w:right w:val="single" w:sz="4" w:space="0" w:color="auto"/>
            </w:tcBorders>
            <w:shd w:val="clear" w:color="auto" w:fill="auto"/>
            <w:vAlign w:val="bottom"/>
            <w:hideMark/>
          </w:tcPr>
          <w:p w14:paraId="71EDC04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48F5F89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3E41E4A0"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53C558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multiCarrier-NPRACH-r14 (clause 4.3.4.75)</w:t>
            </w:r>
          </w:p>
        </w:tc>
        <w:tc>
          <w:tcPr>
            <w:tcW w:w="1275" w:type="dxa"/>
            <w:tcBorders>
              <w:top w:val="nil"/>
              <w:left w:val="nil"/>
              <w:bottom w:val="single" w:sz="4" w:space="0" w:color="auto"/>
              <w:right w:val="single" w:sz="4" w:space="0" w:color="auto"/>
            </w:tcBorders>
            <w:shd w:val="clear" w:color="auto" w:fill="auto"/>
            <w:noWrap/>
            <w:vAlign w:val="bottom"/>
            <w:hideMark/>
          </w:tcPr>
          <w:p w14:paraId="06A948C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 due to large device density per cell</w:t>
            </w:r>
          </w:p>
        </w:tc>
        <w:tc>
          <w:tcPr>
            <w:tcW w:w="4225" w:type="dxa"/>
            <w:tcBorders>
              <w:top w:val="nil"/>
              <w:left w:val="nil"/>
              <w:bottom w:val="single" w:sz="4" w:space="0" w:color="auto"/>
              <w:right w:val="single" w:sz="4" w:space="0" w:color="auto"/>
            </w:tcBorders>
            <w:shd w:val="clear" w:color="auto" w:fill="auto"/>
            <w:vAlign w:val="bottom"/>
            <w:hideMark/>
          </w:tcPr>
          <w:p w14:paraId="275A9B8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5A0CF5E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0B6EC2BA"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0EC9BD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multiCarrierPaging-r14 (clause 4.3.4.76)</w:t>
            </w:r>
          </w:p>
        </w:tc>
        <w:tc>
          <w:tcPr>
            <w:tcW w:w="1275" w:type="dxa"/>
            <w:tcBorders>
              <w:top w:val="nil"/>
              <w:left w:val="nil"/>
              <w:bottom w:val="single" w:sz="4" w:space="0" w:color="auto"/>
              <w:right w:val="single" w:sz="4" w:space="0" w:color="auto"/>
            </w:tcBorders>
            <w:shd w:val="clear" w:color="auto" w:fill="auto"/>
            <w:noWrap/>
            <w:vAlign w:val="bottom"/>
            <w:hideMark/>
          </w:tcPr>
          <w:p w14:paraId="1022D55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 for large NTN cell and higher UE density</w:t>
            </w:r>
          </w:p>
        </w:tc>
        <w:tc>
          <w:tcPr>
            <w:tcW w:w="4225" w:type="dxa"/>
            <w:tcBorders>
              <w:top w:val="nil"/>
              <w:left w:val="nil"/>
              <w:bottom w:val="single" w:sz="4" w:space="0" w:color="auto"/>
              <w:right w:val="single" w:sz="4" w:space="0" w:color="auto"/>
            </w:tcBorders>
            <w:shd w:val="clear" w:color="auto" w:fill="auto"/>
            <w:vAlign w:val="bottom"/>
            <w:hideMark/>
          </w:tcPr>
          <w:p w14:paraId="235FC68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2C4FC61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711F42FB"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331000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interferenceRandomisation-r14 (clause 4.3.4.80)</w:t>
            </w:r>
          </w:p>
        </w:tc>
        <w:tc>
          <w:tcPr>
            <w:tcW w:w="1275" w:type="dxa"/>
            <w:tcBorders>
              <w:top w:val="nil"/>
              <w:left w:val="nil"/>
              <w:bottom w:val="single" w:sz="4" w:space="0" w:color="auto"/>
              <w:right w:val="single" w:sz="4" w:space="0" w:color="auto"/>
            </w:tcBorders>
            <w:shd w:val="clear" w:color="auto" w:fill="auto"/>
            <w:noWrap/>
            <w:vAlign w:val="bottom"/>
            <w:hideMark/>
          </w:tcPr>
          <w:p w14:paraId="79DB9D7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7934E34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p>
        </w:tc>
        <w:tc>
          <w:tcPr>
            <w:tcW w:w="1011" w:type="dxa"/>
            <w:tcBorders>
              <w:top w:val="nil"/>
              <w:left w:val="nil"/>
              <w:bottom w:val="single" w:sz="4" w:space="0" w:color="auto"/>
              <w:right w:val="single" w:sz="4" w:space="0" w:color="auto"/>
            </w:tcBorders>
            <w:shd w:val="clear" w:color="auto" w:fill="auto"/>
            <w:vAlign w:val="bottom"/>
            <w:hideMark/>
          </w:tcPr>
          <w:p w14:paraId="7CFF81B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53BB89AE" w14:textId="77777777" w:rsidTr="00EB2609">
        <w:trPr>
          <w:trHeight w:val="128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575995BD" w14:textId="34E833C6"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wakeUpSignal-r15 (clause 4.3.4.113)</w:t>
            </w:r>
          </w:p>
        </w:tc>
        <w:tc>
          <w:tcPr>
            <w:tcW w:w="1275" w:type="dxa"/>
            <w:tcBorders>
              <w:top w:val="nil"/>
              <w:left w:val="nil"/>
              <w:bottom w:val="single" w:sz="4" w:space="0" w:color="auto"/>
              <w:right w:val="single" w:sz="4" w:space="0" w:color="auto"/>
            </w:tcBorders>
            <w:shd w:val="clear" w:color="auto" w:fill="FFFF00"/>
            <w:noWrap/>
            <w:vAlign w:val="bottom"/>
            <w:hideMark/>
          </w:tcPr>
          <w:p w14:paraId="22D2458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FFFF00"/>
            <w:vAlign w:val="bottom"/>
            <w:hideMark/>
          </w:tcPr>
          <w:p w14:paraId="77C346E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Reception of WUS and the offset to Paging occasion may have some impact due to longer delay. Also Feature effectiveness considering large number of UE per cell to be analysed. </w:t>
            </w:r>
          </w:p>
        </w:tc>
        <w:tc>
          <w:tcPr>
            <w:tcW w:w="1011" w:type="dxa"/>
            <w:tcBorders>
              <w:top w:val="nil"/>
              <w:left w:val="nil"/>
              <w:bottom w:val="single" w:sz="4" w:space="0" w:color="auto"/>
              <w:right w:val="single" w:sz="4" w:space="0" w:color="auto"/>
            </w:tcBorders>
            <w:shd w:val="clear" w:color="auto" w:fill="FFFF00"/>
            <w:vAlign w:val="bottom"/>
            <w:hideMark/>
          </w:tcPr>
          <w:p w14:paraId="19830DF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Can be considered</w:t>
            </w:r>
          </w:p>
        </w:tc>
      </w:tr>
      <w:tr w:rsidR="00EF11EC" w:rsidRPr="005E58E0" w14:paraId="69209E42" w14:textId="77777777" w:rsidTr="00EB2609">
        <w:trPr>
          <w:trHeight w:val="128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5C9DC6F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wakeUpSignalMinGap-eDRX-r15 (clause 4.3.4.114)</w:t>
            </w:r>
          </w:p>
        </w:tc>
        <w:tc>
          <w:tcPr>
            <w:tcW w:w="1275" w:type="dxa"/>
            <w:tcBorders>
              <w:top w:val="nil"/>
              <w:left w:val="nil"/>
              <w:bottom w:val="single" w:sz="4" w:space="0" w:color="auto"/>
              <w:right w:val="single" w:sz="4" w:space="0" w:color="auto"/>
            </w:tcBorders>
            <w:shd w:val="clear" w:color="auto" w:fill="FFFF00"/>
            <w:noWrap/>
            <w:vAlign w:val="bottom"/>
            <w:hideMark/>
          </w:tcPr>
          <w:p w14:paraId="2BE66A5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FFFF00"/>
            <w:vAlign w:val="bottom"/>
            <w:hideMark/>
          </w:tcPr>
          <w:p w14:paraId="4189599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Reception of WUS and the offset to Paging occasion may have some impact due to longer delay. Also Feature effectiveness considering large number of UE per cell to be analysed. </w:t>
            </w:r>
          </w:p>
        </w:tc>
        <w:tc>
          <w:tcPr>
            <w:tcW w:w="1011" w:type="dxa"/>
            <w:tcBorders>
              <w:top w:val="nil"/>
              <w:left w:val="nil"/>
              <w:bottom w:val="single" w:sz="4" w:space="0" w:color="auto"/>
              <w:right w:val="single" w:sz="4" w:space="0" w:color="auto"/>
            </w:tcBorders>
            <w:shd w:val="clear" w:color="auto" w:fill="FFFF00"/>
            <w:vAlign w:val="bottom"/>
            <w:hideMark/>
          </w:tcPr>
          <w:p w14:paraId="4D3E466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Can be considered</w:t>
            </w:r>
          </w:p>
        </w:tc>
      </w:tr>
      <w:tr w:rsidR="00EF11EC" w:rsidRPr="005E58E0" w14:paraId="32B0D5AA"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36441F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mixedOperationMode-r15 (clause 4.3.4.115)</w:t>
            </w:r>
          </w:p>
        </w:tc>
        <w:tc>
          <w:tcPr>
            <w:tcW w:w="1275" w:type="dxa"/>
            <w:tcBorders>
              <w:top w:val="nil"/>
              <w:left w:val="nil"/>
              <w:bottom w:val="single" w:sz="4" w:space="0" w:color="auto"/>
              <w:right w:val="single" w:sz="4" w:space="0" w:color="auto"/>
            </w:tcBorders>
            <w:shd w:val="clear" w:color="auto" w:fill="auto"/>
            <w:noWrap/>
            <w:vAlign w:val="bottom"/>
            <w:hideMark/>
          </w:tcPr>
          <w:p w14:paraId="5842669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06674106" w14:textId="2FA81D60" w:rsidR="00EF11EC" w:rsidRPr="005E58E0" w:rsidRDefault="00FD1A20"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auto"/>
            <w:vAlign w:val="bottom"/>
            <w:hideMark/>
          </w:tcPr>
          <w:p w14:paraId="4236283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2A2FC096"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01A9E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sr-WithHARQ-ACK-r15 (clause 4.3.4.117)</w:t>
            </w:r>
          </w:p>
        </w:tc>
        <w:tc>
          <w:tcPr>
            <w:tcW w:w="1275" w:type="dxa"/>
            <w:tcBorders>
              <w:top w:val="nil"/>
              <w:left w:val="nil"/>
              <w:bottom w:val="single" w:sz="4" w:space="0" w:color="auto"/>
              <w:right w:val="single" w:sz="4" w:space="0" w:color="auto"/>
            </w:tcBorders>
            <w:shd w:val="clear" w:color="auto" w:fill="auto"/>
            <w:noWrap/>
            <w:vAlign w:val="bottom"/>
            <w:hideMark/>
          </w:tcPr>
          <w:p w14:paraId="6BDF15B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685227A3" w14:textId="26325F22" w:rsidR="00EF11EC" w:rsidRPr="005E58E0" w:rsidRDefault="00FD1A20"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auto"/>
            <w:vAlign w:val="bottom"/>
            <w:hideMark/>
          </w:tcPr>
          <w:p w14:paraId="32C77DB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17E3A3DC"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FBF6D0" w14:textId="4B171503"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sr-WithoutHARQ-ACK-r15 (clause 4.3.4.118)</w:t>
            </w:r>
          </w:p>
        </w:tc>
        <w:tc>
          <w:tcPr>
            <w:tcW w:w="1275" w:type="dxa"/>
            <w:tcBorders>
              <w:top w:val="nil"/>
              <w:left w:val="nil"/>
              <w:bottom w:val="single" w:sz="4" w:space="0" w:color="auto"/>
              <w:right w:val="single" w:sz="4" w:space="0" w:color="auto"/>
            </w:tcBorders>
            <w:shd w:val="clear" w:color="auto" w:fill="auto"/>
            <w:noWrap/>
            <w:vAlign w:val="bottom"/>
            <w:hideMark/>
          </w:tcPr>
          <w:p w14:paraId="5138458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76CF4BB0" w14:textId="284BD4F3" w:rsidR="00EF11EC" w:rsidRPr="005E58E0" w:rsidRDefault="00FD1A20"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auto"/>
            <w:vAlign w:val="bottom"/>
            <w:hideMark/>
          </w:tcPr>
          <w:p w14:paraId="0997996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w:t>
            </w:r>
          </w:p>
        </w:tc>
      </w:tr>
      <w:tr w:rsidR="00EF11EC" w:rsidRPr="005E58E0" w14:paraId="36318CAF" w14:textId="77777777" w:rsidTr="00FD1A20">
        <w:trPr>
          <w:trHeight w:val="290"/>
        </w:trPr>
        <w:tc>
          <w:tcPr>
            <w:tcW w:w="268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311FA4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nprach-Format2-r15 (clause 4.3.4.119)</w:t>
            </w:r>
          </w:p>
        </w:tc>
        <w:tc>
          <w:tcPr>
            <w:tcW w:w="1275" w:type="dxa"/>
            <w:tcBorders>
              <w:top w:val="nil"/>
              <w:left w:val="nil"/>
              <w:bottom w:val="single" w:sz="4" w:space="0" w:color="auto"/>
              <w:right w:val="single" w:sz="4" w:space="0" w:color="auto"/>
            </w:tcBorders>
            <w:shd w:val="clear" w:color="auto" w:fill="FFFFFF" w:themeFill="background1"/>
            <w:noWrap/>
            <w:vAlign w:val="bottom"/>
            <w:hideMark/>
          </w:tcPr>
          <w:p w14:paraId="33BC2B7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FFFFFF" w:themeFill="background1"/>
            <w:vAlign w:val="bottom"/>
            <w:hideMark/>
          </w:tcPr>
          <w:p w14:paraId="54DC9015" w14:textId="37CC6A5E"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sidR="00FD1A20">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FFFFFF" w:themeFill="background1"/>
            <w:vAlign w:val="bottom"/>
          </w:tcPr>
          <w:p w14:paraId="2C904847" w14:textId="2023B5A3" w:rsidR="00EF11EC" w:rsidRPr="005E58E0" w:rsidRDefault="00FD1A20" w:rsidP="00EB2609">
            <w:pPr>
              <w:spacing w:after="0"/>
              <w:rPr>
                <w:rFonts w:ascii="Calibri" w:hAnsi="Calibri" w:cs="Calibri"/>
                <w:color w:val="000000"/>
                <w:sz w:val="16"/>
                <w:szCs w:val="16"/>
                <w:lang w:eastAsia="en-IN"/>
              </w:rPr>
            </w:pPr>
            <w:r>
              <w:rPr>
                <w:rFonts w:ascii="Calibri" w:hAnsi="Calibri" w:cs="Calibri"/>
                <w:color w:val="000000"/>
                <w:sz w:val="16"/>
                <w:szCs w:val="16"/>
                <w:lang w:eastAsia="en-IN"/>
              </w:rPr>
              <w:t>Not needed for NTN</w:t>
            </w:r>
          </w:p>
        </w:tc>
      </w:tr>
      <w:tr w:rsidR="00EF11EC" w:rsidRPr="005E58E0" w14:paraId="080C3C24" w14:textId="77777777" w:rsidTr="00FD1A20">
        <w:trPr>
          <w:trHeight w:val="290"/>
        </w:trPr>
        <w:tc>
          <w:tcPr>
            <w:tcW w:w="268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5EED497" w14:textId="4F8DE503"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multiCarrierPagingTDD-r15 (clause 4.3.4.134)</w:t>
            </w:r>
          </w:p>
        </w:tc>
        <w:tc>
          <w:tcPr>
            <w:tcW w:w="1275" w:type="dxa"/>
            <w:tcBorders>
              <w:top w:val="nil"/>
              <w:left w:val="nil"/>
              <w:bottom w:val="single" w:sz="4" w:space="0" w:color="auto"/>
              <w:right w:val="single" w:sz="4" w:space="0" w:color="auto"/>
            </w:tcBorders>
            <w:shd w:val="clear" w:color="auto" w:fill="FFFFFF" w:themeFill="background1"/>
            <w:noWrap/>
            <w:vAlign w:val="bottom"/>
            <w:hideMark/>
          </w:tcPr>
          <w:p w14:paraId="565E757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FFFFFF" w:themeFill="background1"/>
            <w:vAlign w:val="bottom"/>
            <w:hideMark/>
          </w:tcPr>
          <w:p w14:paraId="00CDB43F" w14:textId="15564D02" w:rsidR="00EF11EC" w:rsidRPr="005E58E0" w:rsidRDefault="00FD1A20"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FFFFFF" w:themeFill="background1"/>
            <w:vAlign w:val="bottom"/>
          </w:tcPr>
          <w:p w14:paraId="6E889014" w14:textId="076CE967" w:rsidR="00EF11EC" w:rsidRPr="005E58E0" w:rsidRDefault="00FD1A20" w:rsidP="00EB2609">
            <w:pPr>
              <w:spacing w:after="0"/>
              <w:rPr>
                <w:rFonts w:ascii="Calibri" w:hAnsi="Calibri" w:cs="Calibri"/>
                <w:color w:val="000000"/>
                <w:sz w:val="16"/>
                <w:szCs w:val="16"/>
                <w:lang w:eastAsia="en-IN"/>
              </w:rPr>
            </w:pPr>
            <w:r>
              <w:rPr>
                <w:rFonts w:ascii="Calibri" w:hAnsi="Calibri" w:cs="Calibri"/>
                <w:color w:val="000000"/>
                <w:sz w:val="16"/>
                <w:szCs w:val="16"/>
                <w:lang w:eastAsia="en-IN"/>
              </w:rPr>
              <w:t>Not needed for NTN</w:t>
            </w:r>
          </w:p>
        </w:tc>
      </w:tr>
      <w:tr w:rsidR="00EF11EC" w:rsidRPr="005E58E0" w14:paraId="63009F6E"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6BED3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additionalTransmissionSIB1-r15 (clause 4.3.4.137)</w:t>
            </w:r>
          </w:p>
        </w:tc>
        <w:tc>
          <w:tcPr>
            <w:tcW w:w="1275" w:type="dxa"/>
            <w:tcBorders>
              <w:top w:val="nil"/>
              <w:left w:val="nil"/>
              <w:bottom w:val="single" w:sz="4" w:space="0" w:color="auto"/>
              <w:right w:val="single" w:sz="4" w:space="0" w:color="auto"/>
            </w:tcBorders>
            <w:shd w:val="clear" w:color="auto" w:fill="auto"/>
            <w:noWrap/>
            <w:vAlign w:val="bottom"/>
            <w:hideMark/>
          </w:tcPr>
          <w:p w14:paraId="3F795E4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2E21D1A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6275F9E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4B3E53D" w14:textId="77777777" w:rsidTr="00FD1A20">
        <w:trPr>
          <w:trHeight w:val="440"/>
        </w:trPr>
        <w:tc>
          <w:tcPr>
            <w:tcW w:w="268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9F1259D" w14:textId="77777777" w:rsidR="00EF11EC" w:rsidRPr="00FD1A20" w:rsidRDefault="00EF11EC" w:rsidP="00EB2609">
            <w:pPr>
              <w:spacing w:after="0"/>
              <w:rPr>
                <w:rFonts w:ascii="Calibri" w:hAnsi="Calibri" w:cs="Calibri"/>
                <w:color w:val="000000"/>
                <w:sz w:val="16"/>
                <w:szCs w:val="16"/>
                <w:lang w:eastAsia="en-IN"/>
              </w:rPr>
            </w:pPr>
            <w:r w:rsidRPr="00FD1A20">
              <w:rPr>
                <w:rFonts w:ascii="Calibri" w:hAnsi="Calibri" w:cs="Calibri"/>
                <w:color w:val="000000"/>
                <w:sz w:val="16"/>
                <w:szCs w:val="16"/>
                <w:lang w:eastAsia="en-IN"/>
              </w:rPr>
              <w:t>npusch-3dot75kHz-SCS-TDD-r15 (clause 4.3.4.177)</w:t>
            </w:r>
          </w:p>
        </w:tc>
        <w:tc>
          <w:tcPr>
            <w:tcW w:w="1275" w:type="dxa"/>
            <w:tcBorders>
              <w:top w:val="nil"/>
              <w:left w:val="nil"/>
              <w:bottom w:val="single" w:sz="4" w:space="0" w:color="auto"/>
              <w:right w:val="single" w:sz="4" w:space="0" w:color="auto"/>
            </w:tcBorders>
            <w:shd w:val="clear" w:color="auto" w:fill="FFFFFF" w:themeFill="background1"/>
            <w:noWrap/>
            <w:vAlign w:val="bottom"/>
            <w:hideMark/>
          </w:tcPr>
          <w:p w14:paraId="233CCC08" w14:textId="77777777" w:rsidR="00EF11EC" w:rsidRPr="00FD1A20" w:rsidRDefault="00EF11EC" w:rsidP="00EB2609">
            <w:pPr>
              <w:spacing w:after="0"/>
              <w:rPr>
                <w:rFonts w:ascii="Calibri" w:hAnsi="Calibri" w:cs="Calibri"/>
                <w:color w:val="000000"/>
                <w:sz w:val="16"/>
                <w:szCs w:val="16"/>
                <w:lang w:eastAsia="en-IN"/>
              </w:rPr>
            </w:pPr>
            <w:r w:rsidRPr="00FD1A2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FFFFFF" w:themeFill="background1"/>
            <w:vAlign w:val="bottom"/>
            <w:hideMark/>
          </w:tcPr>
          <w:p w14:paraId="6E6C1A22" w14:textId="472FA284" w:rsidR="00EF11EC" w:rsidRPr="00FD1A20" w:rsidRDefault="00FD1A20"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 NTN specific impacts</w:t>
            </w:r>
            <w:r>
              <w:rPr>
                <w:rFonts w:ascii="Calibri" w:hAnsi="Calibri" w:cs="Calibri"/>
                <w:color w:val="000000"/>
                <w:sz w:val="16"/>
                <w:szCs w:val="16"/>
                <w:lang w:eastAsia="en-IN"/>
              </w:rPr>
              <w:t>. No TDD spectrum in NTN band</w:t>
            </w:r>
          </w:p>
        </w:tc>
        <w:tc>
          <w:tcPr>
            <w:tcW w:w="1011" w:type="dxa"/>
            <w:tcBorders>
              <w:top w:val="nil"/>
              <w:left w:val="nil"/>
              <w:bottom w:val="single" w:sz="4" w:space="0" w:color="auto"/>
              <w:right w:val="single" w:sz="4" w:space="0" w:color="auto"/>
            </w:tcBorders>
            <w:shd w:val="clear" w:color="auto" w:fill="FFFFFF" w:themeFill="background1"/>
            <w:vAlign w:val="bottom"/>
            <w:hideMark/>
          </w:tcPr>
          <w:p w14:paraId="44337247" w14:textId="01FC7DEE" w:rsidR="00EF11EC" w:rsidRPr="00FD1A20" w:rsidRDefault="00FD1A20" w:rsidP="00EB2609">
            <w:pPr>
              <w:spacing w:after="0"/>
              <w:rPr>
                <w:rFonts w:ascii="Calibri" w:hAnsi="Calibri" w:cs="Calibri"/>
                <w:color w:val="000000"/>
                <w:sz w:val="16"/>
                <w:szCs w:val="16"/>
                <w:lang w:eastAsia="en-IN"/>
              </w:rPr>
            </w:pPr>
            <w:r>
              <w:rPr>
                <w:rFonts w:ascii="Calibri" w:hAnsi="Calibri" w:cs="Calibri"/>
                <w:color w:val="000000"/>
                <w:sz w:val="16"/>
                <w:szCs w:val="16"/>
                <w:lang w:eastAsia="en-IN"/>
              </w:rPr>
              <w:t>Not needed for NTN</w:t>
            </w:r>
          </w:p>
        </w:tc>
      </w:tr>
      <w:tr w:rsidR="00EF11EC" w:rsidRPr="005E58E0" w14:paraId="5B5800F9"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6E07A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npusch-MultiTB-r16 (clause 4.3.4.182)</w:t>
            </w:r>
          </w:p>
        </w:tc>
        <w:tc>
          <w:tcPr>
            <w:tcW w:w="1275" w:type="dxa"/>
            <w:tcBorders>
              <w:top w:val="nil"/>
              <w:left w:val="nil"/>
              <w:bottom w:val="single" w:sz="4" w:space="0" w:color="auto"/>
              <w:right w:val="single" w:sz="4" w:space="0" w:color="auto"/>
            </w:tcBorders>
            <w:shd w:val="clear" w:color="auto" w:fill="auto"/>
            <w:noWrap/>
            <w:vAlign w:val="bottom"/>
            <w:hideMark/>
          </w:tcPr>
          <w:p w14:paraId="0C28C89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13A34B4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Considering long HARQ related delay multi-TB will improve the overall throughput /delay performance</w:t>
            </w:r>
          </w:p>
        </w:tc>
        <w:tc>
          <w:tcPr>
            <w:tcW w:w="1011" w:type="dxa"/>
            <w:tcBorders>
              <w:top w:val="nil"/>
              <w:left w:val="nil"/>
              <w:bottom w:val="single" w:sz="4" w:space="0" w:color="auto"/>
              <w:right w:val="single" w:sz="4" w:space="0" w:color="auto"/>
            </w:tcBorders>
            <w:shd w:val="clear" w:color="auto" w:fill="auto"/>
            <w:vAlign w:val="bottom"/>
            <w:hideMark/>
          </w:tcPr>
          <w:p w14:paraId="7A8BAC2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C52A0D4"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2A424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npdsch-MultiTB-r16 (clause 4.3.4.183)</w:t>
            </w:r>
          </w:p>
        </w:tc>
        <w:tc>
          <w:tcPr>
            <w:tcW w:w="1275" w:type="dxa"/>
            <w:tcBorders>
              <w:top w:val="nil"/>
              <w:left w:val="nil"/>
              <w:bottom w:val="single" w:sz="4" w:space="0" w:color="auto"/>
              <w:right w:val="single" w:sz="4" w:space="0" w:color="auto"/>
            </w:tcBorders>
            <w:shd w:val="clear" w:color="auto" w:fill="auto"/>
            <w:noWrap/>
            <w:vAlign w:val="bottom"/>
            <w:hideMark/>
          </w:tcPr>
          <w:p w14:paraId="223D4DE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24E23B8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Considering long HARQ related delay multi-TB will improve the overall throughput /delay performance</w:t>
            </w:r>
          </w:p>
        </w:tc>
        <w:tc>
          <w:tcPr>
            <w:tcW w:w="1011" w:type="dxa"/>
            <w:tcBorders>
              <w:top w:val="nil"/>
              <w:left w:val="nil"/>
              <w:bottom w:val="single" w:sz="4" w:space="0" w:color="auto"/>
              <w:right w:val="single" w:sz="4" w:space="0" w:color="auto"/>
            </w:tcBorders>
            <w:shd w:val="clear" w:color="auto" w:fill="auto"/>
            <w:vAlign w:val="bottom"/>
            <w:hideMark/>
          </w:tcPr>
          <w:p w14:paraId="1613AFF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6D5B3EC"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8F08F6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lastRenderedPageBreak/>
              <w:t>npusch-MultiTB-Interleaving-r16 (clause 4.3.4.192)</w:t>
            </w:r>
          </w:p>
        </w:tc>
        <w:tc>
          <w:tcPr>
            <w:tcW w:w="1275" w:type="dxa"/>
            <w:tcBorders>
              <w:top w:val="nil"/>
              <w:left w:val="nil"/>
              <w:bottom w:val="single" w:sz="4" w:space="0" w:color="auto"/>
              <w:right w:val="single" w:sz="4" w:space="0" w:color="auto"/>
            </w:tcBorders>
            <w:shd w:val="clear" w:color="auto" w:fill="auto"/>
            <w:noWrap/>
            <w:vAlign w:val="bottom"/>
            <w:hideMark/>
          </w:tcPr>
          <w:p w14:paraId="1FBB1B1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680B410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Considering long HARQ related delay multi-TB will improve the overall throughput /delay performance</w:t>
            </w:r>
          </w:p>
        </w:tc>
        <w:tc>
          <w:tcPr>
            <w:tcW w:w="1011" w:type="dxa"/>
            <w:tcBorders>
              <w:top w:val="nil"/>
              <w:left w:val="nil"/>
              <w:bottom w:val="single" w:sz="4" w:space="0" w:color="auto"/>
              <w:right w:val="single" w:sz="4" w:space="0" w:color="auto"/>
            </w:tcBorders>
            <w:shd w:val="clear" w:color="auto" w:fill="auto"/>
            <w:vAlign w:val="bottom"/>
            <w:hideMark/>
          </w:tcPr>
          <w:p w14:paraId="12CABD8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7D29F4AC"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6409F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npdsch-MultiTB-Interleaving-r16 (clause 4.3.4.193)</w:t>
            </w:r>
          </w:p>
        </w:tc>
        <w:tc>
          <w:tcPr>
            <w:tcW w:w="1275" w:type="dxa"/>
            <w:tcBorders>
              <w:top w:val="nil"/>
              <w:left w:val="nil"/>
              <w:bottom w:val="single" w:sz="4" w:space="0" w:color="auto"/>
              <w:right w:val="single" w:sz="4" w:space="0" w:color="auto"/>
            </w:tcBorders>
            <w:shd w:val="clear" w:color="auto" w:fill="auto"/>
            <w:noWrap/>
            <w:vAlign w:val="bottom"/>
            <w:hideMark/>
          </w:tcPr>
          <w:p w14:paraId="4BDF79D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5752D60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Considering long HARQ related delay multi-TB will improve the overall throughput /delay performance</w:t>
            </w:r>
          </w:p>
        </w:tc>
        <w:tc>
          <w:tcPr>
            <w:tcW w:w="1011" w:type="dxa"/>
            <w:tcBorders>
              <w:top w:val="nil"/>
              <w:left w:val="nil"/>
              <w:bottom w:val="single" w:sz="4" w:space="0" w:color="auto"/>
              <w:right w:val="single" w:sz="4" w:space="0" w:color="auto"/>
            </w:tcBorders>
            <w:shd w:val="clear" w:color="auto" w:fill="auto"/>
            <w:vAlign w:val="bottom"/>
            <w:hideMark/>
          </w:tcPr>
          <w:p w14:paraId="1FEA5E2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7C0E8BB7"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D9C5EC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multiTB-HARQ-AckBundling-r16 (clause 4.3.4.194)</w:t>
            </w:r>
          </w:p>
        </w:tc>
        <w:tc>
          <w:tcPr>
            <w:tcW w:w="1275" w:type="dxa"/>
            <w:tcBorders>
              <w:top w:val="nil"/>
              <w:left w:val="nil"/>
              <w:bottom w:val="single" w:sz="4" w:space="0" w:color="auto"/>
              <w:right w:val="single" w:sz="4" w:space="0" w:color="auto"/>
            </w:tcBorders>
            <w:shd w:val="clear" w:color="auto" w:fill="auto"/>
            <w:noWrap/>
            <w:vAlign w:val="bottom"/>
            <w:hideMark/>
          </w:tcPr>
          <w:p w14:paraId="02ECA82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4BFC7C7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Considering long HARQ related delay multi-TB will improve the overall throughput /delay performance</w:t>
            </w:r>
          </w:p>
        </w:tc>
        <w:tc>
          <w:tcPr>
            <w:tcW w:w="1011" w:type="dxa"/>
            <w:tcBorders>
              <w:top w:val="nil"/>
              <w:left w:val="nil"/>
              <w:bottom w:val="single" w:sz="4" w:space="0" w:color="auto"/>
              <w:right w:val="single" w:sz="4" w:space="0" w:color="auto"/>
            </w:tcBorders>
            <w:shd w:val="clear" w:color="auto" w:fill="auto"/>
            <w:vAlign w:val="bottom"/>
            <w:hideMark/>
          </w:tcPr>
          <w:p w14:paraId="303F00C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501DC9B5" w14:textId="77777777" w:rsidTr="00E5395B">
        <w:trPr>
          <w:trHeight w:val="128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5512E41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groupWakeUpSignal-r16 (clause 4.3.4.195)</w:t>
            </w:r>
          </w:p>
        </w:tc>
        <w:tc>
          <w:tcPr>
            <w:tcW w:w="1275" w:type="dxa"/>
            <w:tcBorders>
              <w:top w:val="nil"/>
              <w:left w:val="nil"/>
              <w:bottom w:val="single" w:sz="4" w:space="0" w:color="auto"/>
              <w:right w:val="single" w:sz="4" w:space="0" w:color="auto"/>
            </w:tcBorders>
            <w:shd w:val="clear" w:color="auto" w:fill="FFFF00"/>
            <w:noWrap/>
            <w:vAlign w:val="bottom"/>
            <w:hideMark/>
          </w:tcPr>
          <w:p w14:paraId="50C6177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FFFF00"/>
            <w:vAlign w:val="bottom"/>
            <w:hideMark/>
          </w:tcPr>
          <w:p w14:paraId="5A7EC50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Reception of WUS and the offset to Paging occasion may have some impact due to longer delay. Also Feature effectiveness considering large number of UE per cell to be analysed. </w:t>
            </w:r>
          </w:p>
        </w:tc>
        <w:tc>
          <w:tcPr>
            <w:tcW w:w="1011" w:type="dxa"/>
            <w:tcBorders>
              <w:top w:val="nil"/>
              <w:left w:val="nil"/>
              <w:bottom w:val="single" w:sz="4" w:space="0" w:color="auto"/>
              <w:right w:val="single" w:sz="4" w:space="0" w:color="auto"/>
            </w:tcBorders>
            <w:shd w:val="clear" w:color="auto" w:fill="FFFF00"/>
            <w:vAlign w:val="bottom"/>
            <w:hideMark/>
          </w:tcPr>
          <w:p w14:paraId="4C5ABD5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Can be considered</w:t>
            </w:r>
          </w:p>
        </w:tc>
      </w:tr>
      <w:tr w:rsidR="00EF11EC" w:rsidRPr="005E58E0" w14:paraId="5A1270B4" w14:textId="77777777" w:rsidTr="00E5395B">
        <w:trPr>
          <w:trHeight w:val="128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21CFF33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groupWakeUpSignalAlternation-r16 (clause 4.3.4.196)</w:t>
            </w:r>
          </w:p>
        </w:tc>
        <w:tc>
          <w:tcPr>
            <w:tcW w:w="1275" w:type="dxa"/>
            <w:tcBorders>
              <w:top w:val="nil"/>
              <w:left w:val="nil"/>
              <w:bottom w:val="single" w:sz="4" w:space="0" w:color="auto"/>
              <w:right w:val="single" w:sz="4" w:space="0" w:color="auto"/>
            </w:tcBorders>
            <w:shd w:val="clear" w:color="auto" w:fill="FFFF00"/>
            <w:noWrap/>
            <w:vAlign w:val="bottom"/>
            <w:hideMark/>
          </w:tcPr>
          <w:p w14:paraId="41B1F28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FFFF00"/>
            <w:vAlign w:val="bottom"/>
            <w:hideMark/>
          </w:tcPr>
          <w:p w14:paraId="62B2CAD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Reception of WUS and the offset to Paging occasion may have some impact due to longer delay. Also Feature effectiveness considering large number of UE per cell to be analysed. </w:t>
            </w:r>
          </w:p>
        </w:tc>
        <w:tc>
          <w:tcPr>
            <w:tcW w:w="1011" w:type="dxa"/>
            <w:tcBorders>
              <w:top w:val="nil"/>
              <w:left w:val="nil"/>
              <w:bottom w:val="single" w:sz="4" w:space="0" w:color="auto"/>
              <w:right w:val="single" w:sz="4" w:space="0" w:color="auto"/>
            </w:tcBorders>
            <w:shd w:val="clear" w:color="auto" w:fill="FFFF00"/>
            <w:vAlign w:val="bottom"/>
            <w:hideMark/>
          </w:tcPr>
          <w:p w14:paraId="001C55C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Can be considered</w:t>
            </w:r>
          </w:p>
        </w:tc>
      </w:tr>
      <w:tr w:rsidR="00EF11EC" w:rsidRPr="005E58E0" w14:paraId="191AA391" w14:textId="77777777" w:rsidTr="00EB2609">
        <w:trPr>
          <w:trHeight w:val="44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07A8DF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subframeResourceResvUL-r16 (clause 4.3.4.197)</w:t>
            </w:r>
          </w:p>
        </w:tc>
        <w:tc>
          <w:tcPr>
            <w:tcW w:w="1275" w:type="dxa"/>
            <w:tcBorders>
              <w:top w:val="nil"/>
              <w:left w:val="nil"/>
              <w:bottom w:val="single" w:sz="4" w:space="0" w:color="auto"/>
              <w:right w:val="single" w:sz="4" w:space="0" w:color="auto"/>
            </w:tcBorders>
            <w:shd w:val="clear" w:color="auto" w:fill="auto"/>
            <w:noWrap/>
            <w:vAlign w:val="bottom"/>
            <w:hideMark/>
          </w:tcPr>
          <w:p w14:paraId="48A45BF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646A32B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The functionality does not have impact due to NTN connectivity</w:t>
            </w:r>
          </w:p>
        </w:tc>
        <w:tc>
          <w:tcPr>
            <w:tcW w:w="1011" w:type="dxa"/>
            <w:tcBorders>
              <w:top w:val="nil"/>
              <w:left w:val="nil"/>
              <w:bottom w:val="single" w:sz="4" w:space="0" w:color="auto"/>
              <w:right w:val="single" w:sz="4" w:space="0" w:color="auto"/>
            </w:tcBorders>
            <w:shd w:val="clear" w:color="auto" w:fill="auto"/>
            <w:vAlign w:val="bottom"/>
            <w:hideMark/>
          </w:tcPr>
          <w:p w14:paraId="59291BC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781801A6" w14:textId="77777777" w:rsidTr="00EB2609">
        <w:trPr>
          <w:trHeight w:val="44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E01AD1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subframeResourceResvDL-r16 (clause 4.3.4.198)</w:t>
            </w:r>
          </w:p>
        </w:tc>
        <w:tc>
          <w:tcPr>
            <w:tcW w:w="1275" w:type="dxa"/>
            <w:tcBorders>
              <w:top w:val="nil"/>
              <w:left w:val="nil"/>
              <w:bottom w:val="single" w:sz="4" w:space="0" w:color="auto"/>
              <w:right w:val="single" w:sz="4" w:space="0" w:color="auto"/>
            </w:tcBorders>
            <w:shd w:val="clear" w:color="auto" w:fill="auto"/>
            <w:noWrap/>
            <w:vAlign w:val="bottom"/>
            <w:hideMark/>
          </w:tcPr>
          <w:p w14:paraId="115A4D2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504DDBE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The functionality does not have impact due to NTN connectivity</w:t>
            </w:r>
          </w:p>
        </w:tc>
        <w:tc>
          <w:tcPr>
            <w:tcW w:w="1011" w:type="dxa"/>
            <w:tcBorders>
              <w:top w:val="nil"/>
              <w:left w:val="nil"/>
              <w:bottom w:val="single" w:sz="4" w:space="0" w:color="auto"/>
              <w:right w:val="single" w:sz="4" w:space="0" w:color="auto"/>
            </w:tcBorders>
            <w:shd w:val="clear" w:color="auto" w:fill="auto"/>
            <w:vAlign w:val="bottom"/>
            <w:hideMark/>
          </w:tcPr>
          <w:p w14:paraId="55FA22D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1CEACB1D" w14:textId="77777777" w:rsidTr="00EB2609">
        <w:trPr>
          <w:trHeight w:val="44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C04323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slotSymbolResourceResvUL-r16 (clause 4.3.4.199)</w:t>
            </w:r>
          </w:p>
        </w:tc>
        <w:tc>
          <w:tcPr>
            <w:tcW w:w="1275" w:type="dxa"/>
            <w:tcBorders>
              <w:top w:val="nil"/>
              <w:left w:val="nil"/>
              <w:bottom w:val="single" w:sz="4" w:space="0" w:color="auto"/>
              <w:right w:val="single" w:sz="4" w:space="0" w:color="auto"/>
            </w:tcBorders>
            <w:shd w:val="clear" w:color="auto" w:fill="auto"/>
            <w:noWrap/>
            <w:vAlign w:val="bottom"/>
            <w:hideMark/>
          </w:tcPr>
          <w:p w14:paraId="5806696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09075C7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The functionality does not have impact due to NTN connectivity</w:t>
            </w:r>
          </w:p>
        </w:tc>
        <w:tc>
          <w:tcPr>
            <w:tcW w:w="1011" w:type="dxa"/>
            <w:tcBorders>
              <w:top w:val="nil"/>
              <w:left w:val="nil"/>
              <w:bottom w:val="single" w:sz="4" w:space="0" w:color="auto"/>
              <w:right w:val="single" w:sz="4" w:space="0" w:color="auto"/>
            </w:tcBorders>
            <w:shd w:val="clear" w:color="auto" w:fill="auto"/>
            <w:vAlign w:val="bottom"/>
            <w:hideMark/>
          </w:tcPr>
          <w:p w14:paraId="7A72B08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3EB5A505" w14:textId="77777777" w:rsidTr="00EB2609">
        <w:trPr>
          <w:trHeight w:val="44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7EE77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slotSymbolResourceResvDL-r16 (clause 4.3.4.200)</w:t>
            </w:r>
          </w:p>
        </w:tc>
        <w:tc>
          <w:tcPr>
            <w:tcW w:w="1275" w:type="dxa"/>
            <w:tcBorders>
              <w:top w:val="nil"/>
              <w:left w:val="nil"/>
              <w:bottom w:val="single" w:sz="4" w:space="0" w:color="auto"/>
              <w:right w:val="single" w:sz="4" w:space="0" w:color="auto"/>
            </w:tcBorders>
            <w:shd w:val="clear" w:color="auto" w:fill="auto"/>
            <w:noWrap/>
            <w:vAlign w:val="bottom"/>
            <w:hideMark/>
          </w:tcPr>
          <w:p w14:paraId="7D83529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320557D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The functionality does not have impact due to NTN connectivity</w:t>
            </w:r>
          </w:p>
        </w:tc>
        <w:tc>
          <w:tcPr>
            <w:tcW w:w="1011" w:type="dxa"/>
            <w:tcBorders>
              <w:top w:val="nil"/>
              <w:left w:val="nil"/>
              <w:bottom w:val="single" w:sz="4" w:space="0" w:color="auto"/>
              <w:right w:val="single" w:sz="4" w:space="0" w:color="auto"/>
            </w:tcBorders>
            <w:shd w:val="clear" w:color="auto" w:fill="auto"/>
            <w:vAlign w:val="bottom"/>
            <w:hideMark/>
          </w:tcPr>
          <w:p w14:paraId="1207578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4469DBCC"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988758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supportedBandList-r13 (clause 4.3.5.1A)</w:t>
            </w:r>
          </w:p>
        </w:tc>
        <w:tc>
          <w:tcPr>
            <w:tcW w:w="1275" w:type="dxa"/>
            <w:tcBorders>
              <w:top w:val="nil"/>
              <w:left w:val="nil"/>
              <w:bottom w:val="single" w:sz="4" w:space="0" w:color="auto"/>
              <w:right w:val="single" w:sz="4" w:space="0" w:color="auto"/>
            </w:tcBorders>
            <w:shd w:val="clear" w:color="auto" w:fill="auto"/>
            <w:noWrap/>
            <w:vAlign w:val="bottom"/>
            <w:hideMark/>
          </w:tcPr>
          <w:p w14:paraId="6311852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322ECD9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4892D7B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53368AA4"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C21FEE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multiNS-Pmax-r13 (clause 4.3.5.16A)</w:t>
            </w:r>
          </w:p>
        </w:tc>
        <w:tc>
          <w:tcPr>
            <w:tcW w:w="1275" w:type="dxa"/>
            <w:tcBorders>
              <w:top w:val="nil"/>
              <w:left w:val="nil"/>
              <w:bottom w:val="single" w:sz="4" w:space="0" w:color="auto"/>
              <w:right w:val="single" w:sz="4" w:space="0" w:color="auto"/>
            </w:tcBorders>
            <w:shd w:val="clear" w:color="auto" w:fill="auto"/>
            <w:noWrap/>
            <w:vAlign w:val="bottom"/>
            <w:hideMark/>
          </w:tcPr>
          <w:p w14:paraId="2F3D671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61A8E8D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27FA951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4A754E4E"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E71960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powerClassNB-20dBm-r13 (clause 4.3.5.1A.1)</w:t>
            </w:r>
          </w:p>
        </w:tc>
        <w:tc>
          <w:tcPr>
            <w:tcW w:w="1275" w:type="dxa"/>
            <w:tcBorders>
              <w:top w:val="nil"/>
              <w:left w:val="nil"/>
              <w:bottom w:val="single" w:sz="4" w:space="0" w:color="auto"/>
              <w:right w:val="single" w:sz="4" w:space="0" w:color="auto"/>
            </w:tcBorders>
            <w:shd w:val="clear" w:color="auto" w:fill="auto"/>
            <w:noWrap/>
            <w:vAlign w:val="bottom"/>
            <w:hideMark/>
          </w:tcPr>
          <w:p w14:paraId="1694C22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63E98D6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11E2F24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7F3F879A"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49EF3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powerClassNB-14dBm-r14 (clause 4.3.5.1A.2)</w:t>
            </w:r>
          </w:p>
        </w:tc>
        <w:tc>
          <w:tcPr>
            <w:tcW w:w="1275" w:type="dxa"/>
            <w:tcBorders>
              <w:top w:val="nil"/>
              <w:left w:val="nil"/>
              <w:bottom w:val="single" w:sz="4" w:space="0" w:color="auto"/>
              <w:right w:val="single" w:sz="4" w:space="0" w:color="auto"/>
            </w:tcBorders>
            <w:shd w:val="clear" w:color="auto" w:fill="auto"/>
            <w:noWrap/>
            <w:vAlign w:val="bottom"/>
            <w:hideMark/>
          </w:tcPr>
          <w:p w14:paraId="5C6BB60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2B32ED3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5BC3BD3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6FDA5E68"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4212D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dl-ChannelQualityReporting-r16 (clause 4.3.6.37)</w:t>
            </w:r>
          </w:p>
        </w:tc>
        <w:tc>
          <w:tcPr>
            <w:tcW w:w="1275" w:type="dxa"/>
            <w:tcBorders>
              <w:top w:val="nil"/>
              <w:left w:val="nil"/>
              <w:bottom w:val="single" w:sz="4" w:space="0" w:color="auto"/>
              <w:right w:val="single" w:sz="4" w:space="0" w:color="auto"/>
            </w:tcBorders>
            <w:shd w:val="clear" w:color="auto" w:fill="auto"/>
            <w:noWrap/>
            <w:vAlign w:val="bottom"/>
            <w:hideMark/>
          </w:tcPr>
          <w:p w14:paraId="58DA5BC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4BFF198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14828FF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13E25244"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64ADE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accessStratumRelease-r13 (clause 4.3.8.1A)</w:t>
            </w:r>
          </w:p>
        </w:tc>
        <w:tc>
          <w:tcPr>
            <w:tcW w:w="1275" w:type="dxa"/>
            <w:tcBorders>
              <w:top w:val="nil"/>
              <w:left w:val="nil"/>
              <w:bottom w:val="single" w:sz="4" w:space="0" w:color="auto"/>
              <w:right w:val="single" w:sz="4" w:space="0" w:color="auto"/>
            </w:tcBorders>
            <w:shd w:val="clear" w:color="auto" w:fill="auto"/>
            <w:noWrap/>
            <w:vAlign w:val="bottom"/>
            <w:hideMark/>
          </w:tcPr>
          <w:p w14:paraId="5C701C9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54064E2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10F14B4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63F4EEE"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7AC24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multipleDRB-r13 (clause 4.3.8.5)</w:t>
            </w:r>
          </w:p>
        </w:tc>
        <w:tc>
          <w:tcPr>
            <w:tcW w:w="1275" w:type="dxa"/>
            <w:tcBorders>
              <w:top w:val="nil"/>
              <w:left w:val="nil"/>
              <w:bottom w:val="single" w:sz="4" w:space="0" w:color="auto"/>
              <w:right w:val="single" w:sz="4" w:space="0" w:color="auto"/>
            </w:tcBorders>
            <w:shd w:val="clear" w:color="auto" w:fill="auto"/>
            <w:noWrap/>
            <w:vAlign w:val="bottom"/>
            <w:hideMark/>
          </w:tcPr>
          <w:p w14:paraId="3C7B49B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60C81FD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787A489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0C7D1A3"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C3A8F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earlyData-UP-r15 (clause 4.3.8.7)</w:t>
            </w:r>
          </w:p>
        </w:tc>
        <w:tc>
          <w:tcPr>
            <w:tcW w:w="1275" w:type="dxa"/>
            <w:tcBorders>
              <w:top w:val="nil"/>
              <w:left w:val="nil"/>
              <w:bottom w:val="single" w:sz="4" w:space="0" w:color="auto"/>
              <w:right w:val="single" w:sz="4" w:space="0" w:color="auto"/>
            </w:tcBorders>
            <w:shd w:val="clear" w:color="auto" w:fill="auto"/>
            <w:noWrap/>
            <w:vAlign w:val="bottom"/>
            <w:hideMark/>
          </w:tcPr>
          <w:p w14:paraId="7E3722B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Essential</w:t>
            </w:r>
          </w:p>
        </w:tc>
        <w:tc>
          <w:tcPr>
            <w:tcW w:w="4225" w:type="dxa"/>
            <w:tcBorders>
              <w:top w:val="nil"/>
              <w:left w:val="nil"/>
              <w:bottom w:val="single" w:sz="4" w:space="0" w:color="auto"/>
              <w:right w:val="single" w:sz="4" w:space="0" w:color="auto"/>
            </w:tcBorders>
            <w:shd w:val="clear" w:color="auto" w:fill="auto"/>
            <w:vAlign w:val="bottom"/>
            <w:hideMark/>
          </w:tcPr>
          <w:p w14:paraId="243CA04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44DD81C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37C651D3"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CC20BB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earlySecurityReactivation-r16 (clause 4.3.8.11)</w:t>
            </w:r>
          </w:p>
        </w:tc>
        <w:tc>
          <w:tcPr>
            <w:tcW w:w="1275" w:type="dxa"/>
            <w:tcBorders>
              <w:top w:val="nil"/>
              <w:left w:val="nil"/>
              <w:bottom w:val="single" w:sz="4" w:space="0" w:color="auto"/>
              <w:right w:val="single" w:sz="4" w:space="0" w:color="auto"/>
            </w:tcBorders>
            <w:shd w:val="clear" w:color="auto" w:fill="auto"/>
            <w:noWrap/>
            <w:vAlign w:val="bottom"/>
            <w:hideMark/>
          </w:tcPr>
          <w:p w14:paraId="0B49545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1735443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7185DEE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0CDFCA7F"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4E3DE98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anr-Report-r16 (clause 4.3.12.2)</w:t>
            </w:r>
          </w:p>
        </w:tc>
        <w:tc>
          <w:tcPr>
            <w:tcW w:w="1275" w:type="dxa"/>
            <w:tcBorders>
              <w:top w:val="nil"/>
              <w:left w:val="nil"/>
              <w:bottom w:val="single" w:sz="4" w:space="0" w:color="auto"/>
              <w:right w:val="single" w:sz="4" w:space="0" w:color="auto"/>
            </w:tcBorders>
            <w:shd w:val="clear" w:color="auto" w:fill="FFFF00"/>
            <w:noWrap/>
            <w:vAlign w:val="bottom"/>
            <w:hideMark/>
          </w:tcPr>
          <w:p w14:paraId="38351D7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FFFF00"/>
            <w:vAlign w:val="bottom"/>
            <w:hideMark/>
          </w:tcPr>
          <w:p w14:paraId="68B818E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May require some changes to ANR aspects considering NTN deployments.</w:t>
            </w:r>
          </w:p>
        </w:tc>
        <w:tc>
          <w:tcPr>
            <w:tcW w:w="1011" w:type="dxa"/>
            <w:tcBorders>
              <w:top w:val="nil"/>
              <w:left w:val="nil"/>
              <w:bottom w:val="single" w:sz="4" w:space="0" w:color="auto"/>
              <w:right w:val="single" w:sz="4" w:space="0" w:color="auto"/>
            </w:tcBorders>
            <w:shd w:val="clear" w:color="auto" w:fill="FFFF00"/>
            <w:vAlign w:val="bottom"/>
            <w:hideMark/>
          </w:tcPr>
          <w:p w14:paraId="79A0120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r>
              <w:rPr>
                <w:rFonts w:ascii="Calibri" w:hAnsi="Calibri" w:cs="Calibri"/>
                <w:color w:val="000000"/>
                <w:sz w:val="16"/>
                <w:szCs w:val="16"/>
                <w:lang w:eastAsia="en-IN"/>
              </w:rPr>
              <w:t>Can be considered</w:t>
            </w:r>
          </w:p>
        </w:tc>
      </w:tr>
      <w:tr w:rsidR="00EF11EC" w:rsidRPr="005E58E0" w14:paraId="44AA1369"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0680FA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rach-Report-r16 (clause 4.3.12.3)</w:t>
            </w:r>
          </w:p>
        </w:tc>
        <w:tc>
          <w:tcPr>
            <w:tcW w:w="1275" w:type="dxa"/>
            <w:tcBorders>
              <w:top w:val="nil"/>
              <w:left w:val="nil"/>
              <w:bottom w:val="single" w:sz="4" w:space="0" w:color="auto"/>
              <w:right w:val="single" w:sz="4" w:space="0" w:color="auto"/>
            </w:tcBorders>
            <w:shd w:val="clear" w:color="auto" w:fill="auto"/>
            <w:noWrap/>
            <w:vAlign w:val="bottom"/>
            <w:hideMark/>
          </w:tcPr>
          <w:p w14:paraId="332E39C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0F6AC67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0E4D405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64E68F90"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BB779C3" w14:textId="77777777" w:rsidR="00EF11EC" w:rsidRPr="005E58E0" w:rsidRDefault="00EF11EC" w:rsidP="00EB2609">
            <w:pPr>
              <w:spacing w:after="0"/>
              <w:rPr>
                <w:rFonts w:ascii="Calibri" w:hAnsi="Calibri" w:cs="Calibri"/>
                <w:color w:val="000000"/>
                <w:sz w:val="16"/>
                <w:szCs w:val="16"/>
                <w:lang w:eastAsia="en-IN"/>
              </w:rPr>
            </w:pPr>
            <w:proofErr w:type="spellStart"/>
            <w:r w:rsidRPr="005E58E0">
              <w:rPr>
                <w:rFonts w:ascii="Calibri" w:hAnsi="Calibri" w:cs="Calibri"/>
                <w:color w:val="000000"/>
                <w:sz w:val="16"/>
                <w:szCs w:val="16"/>
                <w:lang w:eastAsia="en-IN"/>
              </w:rPr>
              <w:t>logicalChannelSR-ProhibitTimer</w:t>
            </w:r>
            <w:proofErr w:type="spellEnd"/>
            <w:r w:rsidRPr="005E58E0">
              <w:rPr>
                <w:rFonts w:ascii="Calibri" w:hAnsi="Calibri" w:cs="Calibri"/>
                <w:color w:val="000000"/>
                <w:sz w:val="16"/>
                <w:szCs w:val="16"/>
                <w:lang w:eastAsia="en-IN"/>
              </w:rPr>
              <w:t xml:space="preserve"> (clause 4.3.19.2)</w:t>
            </w:r>
          </w:p>
        </w:tc>
        <w:tc>
          <w:tcPr>
            <w:tcW w:w="1275" w:type="dxa"/>
            <w:tcBorders>
              <w:top w:val="nil"/>
              <w:left w:val="nil"/>
              <w:bottom w:val="single" w:sz="4" w:space="0" w:color="auto"/>
              <w:right w:val="single" w:sz="4" w:space="0" w:color="auto"/>
            </w:tcBorders>
            <w:shd w:val="clear" w:color="auto" w:fill="auto"/>
            <w:noWrap/>
            <w:vAlign w:val="bottom"/>
            <w:hideMark/>
          </w:tcPr>
          <w:p w14:paraId="58C706C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665BF16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704A13CD"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27617737"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1E7D5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dataInactMon-r14 (clause 4.3.19.9)</w:t>
            </w:r>
          </w:p>
        </w:tc>
        <w:tc>
          <w:tcPr>
            <w:tcW w:w="1275" w:type="dxa"/>
            <w:tcBorders>
              <w:top w:val="nil"/>
              <w:left w:val="nil"/>
              <w:bottom w:val="single" w:sz="4" w:space="0" w:color="auto"/>
              <w:right w:val="single" w:sz="4" w:space="0" w:color="auto"/>
            </w:tcBorders>
            <w:shd w:val="clear" w:color="auto" w:fill="auto"/>
            <w:noWrap/>
            <w:vAlign w:val="bottom"/>
            <w:hideMark/>
          </w:tcPr>
          <w:p w14:paraId="38BAB63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4225" w:type="dxa"/>
            <w:tcBorders>
              <w:top w:val="nil"/>
              <w:left w:val="nil"/>
              <w:bottom w:val="single" w:sz="4" w:space="0" w:color="auto"/>
              <w:right w:val="single" w:sz="4" w:space="0" w:color="auto"/>
            </w:tcBorders>
            <w:shd w:val="clear" w:color="auto" w:fill="auto"/>
            <w:vAlign w:val="bottom"/>
            <w:hideMark/>
          </w:tcPr>
          <w:p w14:paraId="6DED268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3DEC255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5D501F21" w14:textId="77777777" w:rsidTr="00EB2609">
        <w:trPr>
          <w:trHeight w:val="44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1272F1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rai-Support-r14 (clause 4.3.19.10)</w:t>
            </w:r>
          </w:p>
        </w:tc>
        <w:tc>
          <w:tcPr>
            <w:tcW w:w="1275" w:type="dxa"/>
            <w:tcBorders>
              <w:top w:val="nil"/>
              <w:left w:val="nil"/>
              <w:bottom w:val="single" w:sz="4" w:space="0" w:color="auto"/>
              <w:right w:val="single" w:sz="4" w:space="0" w:color="auto"/>
            </w:tcBorders>
            <w:shd w:val="clear" w:color="auto" w:fill="auto"/>
            <w:noWrap/>
            <w:vAlign w:val="bottom"/>
            <w:hideMark/>
          </w:tcPr>
          <w:p w14:paraId="3745F1A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11544FE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Functionality is not impacted due to NTN connectivity</w:t>
            </w:r>
          </w:p>
        </w:tc>
        <w:tc>
          <w:tcPr>
            <w:tcW w:w="1011" w:type="dxa"/>
            <w:tcBorders>
              <w:top w:val="nil"/>
              <w:left w:val="nil"/>
              <w:bottom w:val="single" w:sz="4" w:space="0" w:color="auto"/>
              <w:right w:val="single" w:sz="4" w:space="0" w:color="auto"/>
            </w:tcBorders>
            <w:shd w:val="clear" w:color="auto" w:fill="auto"/>
            <w:vAlign w:val="bottom"/>
            <w:hideMark/>
          </w:tcPr>
          <w:p w14:paraId="6A8A78F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15787672" w14:textId="77777777" w:rsidTr="00EB2609">
        <w:trPr>
          <w:trHeight w:val="650"/>
        </w:trPr>
        <w:tc>
          <w:tcPr>
            <w:tcW w:w="2689" w:type="dxa"/>
            <w:tcBorders>
              <w:top w:val="nil"/>
              <w:left w:val="single" w:sz="4" w:space="0" w:color="auto"/>
              <w:bottom w:val="single" w:sz="4" w:space="0" w:color="auto"/>
              <w:right w:val="single" w:sz="4" w:space="0" w:color="auto"/>
            </w:tcBorders>
            <w:shd w:val="clear" w:color="auto" w:fill="FFFF00"/>
            <w:noWrap/>
            <w:vAlign w:val="bottom"/>
            <w:hideMark/>
          </w:tcPr>
          <w:p w14:paraId="65C72F0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earlyContentionResolution-r14 (clause 4.3.19.14)</w:t>
            </w:r>
          </w:p>
        </w:tc>
        <w:tc>
          <w:tcPr>
            <w:tcW w:w="1275" w:type="dxa"/>
            <w:tcBorders>
              <w:top w:val="nil"/>
              <w:left w:val="nil"/>
              <w:bottom w:val="single" w:sz="4" w:space="0" w:color="auto"/>
              <w:right w:val="single" w:sz="4" w:space="0" w:color="auto"/>
            </w:tcBorders>
            <w:shd w:val="clear" w:color="auto" w:fill="FFFF00"/>
            <w:noWrap/>
            <w:vAlign w:val="bottom"/>
            <w:hideMark/>
          </w:tcPr>
          <w:p w14:paraId="2564B514"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FFFF00"/>
            <w:vAlign w:val="bottom"/>
            <w:hideMark/>
          </w:tcPr>
          <w:p w14:paraId="2383925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May have some additional impacts or testing required for NTN connectivity.</w:t>
            </w:r>
          </w:p>
        </w:tc>
        <w:tc>
          <w:tcPr>
            <w:tcW w:w="1011" w:type="dxa"/>
            <w:tcBorders>
              <w:top w:val="nil"/>
              <w:left w:val="nil"/>
              <w:bottom w:val="single" w:sz="4" w:space="0" w:color="auto"/>
              <w:right w:val="single" w:sz="4" w:space="0" w:color="auto"/>
            </w:tcBorders>
            <w:shd w:val="clear" w:color="auto" w:fill="FFFF00"/>
            <w:vAlign w:val="bottom"/>
            <w:hideMark/>
          </w:tcPr>
          <w:p w14:paraId="0990DCE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r>
              <w:rPr>
                <w:rFonts w:ascii="Calibri" w:hAnsi="Calibri" w:cs="Calibri"/>
                <w:color w:val="000000"/>
                <w:sz w:val="16"/>
                <w:szCs w:val="16"/>
                <w:lang w:eastAsia="en-IN"/>
              </w:rPr>
              <w:t>Can be considered</w:t>
            </w:r>
          </w:p>
        </w:tc>
      </w:tr>
      <w:tr w:rsidR="00EF11EC" w:rsidRPr="005E58E0" w14:paraId="426BE69E"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964C10A"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sr-SPS-BSR-r15 (clause 4.3.19.15)</w:t>
            </w:r>
          </w:p>
        </w:tc>
        <w:tc>
          <w:tcPr>
            <w:tcW w:w="1275" w:type="dxa"/>
            <w:tcBorders>
              <w:top w:val="nil"/>
              <w:left w:val="nil"/>
              <w:bottom w:val="single" w:sz="4" w:space="0" w:color="auto"/>
              <w:right w:val="single" w:sz="4" w:space="0" w:color="auto"/>
            </w:tcBorders>
            <w:shd w:val="clear" w:color="auto" w:fill="auto"/>
            <w:noWrap/>
            <w:vAlign w:val="bottom"/>
            <w:hideMark/>
          </w:tcPr>
          <w:p w14:paraId="394E7D5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132C45B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247BF4D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44CCF3EC"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7B1C6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rai-SupportEnh-r16 (clause 4.3.19.22)</w:t>
            </w:r>
          </w:p>
        </w:tc>
        <w:tc>
          <w:tcPr>
            <w:tcW w:w="1275" w:type="dxa"/>
            <w:tcBorders>
              <w:top w:val="nil"/>
              <w:left w:val="nil"/>
              <w:bottom w:val="single" w:sz="4" w:space="0" w:color="auto"/>
              <w:right w:val="single" w:sz="4" w:space="0" w:color="auto"/>
            </w:tcBorders>
            <w:shd w:val="clear" w:color="auto" w:fill="auto"/>
            <w:noWrap/>
            <w:vAlign w:val="bottom"/>
            <w:hideMark/>
          </w:tcPr>
          <w:p w14:paraId="4DFE8A6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Non Critical</w:t>
            </w:r>
          </w:p>
        </w:tc>
        <w:tc>
          <w:tcPr>
            <w:tcW w:w="4225" w:type="dxa"/>
            <w:tcBorders>
              <w:top w:val="nil"/>
              <w:left w:val="nil"/>
              <w:bottom w:val="single" w:sz="4" w:space="0" w:color="auto"/>
              <w:right w:val="single" w:sz="4" w:space="0" w:color="auto"/>
            </w:tcBorders>
            <w:shd w:val="clear" w:color="auto" w:fill="auto"/>
            <w:vAlign w:val="bottom"/>
            <w:hideMark/>
          </w:tcPr>
          <w:p w14:paraId="3910F84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5B11614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1D9F991A" w14:textId="77777777" w:rsidTr="00EB2609">
        <w:trPr>
          <w:trHeight w:val="29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5B6818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earlyData-UP-5GC-r16 (clause 4.3.36.9)</w:t>
            </w:r>
          </w:p>
        </w:tc>
        <w:tc>
          <w:tcPr>
            <w:tcW w:w="1275" w:type="dxa"/>
            <w:tcBorders>
              <w:top w:val="nil"/>
              <w:left w:val="nil"/>
              <w:bottom w:val="single" w:sz="4" w:space="0" w:color="auto"/>
              <w:right w:val="single" w:sz="4" w:space="0" w:color="auto"/>
            </w:tcBorders>
            <w:shd w:val="clear" w:color="auto" w:fill="auto"/>
            <w:noWrap/>
            <w:vAlign w:val="bottom"/>
            <w:hideMark/>
          </w:tcPr>
          <w:p w14:paraId="4592BA0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Not applicable</w:t>
            </w:r>
          </w:p>
        </w:tc>
        <w:tc>
          <w:tcPr>
            <w:tcW w:w="4225" w:type="dxa"/>
            <w:tcBorders>
              <w:top w:val="nil"/>
              <w:left w:val="nil"/>
              <w:bottom w:val="single" w:sz="4" w:space="0" w:color="auto"/>
              <w:right w:val="single" w:sz="4" w:space="0" w:color="auto"/>
            </w:tcBorders>
            <w:shd w:val="clear" w:color="auto" w:fill="auto"/>
            <w:vAlign w:val="bottom"/>
            <w:hideMark/>
          </w:tcPr>
          <w:p w14:paraId="28F79708"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c>
          <w:tcPr>
            <w:tcW w:w="1011" w:type="dxa"/>
            <w:tcBorders>
              <w:top w:val="nil"/>
              <w:left w:val="nil"/>
              <w:bottom w:val="single" w:sz="4" w:space="0" w:color="auto"/>
              <w:right w:val="single" w:sz="4" w:space="0" w:color="auto"/>
            </w:tcBorders>
            <w:shd w:val="clear" w:color="auto" w:fill="auto"/>
            <w:vAlign w:val="bottom"/>
            <w:hideMark/>
          </w:tcPr>
          <w:p w14:paraId="3D69C461"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636E90FE"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C1487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lastRenderedPageBreak/>
              <w:t>pur-CP-EPC-r16 (clause 4.3.37.1)</w:t>
            </w:r>
          </w:p>
        </w:tc>
        <w:tc>
          <w:tcPr>
            <w:tcW w:w="1275" w:type="dxa"/>
            <w:tcBorders>
              <w:top w:val="nil"/>
              <w:left w:val="nil"/>
              <w:bottom w:val="single" w:sz="4" w:space="0" w:color="auto"/>
              <w:right w:val="single" w:sz="4" w:space="0" w:color="auto"/>
            </w:tcBorders>
            <w:shd w:val="clear" w:color="auto" w:fill="auto"/>
            <w:noWrap/>
            <w:vAlign w:val="bottom"/>
            <w:hideMark/>
          </w:tcPr>
          <w:p w14:paraId="28051AA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Not Critical</w:t>
            </w:r>
          </w:p>
        </w:tc>
        <w:tc>
          <w:tcPr>
            <w:tcW w:w="4225" w:type="dxa"/>
            <w:tcBorders>
              <w:top w:val="nil"/>
              <w:left w:val="nil"/>
              <w:bottom w:val="single" w:sz="4" w:space="0" w:color="auto"/>
              <w:right w:val="single" w:sz="4" w:space="0" w:color="auto"/>
            </w:tcBorders>
            <w:shd w:val="clear" w:color="auto" w:fill="auto"/>
            <w:vAlign w:val="bottom"/>
            <w:hideMark/>
          </w:tcPr>
          <w:p w14:paraId="66DB4477" w14:textId="04107D7F"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w:t>
            </w:r>
            <w:r w:rsidR="00544210">
              <w:rPr>
                <w:rFonts w:ascii="Calibri" w:hAnsi="Calibri" w:cs="Calibri"/>
                <w:color w:val="000000"/>
                <w:sz w:val="16"/>
                <w:szCs w:val="16"/>
                <w:lang w:eastAsia="en-IN"/>
              </w:rPr>
              <w:t xml:space="preserve"> in Rel-17</w:t>
            </w:r>
            <w:r w:rsidRPr="005E58E0">
              <w:rPr>
                <w:rFonts w:ascii="Calibri" w:hAnsi="Calibri" w:cs="Calibri"/>
                <w:color w:val="000000"/>
                <w:sz w:val="16"/>
                <w:szCs w:val="16"/>
                <w:lang w:eastAsia="en-IN"/>
              </w:rPr>
              <w: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04DE68F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21CAA135"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3BD4D5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pur-UP-EPC-r16 (clause 4.3.37.2)</w:t>
            </w:r>
          </w:p>
        </w:tc>
        <w:tc>
          <w:tcPr>
            <w:tcW w:w="1275" w:type="dxa"/>
            <w:tcBorders>
              <w:top w:val="nil"/>
              <w:left w:val="nil"/>
              <w:bottom w:val="single" w:sz="4" w:space="0" w:color="auto"/>
              <w:right w:val="single" w:sz="4" w:space="0" w:color="auto"/>
            </w:tcBorders>
            <w:shd w:val="clear" w:color="auto" w:fill="auto"/>
            <w:noWrap/>
            <w:vAlign w:val="bottom"/>
            <w:hideMark/>
          </w:tcPr>
          <w:p w14:paraId="304DFAF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Not </w:t>
            </w:r>
            <w:proofErr w:type="spellStart"/>
            <w:r w:rsidRPr="005E58E0">
              <w:rPr>
                <w:rFonts w:ascii="Calibri" w:hAnsi="Calibri" w:cs="Calibri"/>
                <w:color w:val="000000"/>
                <w:sz w:val="16"/>
                <w:szCs w:val="16"/>
                <w:lang w:eastAsia="en-IN"/>
              </w:rPr>
              <w:t>Uritical</w:t>
            </w:r>
            <w:proofErr w:type="spellEnd"/>
          </w:p>
        </w:tc>
        <w:tc>
          <w:tcPr>
            <w:tcW w:w="4225" w:type="dxa"/>
            <w:tcBorders>
              <w:top w:val="nil"/>
              <w:left w:val="nil"/>
              <w:bottom w:val="single" w:sz="4" w:space="0" w:color="auto"/>
              <w:right w:val="single" w:sz="4" w:space="0" w:color="auto"/>
            </w:tcBorders>
            <w:shd w:val="clear" w:color="auto" w:fill="auto"/>
            <w:vAlign w:val="bottom"/>
            <w:hideMark/>
          </w:tcPr>
          <w:p w14:paraId="3AA1E48B"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6FC98A4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623906CC"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59738CE"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pur-CP-5GC-r16 (clause 4.3.37.3)</w:t>
            </w:r>
          </w:p>
        </w:tc>
        <w:tc>
          <w:tcPr>
            <w:tcW w:w="1275" w:type="dxa"/>
            <w:tcBorders>
              <w:top w:val="nil"/>
              <w:left w:val="nil"/>
              <w:bottom w:val="single" w:sz="4" w:space="0" w:color="auto"/>
              <w:right w:val="single" w:sz="4" w:space="0" w:color="auto"/>
            </w:tcBorders>
            <w:shd w:val="clear" w:color="auto" w:fill="auto"/>
            <w:noWrap/>
            <w:vAlign w:val="bottom"/>
            <w:hideMark/>
          </w:tcPr>
          <w:p w14:paraId="456B2CC6"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Not Critical</w:t>
            </w:r>
          </w:p>
        </w:tc>
        <w:tc>
          <w:tcPr>
            <w:tcW w:w="4225" w:type="dxa"/>
            <w:tcBorders>
              <w:top w:val="nil"/>
              <w:left w:val="nil"/>
              <w:bottom w:val="single" w:sz="4" w:space="0" w:color="auto"/>
              <w:right w:val="single" w:sz="4" w:space="0" w:color="auto"/>
            </w:tcBorders>
            <w:shd w:val="clear" w:color="auto" w:fill="auto"/>
            <w:vAlign w:val="bottom"/>
            <w:hideMark/>
          </w:tcPr>
          <w:p w14:paraId="3BA17E2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3D723A7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71CB3141"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C6A2B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pur-UP-5GC-r16 (clause 4.3.37.4)</w:t>
            </w:r>
          </w:p>
        </w:tc>
        <w:tc>
          <w:tcPr>
            <w:tcW w:w="1275" w:type="dxa"/>
            <w:tcBorders>
              <w:top w:val="nil"/>
              <w:left w:val="nil"/>
              <w:bottom w:val="single" w:sz="4" w:space="0" w:color="auto"/>
              <w:right w:val="single" w:sz="4" w:space="0" w:color="auto"/>
            </w:tcBorders>
            <w:shd w:val="clear" w:color="auto" w:fill="auto"/>
            <w:noWrap/>
            <w:vAlign w:val="bottom"/>
            <w:hideMark/>
          </w:tcPr>
          <w:p w14:paraId="1F5D21D2"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Not </w:t>
            </w:r>
            <w:proofErr w:type="spellStart"/>
            <w:r w:rsidRPr="005E58E0">
              <w:rPr>
                <w:rFonts w:ascii="Calibri" w:hAnsi="Calibri" w:cs="Calibri"/>
                <w:color w:val="000000"/>
                <w:sz w:val="16"/>
                <w:szCs w:val="16"/>
                <w:lang w:eastAsia="en-IN"/>
              </w:rPr>
              <w:t>Uritical</w:t>
            </w:r>
            <w:proofErr w:type="spellEnd"/>
          </w:p>
        </w:tc>
        <w:tc>
          <w:tcPr>
            <w:tcW w:w="4225" w:type="dxa"/>
            <w:tcBorders>
              <w:top w:val="nil"/>
              <w:left w:val="nil"/>
              <w:bottom w:val="single" w:sz="4" w:space="0" w:color="auto"/>
              <w:right w:val="single" w:sz="4" w:space="0" w:color="auto"/>
            </w:tcBorders>
            <w:shd w:val="clear" w:color="auto" w:fill="auto"/>
            <w:vAlign w:val="bottom"/>
            <w:hideMark/>
          </w:tcPr>
          <w:p w14:paraId="52E738E0"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0B7DBD13"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4FF18C27"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2D830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pur-CP-L1Ack-r16 (clause 4.3.37.5)</w:t>
            </w:r>
          </w:p>
        </w:tc>
        <w:tc>
          <w:tcPr>
            <w:tcW w:w="1275" w:type="dxa"/>
            <w:tcBorders>
              <w:top w:val="nil"/>
              <w:left w:val="nil"/>
              <w:bottom w:val="single" w:sz="4" w:space="0" w:color="auto"/>
              <w:right w:val="single" w:sz="4" w:space="0" w:color="auto"/>
            </w:tcBorders>
            <w:shd w:val="clear" w:color="auto" w:fill="auto"/>
            <w:noWrap/>
            <w:vAlign w:val="bottom"/>
            <w:hideMark/>
          </w:tcPr>
          <w:p w14:paraId="3C08531F"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Not Critical</w:t>
            </w:r>
          </w:p>
        </w:tc>
        <w:tc>
          <w:tcPr>
            <w:tcW w:w="4225" w:type="dxa"/>
            <w:tcBorders>
              <w:top w:val="nil"/>
              <w:left w:val="nil"/>
              <w:bottom w:val="single" w:sz="4" w:space="0" w:color="auto"/>
              <w:right w:val="single" w:sz="4" w:space="0" w:color="auto"/>
            </w:tcBorders>
            <w:shd w:val="clear" w:color="auto" w:fill="auto"/>
            <w:vAlign w:val="bottom"/>
            <w:hideMark/>
          </w:tcPr>
          <w:p w14:paraId="2669B33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400D0E7C"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r w:rsidR="00EF11EC" w:rsidRPr="005E58E0" w14:paraId="234BD54C" w14:textId="77777777" w:rsidTr="00EB2609">
        <w:trPr>
          <w:trHeight w:val="17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09A9D99"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pur-NRSRP-Validation-r16 (clause 4.3.37.6)</w:t>
            </w:r>
          </w:p>
        </w:tc>
        <w:tc>
          <w:tcPr>
            <w:tcW w:w="1275" w:type="dxa"/>
            <w:tcBorders>
              <w:top w:val="nil"/>
              <w:left w:val="nil"/>
              <w:bottom w:val="single" w:sz="4" w:space="0" w:color="auto"/>
              <w:right w:val="single" w:sz="4" w:space="0" w:color="auto"/>
            </w:tcBorders>
            <w:shd w:val="clear" w:color="auto" w:fill="auto"/>
            <w:noWrap/>
            <w:vAlign w:val="bottom"/>
            <w:hideMark/>
          </w:tcPr>
          <w:p w14:paraId="469C9980" w14:textId="55D0682E"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xml:space="preserve">Not </w:t>
            </w:r>
            <w:r w:rsidR="0069645A">
              <w:rPr>
                <w:rFonts w:ascii="Calibri" w:hAnsi="Calibri" w:cs="Calibri"/>
                <w:color w:val="000000"/>
                <w:sz w:val="16"/>
                <w:szCs w:val="16"/>
                <w:lang w:eastAsia="en-IN"/>
              </w:rPr>
              <w:t>C</w:t>
            </w:r>
            <w:r w:rsidRPr="005E58E0">
              <w:rPr>
                <w:rFonts w:ascii="Calibri" w:hAnsi="Calibri" w:cs="Calibri"/>
                <w:color w:val="000000"/>
                <w:sz w:val="16"/>
                <w:szCs w:val="16"/>
                <w:lang w:eastAsia="en-IN"/>
              </w:rPr>
              <w:t>ritical</w:t>
            </w:r>
          </w:p>
        </w:tc>
        <w:tc>
          <w:tcPr>
            <w:tcW w:w="4225" w:type="dxa"/>
            <w:tcBorders>
              <w:top w:val="nil"/>
              <w:left w:val="nil"/>
              <w:bottom w:val="single" w:sz="4" w:space="0" w:color="auto"/>
              <w:right w:val="single" w:sz="4" w:space="0" w:color="auto"/>
            </w:tcBorders>
            <w:shd w:val="clear" w:color="auto" w:fill="auto"/>
            <w:vAlign w:val="bottom"/>
            <w:hideMark/>
          </w:tcPr>
          <w:p w14:paraId="00B98FB5"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Feature not applicable for LEO deployment. For GEO case, the feature will work along with additional NTN specific capability. As there is already NTN specific capability for NTN specific functionality, these capability bits need not be repeated for NTN</w:t>
            </w:r>
          </w:p>
        </w:tc>
        <w:tc>
          <w:tcPr>
            <w:tcW w:w="1011" w:type="dxa"/>
            <w:tcBorders>
              <w:top w:val="nil"/>
              <w:left w:val="nil"/>
              <w:bottom w:val="single" w:sz="4" w:space="0" w:color="auto"/>
              <w:right w:val="single" w:sz="4" w:space="0" w:color="auto"/>
            </w:tcBorders>
            <w:shd w:val="clear" w:color="auto" w:fill="auto"/>
            <w:vAlign w:val="bottom"/>
            <w:hideMark/>
          </w:tcPr>
          <w:p w14:paraId="69CAC747" w14:textId="77777777" w:rsidR="00EF11EC" w:rsidRPr="005E58E0" w:rsidRDefault="00EF11EC" w:rsidP="00EB2609">
            <w:pPr>
              <w:spacing w:after="0"/>
              <w:rPr>
                <w:rFonts w:ascii="Calibri" w:hAnsi="Calibri" w:cs="Calibri"/>
                <w:color w:val="000000"/>
                <w:sz w:val="16"/>
                <w:szCs w:val="16"/>
                <w:lang w:eastAsia="en-IN"/>
              </w:rPr>
            </w:pPr>
            <w:r w:rsidRPr="005E58E0">
              <w:rPr>
                <w:rFonts w:ascii="Calibri" w:hAnsi="Calibri" w:cs="Calibri"/>
                <w:color w:val="000000"/>
                <w:sz w:val="16"/>
                <w:szCs w:val="16"/>
                <w:lang w:eastAsia="en-IN"/>
              </w:rPr>
              <w:t> </w:t>
            </w:r>
          </w:p>
        </w:tc>
      </w:tr>
    </w:tbl>
    <w:p w14:paraId="272A94CC" w14:textId="49BF9153" w:rsidR="00EF11EC" w:rsidRDefault="00EF11EC" w:rsidP="00B361F5"/>
    <w:p w14:paraId="5537072D" w14:textId="18194FBA" w:rsidR="002215AA" w:rsidRPr="00EF11EC" w:rsidRDefault="002215AA" w:rsidP="00B361F5">
      <w:r>
        <w:t>Similar analysis should be done to identify the features which requires separate capability indication for eMTC also should be carried out if RAN2 decides to introduce separate capability indication for NTN for the existing features.</w:t>
      </w:r>
    </w:p>
    <w:p w14:paraId="0F4AF86F" w14:textId="2DDADF87" w:rsidR="002215AA" w:rsidRDefault="002215AA" w:rsidP="002215AA">
      <w:pPr>
        <w:rPr>
          <w:b/>
          <w:bCs/>
        </w:rPr>
      </w:pPr>
      <w:r>
        <w:rPr>
          <w:b/>
          <w:bCs/>
        </w:rPr>
        <w:t>Proposal 1</w:t>
      </w:r>
      <w:r w:rsidRPr="00FC25E3">
        <w:rPr>
          <w:b/>
          <w:bCs/>
        </w:rPr>
        <w:t>:</w:t>
      </w:r>
      <w:r w:rsidR="00FC61C2">
        <w:rPr>
          <w:b/>
          <w:bCs/>
        </w:rPr>
        <w:t xml:space="preserve"> RAN2 to conclude on the features which requires separate capability indication for eMTC based on Feature-wise analysis on the relevance and additional UE implementation impacts for NTN connectivity</w:t>
      </w:r>
      <w:r w:rsidR="00544210">
        <w:rPr>
          <w:b/>
          <w:bCs/>
        </w:rPr>
        <w:t>.</w:t>
      </w:r>
      <w:r w:rsidR="00FC61C2">
        <w:rPr>
          <w:b/>
          <w:bCs/>
        </w:rPr>
        <w:t xml:space="preserve"> </w:t>
      </w:r>
    </w:p>
    <w:p w14:paraId="2A83893D" w14:textId="0E28DE3B" w:rsidR="002215AA" w:rsidRPr="002215AA" w:rsidRDefault="002215AA" w:rsidP="002215AA">
      <w:r>
        <w:t xml:space="preserve">Based on the above analysis, it is possible to use same capability indication with different value for NTN and TN during idle mode mobility, separate indication is not needed for NB-IoT. Because NB-IoT does not support connected mode mobility. </w:t>
      </w:r>
    </w:p>
    <w:p w14:paraId="7ECCAC78" w14:textId="349284E8" w:rsidR="002215AA" w:rsidRDefault="002215AA" w:rsidP="002215AA">
      <w:pPr>
        <w:rPr>
          <w:b/>
          <w:bCs/>
        </w:rPr>
      </w:pPr>
      <w:r>
        <w:rPr>
          <w:b/>
          <w:bCs/>
        </w:rPr>
        <w:t>Proposal 2</w:t>
      </w:r>
      <w:r w:rsidRPr="00FC25E3">
        <w:rPr>
          <w:b/>
          <w:bCs/>
        </w:rPr>
        <w:t>:</w:t>
      </w:r>
      <w:r>
        <w:rPr>
          <w:b/>
          <w:bCs/>
        </w:rPr>
        <w:t xml:space="preserve"> For NB-IoT, same capability indication parameter can be used with different values for TN and NTN connectivity.</w:t>
      </w:r>
    </w:p>
    <w:p w14:paraId="62A0C7BE" w14:textId="77777777" w:rsidR="00B361F5" w:rsidRDefault="00B361F5" w:rsidP="006506FF"/>
    <w:p w14:paraId="097C2C31" w14:textId="77777777" w:rsidR="007E38EB" w:rsidRPr="00FB24E8" w:rsidRDefault="007E38EB" w:rsidP="00ED5893"/>
    <w:p w14:paraId="5FF2457F" w14:textId="3376AFC7" w:rsidR="00A209D6" w:rsidRPr="006E13D1" w:rsidRDefault="007E38EB" w:rsidP="00A209D6">
      <w:pPr>
        <w:pStyle w:val="Heading1"/>
      </w:pPr>
      <w:r>
        <w:lastRenderedPageBreak/>
        <w:t>3</w:t>
      </w:r>
      <w:r w:rsidR="00A209D6" w:rsidRPr="006E13D1">
        <w:tab/>
      </w:r>
      <w:r w:rsidR="008C3057">
        <w:t>Conclusion</w:t>
      </w:r>
    </w:p>
    <w:p w14:paraId="3C6DF50F" w14:textId="77777777" w:rsidR="00FD1A20" w:rsidRPr="00FC25E3" w:rsidRDefault="00FD1A20" w:rsidP="00FD1A20">
      <w:pPr>
        <w:rPr>
          <w:b/>
          <w:bCs/>
        </w:rPr>
      </w:pPr>
      <w:r w:rsidRPr="00FC25E3">
        <w:rPr>
          <w:b/>
          <w:bCs/>
        </w:rPr>
        <w:t xml:space="preserve">Observation 1: </w:t>
      </w:r>
      <w:r>
        <w:rPr>
          <w:b/>
          <w:bCs/>
        </w:rPr>
        <w:t>Device implementation may not support all the IoT-features supported for TN for NTN connectivity due to additional implementation and testing efforts required for the NTN connectivity.</w:t>
      </w:r>
    </w:p>
    <w:p w14:paraId="1A690492" w14:textId="77777777" w:rsidR="00FD1A20" w:rsidRDefault="00FD1A20" w:rsidP="00FD1A20">
      <w:pPr>
        <w:rPr>
          <w:b/>
          <w:bCs/>
        </w:rPr>
      </w:pPr>
      <w:r w:rsidRPr="00FC25E3">
        <w:rPr>
          <w:b/>
          <w:bCs/>
        </w:rPr>
        <w:t xml:space="preserve">Observation </w:t>
      </w:r>
      <w:r>
        <w:rPr>
          <w:b/>
          <w:bCs/>
        </w:rPr>
        <w:t>2</w:t>
      </w:r>
      <w:r w:rsidRPr="00FC25E3">
        <w:rPr>
          <w:b/>
          <w:bCs/>
        </w:rPr>
        <w:t xml:space="preserve">: </w:t>
      </w:r>
      <w:r>
        <w:rPr>
          <w:b/>
          <w:bCs/>
        </w:rPr>
        <w:t>It is possible to indicate different values for same capability indication parameter towards TN and NTN cell for idle mode mobility. In this case, UE should trigger NAS signalling procedure to indicate the change of capability indication.</w:t>
      </w:r>
    </w:p>
    <w:p w14:paraId="5D3DD184" w14:textId="4D38A87C" w:rsidR="00FD1A20" w:rsidRDefault="00FD1A20" w:rsidP="00FD1A20">
      <w:pPr>
        <w:rPr>
          <w:b/>
          <w:bCs/>
        </w:rPr>
      </w:pPr>
      <w:r w:rsidRPr="00FC25E3">
        <w:rPr>
          <w:b/>
          <w:bCs/>
        </w:rPr>
        <w:t xml:space="preserve">Observation </w:t>
      </w:r>
      <w:r>
        <w:rPr>
          <w:b/>
          <w:bCs/>
        </w:rPr>
        <w:t>3</w:t>
      </w:r>
      <w:r w:rsidRPr="00FC25E3">
        <w:rPr>
          <w:b/>
          <w:bCs/>
        </w:rPr>
        <w:t>:</w:t>
      </w:r>
      <w:r>
        <w:rPr>
          <w:b/>
          <w:bCs/>
        </w:rPr>
        <w:t xml:space="preserve"> Separate capability indication for IoT-Features will be required for connected mode mobility </w:t>
      </w:r>
      <w:r w:rsidR="00544210">
        <w:rPr>
          <w:b/>
          <w:bCs/>
        </w:rPr>
        <w:t xml:space="preserve">scenario </w:t>
      </w:r>
      <w:r>
        <w:rPr>
          <w:b/>
          <w:bCs/>
        </w:rPr>
        <w:t>between TN and NTN.</w:t>
      </w:r>
    </w:p>
    <w:p w14:paraId="2DF8089E" w14:textId="77777777" w:rsidR="00FC61C2" w:rsidRDefault="00FC61C2" w:rsidP="00FC61C2">
      <w:pPr>
        <w:rPr>
          <w:b/>
          <w:bCs/>
        </w:rPr>
      </w:pPr>
      <w:r>
        <w:rPr>
          <w:b/>
          <w:bCs/>
        </w:rPr>
        <w:t>Proposal 1</w:t>
      </w:r>
      <w:r w:rsidRPr="00FC25E3">
        <w:rPr>
          <w:b/>
          <w:bCs/>
        </w:rPr>
        <w:t>:</w:t>
      </w:r>
      <w:r>
        <w:rPr>
          <w:b/>
          <w:bCs/>
        </w:rPr>
        <w:t xml:space="preserve"> RAN2 to conclude on the features which requires separate capability indication for eMTC based on Feature-wise analysis on the relevance and additional UE implementation impacts for NTN connectivity. </w:t>
      </w:r>
    </w:p>
    <w:p w14:paraId="38E3D763" w14:textId="77777777" w:rsidR="0069645A" w:rsidRDefault="0069645A" w:rsidP="0069645A">
      <w:pPr>
        <w:rPr>
          <w:b/>
          <w:bCs/>
        </w:rPr>
      </w:pPr>
      <w:r>
        <w:rPr>
          <w:b/>
          <w:bCs/>
        </w:rPr>
        <w:t>Proposal 2</w:t>
      </w:r>
      <w:r w:rsidRPr="00FC25E3">
        <w:rPr>
          <w:b/>
          <w:bCs/>
        </w:rPr>
        <w:t>:</w:t>
      </w:r>
      <w:r>
        <w:rPr>
          <w:b/>
          <w:bCs/>
        </w:rPr>
        <w:t xml:space="preserve"> For NB-IoT, same capability indication parameter can be used with different values for TN and NTN connectivity.</w:t>
      </w:r>
    </w:p>
    <w:p w14:paraId="306D869A" w14:textId="77777777" w:rsidR="00117FBB" w:rsidRDefault="00117FBB" w:rsidP="004F73A7"/>
    <w:p w14:paraId="648C869A" w14:textId="24D11A00" w:rsidR="00F54D75" w:rsidRDefault="00F54D75" w:rsidP="00F54D75"/>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28E7" w14:textId="77777777" w:rsidR="00CD140D" w:rsidRDefault="00CD140D">
      <w:r>
        <w:separator/>
      </w:r>
    </w:p>
  </w:endnote>
  <w:endnote w:type="continuationSeparator" w:id="0">
    <w:p w14:paraId="0CEDFD61" w14:textId="77777777" w:rsidR="00CD140D" w:rsidRDefault="00CD140D">
      <w:r>
        <w:continuationSeparator/>
      </w:r>
    </w:p>
  </w:endnote>
  <w:endnote w:type="continuationNotice" w:id="1">
    <w:p w14:paraId="1E48DBC1" w14:textId="77777777" w:rsidR="00CD140D" w:rsidRDefault="00CD1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7AC2" w14:textId="77777777" w:rsidR="00CD140D" w:rsidRDefault="00CD140D">
      <w:r>
        <w:separator/>
      </w:r>
    </w:p>
  </w:footnote>
  <w:footnote w:type="continuationSeparator" w:id="0">
    <w:p w14:paraId="35408283" w14:textId="77777777" w:rsidR="00CD140D" w:rsidRDefault="00CD140D">
      <w:r>
        <w:continuationSeparator/>
      </w:r>
    </w:p>
  </w:footnote>
  <w:footnote w:type="continuationNotice" w:id="1">
    <w:p w14:paraId="325F5614" w14:textId="77777777" w:rsidR="00CD140D" w:rsidRDefault="00CD1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F36FE"/>
    <w:multiLevelType w:val="hybridMultilevel"/>
    <w:tmpl w:val="002A8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472A4F"/>
    <w:multiLevelType w:val="hybridMultilevel"/>
    <w:tmpl w:val="9B020A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6E803AF"/>
    <w:multiLevelType w:val="hybridMultilevel"/>
    <w:tmpl w:val="E548BF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432E3D"/>
    <w:multiLevelType w:val="hybridMultilevel"/>
    <w:tmpl w:val="2C285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E347FA"/>
    <w:multiLevelType w:val="hybridMultilevel"/>
    <w:tmpl w:val="156A03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1"/>
  </w:num>
  <w:num w:numId="7">
    <w:abstractNumId w:val="12"/>
  </w:num>
  <w:num w:numId="8">
    <w:abstractNumId w:val="3"/>
  </w:num>
  <w:num w:numId="9">
    <w:abstractNumId w:val="14"/>
  </w:num>
  <w:num w:numId="10">
    <w:abstractNumId w:val="1"/>
  </w:num>
  <w:num w:numId="11">
    <w:abstractNumId w:val="7"/>
  </w:num>
  <w:num w:numId="12">
    <w:abstractNumId w:val="4"/>
  </w:num>
  <w:num w:numId="13">
    <w:abstractNumId w:val="5"/>
  </w:num>
  <w:num w:numId="14">
    <w:abstractNumId w:val="6"/>
  </w:num>
  <w:num w:numId="15">
    <w:abstractNumId w:val="10"/>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A57"/>
    <w:rsid w:val="00016557"/>
    <w:rsid w:val="00023C40"/>
    <w:rsid w:val="00033397"/>
    <w:rsid w:val="00040095"/>
    <w:rsid w:val="00065268"/>
    <w:rsid w:val="00073C9C"/>
    <w:rsid w:val="00080512"/>
    <w:rsid w:val="00082D47"/>
    <w:rsid w:val="00090468"/>
    <w:rsid w:val="00094568"/>
    <w:rsid w:val="000B7BCF"/>
    <w:rsid w:val="000C522B"/>
    <w:rsid w:val="000D58AB"/>
    <w:rsid w:val="000E148C"/>
    <w:rsid w:val="001054AE"/>
    <w:rsid w:val="00112F1A"/>
    <w:rsid w:val="00117FBB"/>
    <w:rsid w:val="00133068"/>
    <w:rsid w:val="00145075"/>
    <w:rsid w:val="001656EB"/>
    <w:rsid w:val="00173FBA"/>
    <w:rsid w:val="001741A0"/>
    <w:rsid w:val="00175FA0"/>
    <w:rsid w:val="00180D15"/>
    <w:rsid w:val="00194CD0"/>
    <w:rsid w:val="001A0667"/>
    <w:rsid w:val="001B49C9"/>
    <w:rsid w:val="001B4AA9"/>
    <w:rsid w:val="001C23F4"/>
    <w:rsid w:val="001C4F79"/>
    <w:rsid w:val="001F168B"/>
    <w:rsid w:val="001F7831"/>
    <w:rsid w:val="00204045"/>
    <w:rsid w:val="002049F1"/>
    <w:rsid w:val="0020712B"/>
    <w:rsid w:val="00217FEB"/>
    <w:rsid w:val="002215AA"/>
    <w:rsid w:val="0022606D"/>
    <w:rsid w:val="00231728"/>
    <w:rsid w:val="00244A05"/>
    <w:rsid w:val="00250404"/>
    <w:rsid w:val="002610D8"/>
    <w:rsid w:val="002747EC"/>
    <w:rsid w:val="002855BF"/>
    <w:rsid w:val="002900A4"/>
    <w:rsid w:val="002C20C3"/>
    <w:rsid w:val="002D55FF"/>
    <w:rsid w:val="002E1A60"/>
    <w:rsid w:val="002E56B9"/>
    <w:rsid w:val="002F0D22"/>
    <w:rsid w:val="002F3EC5"/>
    <w:rsid w:val="003103FF"/>
    <w:rsid w:val="00311B17"/>
    <w:rsid w:val="00311B5F"/>
    <w:rsid w:val="0031225F"/>
    <w:rsid w:val="003172DC"/>
    <w:rsid w:val="00325AE3"/>
    <w:rsid w:val="00326069"/>
    <w:rsid w:val="0035462D"/>
    <w:rsid w:val="0036459E"/>
    <w:rsid w:val="00364B41"/>
    <w:rsid w:val="00364EE1"/>
    <w:rsid w:val="00375A51"/>
    <w:rsid w:val="00381B7F"/>
    <w:rsid w:val="00383096"/>
    <w:rsid w:val="00392DCA"/>
    <w:rsid w:val="0039346C"/>
    <w:rsid w:val="003A41EF"/>
    <w:rsid w:val="003A4B11"/>
    <w:rsid w:val="003B40AD"/>
    <w:rsid w:val="003C4E37"/>
    <w:rsid w:val="003D55F3"/>
    <w:rsid w:val="003E16BE"/>
    <w:rsid w:val="003E2087"/>
    <w:rsid w:val="003E26A4"/>
    <w:rsid w:val="003F4E28"/>
    <w:rsid w:val="003F5E20"/>
    <w:rsid w:val="003F6F71"/>
    <w:rsid w:val="004006E8"/>
    <w:rsid w:val="00401855"/>
    <w:rsid w:val="0040247A"/>
    <w:rsid w:val="00415A46"/>
    <w:rsid w:val="00427E64"/>
    <w:rsid w:val="00443C2C"/>
    <w:rsid w:val="00450584"/>
    <w:rsid w:val="00463AF8"/>
    <w:rsid w:val="00465587"/>
    <w:rsid w:val="00477455"/>
    <w:rsid w:val="00490004"/>
    <w:rsid w:val="00494FDB"/>
    <w:rsid w:val="004A1F7B"/>
    <w:rsid w:val="004B0E95"/>
    <w:rsid w:val="004B47F2"/>
    <w:rsid w:val="004C44D2"/>
    <w:rsid w:val="004D3578"/>
    <w:rsid w:val="004D380D"/>
    <w:rsid w:val="004E213A"/>
    <w:rsid w:val="004F4540"/>
    <w:rsid w:val="004F73A7"/>
    <w:rsid w:val="00503171"/>
    <w:rsid w:val="00506C28"/>
    <w:rsid w:val="00506E6E"/>
    <w:rsid w:val="00524B53"/>
    <w:rsid w:val="00534DA0"/>
    <w:rsid w:val="00543E6C"/>
    <w:rsid w:val="00544210"/>
    <w:rsid w:val="00565087"/>
    <w:rsid w:val="0056573F"/>
    <w:rsid w:val="00571279"/>
    <w:rsid w:val="00576C6A"/>
    <w:rsid w:val="00583A3D"/>
    <w:rsid w:val="005A0B4B"/>
    <w:rsid w:val="005A49C6"/>
    <w:rsid w:val="005C275B"/>
    <w:rsid w:val="005E43BE"/>
    <w:rsid w:val="00611566"/>
    <w:rsid w:val="00625EC5"/>
    <w:rsid w:val="006453A5"/>
    <w:rsid w:val="00646D99"/>
    <w:rsid w:val="006506FF"/>
    <w:rsid w:val="0065258F"/>
    <w:rsid w:val="00656910"/>
    <w:rsid w:val="006574C0"/>
    <w:rsid w:val="0069645A"/>
    <w:rsid w:val="00696821"/>
    <w:rsid w:val="00697897"/>
    <w:rsid w:val="006C66D8"/>
    <w:rsid w:val="006C7042"/>
    <w:rsid w:val="006D1E24"/>
    <w:rsid w:val="006D35DE"/>
    <w:rsid w:val="006E1057"/>
    <w:rsid w:val="006E1417"/>
    <w:rsid w:val="006F6A2C"/>
    <w:rsid w:val="00704645"/>
    <w:rsid w:val="007069DC"/>
    <w:rsid w:val="00710201"/>
    <w:rsid w:val="0072073A"/>
    <w:rsid w:val="007342B5"/>
    <w:rsid w:val="00734A5B"/>
    <w:rsid w:val="0073533C"/>
    <w:rsid w:val="00744E76"/>
    <w:rsid w:val="00757D40"/>
    <w:rsid w:val="00765690"/>
    <w:rsid w:val="007662B5"/>
    <w:rsid w:val="00781F0F"/>
    <w:rsid w:val="0078346C"/>
    <w:rsid w:val="0078727C"/>
    <w:rsid w:val="0079049D"/>
    <w:rsid w:val="00793DC5"/>
    <w:rsid w:val="00796823"/>
    <w:rsid w:val="007A08AC"/>
    <w:rsid w:val="007A2E55"/>
    <w:rsid w:val="007A76BE"/>
    <w:rsid w:val="007B18D8"/>
    <w:rsid w:val="007C095F"/>
    <w:rsid w:val="007C2DD0"/>
    <w:rsid w:val="007E38EB"/>
    <w:rsid w:val="007F2E08"/>
    <w:rsid w:val="008028A4"/>
    <w:rsid w:val="008101A0"/>
    <w:rsid w:val="00811C19"/>
    <w:rsid w:val="00813245"/>
    <w:rsid w:val="00815031"/>
    <w:rsid w:val="00835CB6"/>
    <w:rsid w:val="00840C27"/>
    <w:rsid w:val="00840DE0"/>
    <w:rsid w:val="008607A8"/>
    <w:rsid w:val="0086354A"/>
    <w:rsid w:val="008768CA"/>
    <w:rsid w:val="00877EF9"/>
    <w:rsid w:val="00880559"/>
    <w:rsid w:val="00880903"/>
    <w:rsid w:val="00886131"/>
    <w:rsid w:val="008B4289"/>
    <w:rsid w:val="008B5306"/>
    <w:rsid w:val="008C022F"/>
    <w:rsid w:val="008C2E2A"/>
    <w:rsid w:val="008C3057"/>
    <w:rsid w:val="008C77A8"/>
    <w:rsid w:val="008D2E4D"/>
    <w:rsid w:val="008F1DBD"/>
    <w:rsid w:val="008F396F"/>
    <w:rsid w:val="008F3DCD"/>
    <w:rsid w:val="0090271F"/>
    <w:rsid w:val="00902DB9"/>
    <w:rsid w:val="0090466A"/>
    <w:rsid w:val="00923655"/>
    <w:rsid w:val="00925E3F"/>
    <w:rsid w:val="00934891"/>
    <w:rsid w:val="00936071"/>
    <w:rsid w:val="009376CD"/>
    <w:rsid w:val="00940212"/>
    <w:rsid w:val="00942EC2"/>
    <w:rsid w:val="009472C0"/>
    <w:rsid w:val="0095349A"/>
    <w:rsid w:val="00961B32"/>
    <w:rsid w:val="00962509"/>
    <w:rsid w:val="00970094"/>
    <w:rsid w:val="00970DB3"/>
    <w:rsid w:val="00974BB0"/>
    <w:rsid w:val="00975BCD"/>
    <w:rsid w:val="009876AE"/>
    <w:rsid w:val="0099025E"/>
    <w:rsid w:val="009928A9"/>
    <w:rsid w:val="009A0AF3"/>
    <w:rsid w:val="009A22D6"/>
    <w:rsid w:val="009B07CD"/>
    <w:rsid w:val="009B589C"/>
    <w:rsid w:val="009C19E9"/>
    <w:rsid w:val="009C33C4"/>
    <w:rsid w:val="009D5637"/>
    <w:rsid w:val="009D74A6"/>
    <w:rsid w:val="009E0E87"/>
    <w:rsid w:val="00A011BB"/>
    <w:rsid w:val="00A10F02"/>
    <w:rsid w:val="00A204CA"/>
    <w:rsid w:val="00A209D6"/>
    <w:rsid w:val="00A22738"/>
    <w:rsid w:val="00A430EC"/>
    <w:rsid w:val="00A53724"/>
    <w:rsid w:val="00A54B2B"/>
    <w:rsid w:val="00A636D6"/>
    <w:rsid w:val="00A73B3F"/>
    <w:rsid w:val="00A82346"/>
    <w:rsid w:val="00A9671C"/>
    <w:rsid w:val="00AA1553"/>
    <w:rsid w:val="00AB385B"/>
    <w:rsid w:val="00AE04EE"/>
    <w:rsid w:val="00B05380"/>
    <w:rsid w:val="00B05962"/>
    <w:rsid w:val="00B05DD0"/>
    <w:rsid w:val="00B15449"/>
    <w:rsid w:val="00B16C2F"/>
    <w:rsid w:val="00B22C6A"/>
    <w:rsid w:val="00B27303"/>
    <w:rsid w:val="00B361F5"/>
    <w:rsid w:val="00B47FD1"/>
    <w:rsid w:val="00B516BB"/>
    <w:rsid w:val="00B53AF8"/>
    <w:rsid w:val="00B606E6"/>
    <w:rsid w:val="00B72274"/>
    <w:rsid w:val="00B7538C"/>
    <w:rsid w:val="00B84DB2"/>
    <w:rsid w:val="00BA5752"/>
    <w:rsid w:val="00BB20E3"/>
    <w:rsid w:val="00BC3555"/>
    <w:rsid w:val="00C12B51"/>
    <w:rsid w:val="00C24650"/>
    <w:rsid w:val="00C25465"/>
    <w:rsid w:val="00C33079"/>
    <w:rsid w:val="00C46708"/>
    <w:rsid w:val="00C55A12"/>
    <w:rsid w:val="00C6278C"/>
    <w:rsid w:val="00C6553E"/>
    <w:rsid w:val="00C65CA4"/>
    <w:rsid w:val="00C77CDA"/>
    <w:rsid w:val="00C8277C"/>
    <w:rsid w:val="00C83A13"/>
    <w:rsid w:val="00C86F10"/>
    <w:rsid w:val="00C9068C"/>
    <w:rsid w:val="00C92967"/>
    <w:rsid w:val="00CA2A08"/>
    <w:rsid w:val="00CA3D0C"/>
    <w:rsid w:val="00CA654B"/>
    <w:rsid w:val="00CB72B8"/>
    <w:rsid w:val="00CD0BA8"/>
    <w:rsid w:val="00CD140D"/>
    <w:rsid w:val="00CD4088"/>
    <w:rsid w:val="00CD4C7B"/>
    <w:rsid w:val="00CD58FE"/>
    <w:rsid w:val="00CF4B42"/>
    <w:rsid w:val="00D16669"/>
    <w:rsid w:val="00D33BE3"/>
    <w:rsid w:val="00D3792D"/>
    <w:rsid w:val="00D55E47"/>
    <w:rsid w:val="00D560C6"/>
    <w:rsid w:val="00D62E19"/>
    <w:rsid w:val="00D67CD1"/>
    <w:rsid w:val="00D738D6"/>
    <w:rsid w:val="00D80795"/>
    <w:rsid w:val="00D82DC0"/>
    <w:rsid w:val="00D854BE"/>
    <w:rsid w:val="00D87E00"/>
    <w:rsid w:val="00D9134D"/>
    <w:rsid w:val="00D96D11"/>
    <w:rsid w:val="00DA7A03"/>
    <w:rsid w:val="00DB0DB8"/>
    <w:rsid w:val="00DB1818"/>
    <w:rsid w:val="00DC309B"/>
    <w:rsid w:val="00DC4DA2"/>
    <w:rsid w:val="00DC5261"/>
    <w:rsid w:val="00DD19AC"/>
    <w:rsid w:val="00DD27CA"/>
    <w:rsid w:val="00DE25D2"/>
    <w:rsid w:val="00DF1978"/>
    <w:rsid w:val="00DF4467"/>
    <w:rsid w:val="00E15320"/>
    <w:rsid w:val="00E422EE"/>
    <w:rsid w:val="00E46C08"/>
    <w:rsid w:val="00E471CF"/>
    <w:rsid w:val="00E5395B"/>
    <w:rsid w:val="00E62835"/>
    <w:rsid w:val="00E63ED1"/>
    <w:rsid w:val="00E77645"/>
    <w:rsid w:val="00E83697"/>
    <w:rsid w:val="00E859B6"/>
    <w:rsid w:val="00EA66C9"/>
    <w:rsid w:val="00EC4A25"/>
    <w:rsid w:val="00ED5893"/>
    <w:rsid w:val="00EE6412"/>
    <w:rsid w:val="00EF11EC"/>
    <w:rsid w:val="00EF612C"/>
    <w:rsid w:val="00F025A2"/>
    <w:rsid w:val="00F036E9"/>
    <w:rsid w:val="00F07388"/>
    <w:rsid w:val="00F1125E"/>
    <w:rsid w:val="00F2026E"/>
    <w:rsid w:val="00F2210A"/>
    <w:rsid w:val="00F23E2E"/>
    <w:rsid w:val="00F31372"/>
    <w:rsid w:val="00F37743"/>
    <w:rsid w:val="00F54A3D"/>
    <w:rsid w:val="00F54CB0"/>
    <w:rsid w:val="00F54D75"/>
    <w:rsid w:val="00F579CD"/>
    <w:rsid w:val="00F653B8"/>
    <w:rsid w:val="00F71B89"/>
    <w:rsid w:val="00F7353C"/>
    <w:rsid w:val="00F76F8F"/>
    <w:rsid w:val="00F87725"/>
    <w:rsid w:val="00F941DF"/>
    <w:rsid w:val="00FA1266"/>
    <w:rsid w:val="00FA6D4C"/>
    <w:rsid w:val="00FB24E8"/>
    <w:rsid w:val="00FB36FA"/>
    <w:rsid w:val="00FC1192"/>
    <w:rsid w:val="00FC25E3"/>
    <w:rsid w:val="00FC61C2"/>
    <w:rsid w:val="00FD1A20"/>
    <w:rsid w:val="00FE08BE"/>
    <w:rsid w:val="00FE106D"/>
    <w:rsid w:val="00FE251B"/>
    <w:rsid w:val="00FE4AF8"/>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 w:type="character" w:customStyle="1" w:styleId="Doc-text2Char">
    <w:name w:val="Doc-text2 Char"/>
    <w:basedOn w:val="DefaultParagraphFont"/>
    <w:link w:val="Doc-text2"/>
    <w:locked/>
    <w:rsid w:val="00BB20E3"/>
    <w:rPr>
      <w:rFonts w:ascii="Arial" w:hAnsi="Arial" w:cs="Arial"/>
    </w:rPr>
  </w:style>
  <w:style w:type="paragraph" w:customStyle="1" w:styleId="Doc-text2">
    <w:name w:val="Doc-text2"/>
    <w:basedOn w:val="Normal"/>
    <w:link w:val="Doc-text2Char"/>
    <w:rsid w:val="00BB20E3"/>
    <w:pPr>
      <w:spacing w:after="0"/>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95545461">
      <w:bodyDiv w:val="1"/>
      <w:marLeft w:val="0"/>
      <w:marRight w:val="0"/>
      <w:marTop w:val="0"/>
      <w:marBottom w:val="0"/>
      <w:divBdr>
        <w:top w:val="none" w:sz="0" w:space="0" w:color="auto"/>
        <w:left w:val="none" w:sz="0" w:space="0" w:color="auto"/>
        <w:bottom w:val="none" w:sz="0" w:space="0" w:color="auto"/>
        <w:right w:val="none" w:sz="0" w:space="0" w:color="auto"/>
      </w:divBdr>
    </w:div>
    <w:div w:id="1573659536">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5AIRPNAIUNRU-859666464-11422</_dlc_DocId>
    <_dlc_DocIdUrl xmlns="71c5aaf6-e6ce-465b-b873-5148d2a4c105">
      <Url>https://nokia.sharepoint.com/sites/c5g/e2earch/_layouts/15/DocIdRedir.aspx?ID=5AIRPNAIUNRU-859666464-11422</Url>
      <Description>5AIRPNAIUNRU-859666464-11422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09F8187-F91D-42FF-8EAD-23236267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1967</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2022-04-25T17:00:00Z</dcterms:created>
  <dcterms:modified xsi:type="dcterms:W3CDTF">2022-04-26T01:35:00Z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6e7481b0-1e24-4e5f-b3f5-f85c2d8ca6f7</vt:lpwstr>
  </property>
</Properties>
</file>