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0F717805"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33C7840"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5ED85893"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B7923FA" w:rsidR="007405E3" w:rsidRDefault="005D14F6">
            <w:pPr>
              <w:pStyle w:val="TAC"/>
              <w:spacing w:before="20" w:after="20"/>
              <w:ind w:left="57" w:right="57"/>
              <w:jc w:val="left"/>
              <w:rPr>
                <w:lang w:eastAsia="zh-CN"/>
              </w:rPr>
            </w:pPr>
            <w:r>
              <w:rPr>
                <w:lang w:eastAsia="zh-CN"/>
              </w:rPr>
              <w:t>martino.freda@interdigital.com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Whether/how to support MIB related field forwarding, e.g., cellBar</w:t>
            </w:r>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[Unhandled issue due to comment]Whether SRAP configuration can be stored as AS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ListParagraph"/>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19E17726"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0947C506"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17A8E563"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B85627"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D9539" w14:textId="77777777" w:rsidR="00B85627" w:rsidRDefault="00B85627" w:rsidP="00446A36">
            <w:pPr>
              <w:pStyle w:val="TAC"/>
              <w:spacing w:before="20" w:after="20"/>
              <w:ind w:left="57" w:right="57"/>
              <w:jc w:val="left"/>
              <w:rPr>
                <w:lang w:eastAsia="zh-CN"/>
              </w:rPr>
            </w:pPr>
          </w:p>
        </w:tc>
      </w:tr>
      <w:tr w:rsidR="00B85627"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B85627" w:rsidRDefault="00B85627" w:rsidP="00446A36">
            <w:pPr>
              <w:pStyle w:val="TAC"/>
              <w:spacing w:before="20" w:after="20"/>
              <w:ind w:left="57" w:right="57"/>
              <w:jc w:val="left"/>
              <w:rPr>
                <w:lang w:eastAsia="zh-CN"/>
              </w:rPr>
            </w:pPr>
          </w:p>
        </w:tc>
      </w:tr>
      <w:tr w:rsidR="00B8562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B85627" w:rsidRDefault="00B85627" w:rsidP="00446A36">
            <w:pPr>
              <w:pStyle w:val="TAC"/>
              <w:spacing w:before="20" w:after="20"/>
              <w:ind w:left="57" w:right="57"/>
              <w:jc w:val="left"/>
              <w:rPr>
                <w:lang w:eastAsia="zh-CN"/>
              </w:rPr>
            </w:pPr>
          </w:p>
        </w:tc>
      </w:tr>
      <w:tr w:rsidR="00B85627"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B85627" w:rsidRDefault="00B85627" w:rsidP="00446A36">
            <w:pPr>
              <w:pStyle w:val="TAC"/>
              <w:spacing w:before="20" w:after="20"/>
              <w:ind w:left="57" w:right="57"/>
              <w:jc w:val="left"/>
              <w:rPr>
                <w:lang w:eastAsia="zh-CN"/>
              </w:rPr>
            </w:pPr>
          </w:p>
        </w:tc>
      </w:tr>
      <w:tr w:rsidR="00B85627"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B85627" w:rsidRDefault="00B8562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B85627" w:rsidRDefault="00B8562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B85627" w:rsidRDefault="00B85627" w:rsidP="00446A36">
            <w:pPr>
              <w:pStyle w:val="TAC"/>
              <w:spacing w:before="20" w:after="20"/>
              <w:ind w:left="57" w:right="57"/>
              <w:jc w:val="left"/>
              <w:rPr>
                <w:lang w:eastAsia="zh-CN"/>
              </w:rPr>
            </w:pPr>
          </w:p>
        </w:tc>
      </w:tr>
      <w:tr w:rsidR="00B85627"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B85627" w:rsidRPr="00B70B24" w:rsidRDefault="00B8562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B85627" w:rsidRPr="00B70B24" w:rsidRDefault="00B8562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B85627" w:rsidRPr="000C2E87" w:rsidRDefault="00B85627" w:rsidP="00446A36">
            <w:pPr>
              <w:pStyle w:val="TAC"/>
              <w:spacing w:before="20" w:after="20"/>
              <w:ind w:left="57" w:right="57"/>
              <w:jc w:val="left"/>
              <w:rPr>
                <w:lang w:eastAsia="zh-CN"/>
              </w:rPr>
            </w:pPr>
          </w:p>
        </w:tc>
      </w:tr>
      <w:tr w:rsidR="00B85627"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B85627" w:rsidRDefault="00B85627" w:rsidP="00446A36">
            <w:pPr>
              <w:pStyle w:val="TAC"/>
              <w:spacing w:before="20" w:after="20"/>
              <w:ind w:left="57" w:right="57"/>
              <w:jc w:val="left"/>
              <w:rPr>
                <w:lang w:eastAsia="zh-CN"/>
              </w:rPr>
            </w:pPr>
          </w:p>
        </w:tc>
      </w:tr>
      <w:tr w:rsidR="00B85627"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B85627" w:rsidRDefault="00B85627" w:rsidP="00446A36">
            <w:pPr>
              <w:pStyle w:val="TAC"/>
              <w:spacing w:before="20" w:after="20"/>
              <w:ind w:left="57" w:right="57"/>
              <w:jc w:val="left"/>
              <w:rPr>
                <w:lang w:eastAsia="zh-CN"/>
              </w:rPr>
            </w:pPr>
          </w:p>
        </w:tc>
      </w:tr>
      <w:tr w:rsidR="00B85627"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B85627" w:rsidRDefault="00B85627" w:rsidP="00446A36">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6CE652A4"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5E360D6B"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470C5BCD" w:rsidR="00FA0D6F" w:rsidRDefault="005D14F6" w:rsidP="00840DB9">
            <w:pPr>
              <w:pStyle w:val="TAC"/>
              <w:spacing w:before="20" w:after="20"/>
              <w:ind w:left="57" w:right="57"/>
              <w:jc w:val="left"/>
              <w:rPr>
                <w:lang w:eastAsia="zh-CN"/>
              </w:rPr>
            </w:pPr>
            <w:r>
              <w:rPr>
                <w:lang w:eastAsia="zh-CN"/>
              </w:rPr>
              <w:t>We can accept either alternative.</w:t>
            </w:r>
          </w:p>
        </w:tc>
      </w:tr>
      <w:tr w:rsidR="00FA0D6F"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F5DE4" w14:textId="77777777" w:rsidR="00FA0D6F" w:rsidRDefault="00FA0D6F" w:rsidP="00840DB9">
            <w:pPr>
              <w:pStyle w:val="TAC"/>
              <w:spacing w:before="20" w:after="20"/>
              <w:ind w:left="57" w:right="57"/>
              <w:jc w:val="left"/>
              <w:rPr>
                <w:lang w:eastAsia="zh-CN"/>
              </w:rPr>
            </w:pPr>
          </w:p>
        </w:tc>
      </w:tr>
      <w:tr w:rsidR="00FA0D6F"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FA0D6F" w:rsidRDefault="00FA0D6F" w:rsidP="00840DB9">
            <w:pPr>
              <w:pStyle w:val="TAC"/>
              <w:spacing w:before="20" w:after="20"/>
              <w:ind w:left="57" w:right="57"/>
              <w:jc w:val="left"/>
              <w:rPr>
                <w:lang w:eastAsia="zh-CN"/>
              </w:rPr>
            </w:pPr>
          </w:p>
        </w:tc>
      </w:tr>
      <w:tr w:rsidR="00FA0D6F"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FA0D6F" w:rsidRDefault="00FA0D6F" w:rsidP="00840DB9">
            <w:pPr>
              <w:pStyle w:val="TAC"/>
              <w:spacing w:before="20" w:after="20"/>
              <w:ind w:left="57" w:right="57"/>
              <w:jc w:val="left"/>
              <w:rPr>
                <w:lang w:eastAsia="zh-CN"/>
              </w:rPr>
            </w:pPr>
          </w:p>
        </w:tc>
      </w:tr>
      <w:tr w:rsidR="00FA0D6F"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FA0D6F" w:rsidRDefault="00FA0D6F" w:rsidP="00840DB9">
            <w:pPr>
              <w:pStyle w:val="TAC"/>
              <w:spacing w:before="20" w:after="20"/>
              <w:ind w:left="57" w:right="57"/>
              <w:jc w:val="left"/>
              <w:rPr>
                <w:lang w:eastAsia="zh-CN"/>
              </w:rPr>
            </w:pPr>
          </w:p>
        </w:tc>
      </w:tr>
      <w:tr w:rsidR="00FA0D6F"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FA0D6F" w:rsidRDefault="00FA0D6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FA0D6F" w:rsidRDefault="00FA0D6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FA0D6F" w:rsidRDefault="00FA0D6F" w:rsidP="00840DB9">
            <w:pPr>
              <w:pStyle w:val="TAC"/>
              <w:spacing w:before="20" w:after="20"/>
              <w:ind w:left="57" w:right="57"/>
              <w:jc w:val="left"/>
              <w:rPr>
                <w:lang w:eastAsia="zh-CN"/>
              </w:rPr>
            </w:pPr>
          </w:p>
        </w:tc>
      </w:tr>
      <w:tr w:rsidR="00FA0D6F"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FA0D6F" w:rsidRPr="00B70B24" w:rsidRDefault="00FA0D6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FA0D6F" w:rsidRPr="00B70B24" w:rsidRDefault="00FA0D6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FA0D6F" w:rsidRPr="000C2E87" w:rsidRDefault="00FA0D6F" w:rsidP="00840DB9">
            <w:pPr>
              <w:pStyle w:val="TAC"/>
              <w:spacing w:before="20" w:after="20"/>
              <w:ind w:left="57" w:right="57"/>
              <w:jc w:val="left"/>
              <w:rPr>
                <w:lang w:eastAsia="zh-CN"/>
              </w:rPr>
            </w:pPr>
          </w:p>
        </w:tc>
      </w:tr>
      <w:tr w:rsidR="00FA0D6F"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FA0D6F" w:rsidRDefault="00FA0D6F" w:rsidP="00840DB9">
            <w:pPr>
              <w:pStyle w:val="TAC"/>
              <w:spacing w:before="20" w:after="20"/>
              <w:ind w:left="57" w:right="57"/>
              <w:jc w:val="left"/>
              <w:rPr>
                <w:lang w:eastAsia="zh-CN"/>
              </w:rPr>
            </w:pPr>
          </w:p>
        </w:tc>
      </w:tr>
      <w:tr w:rsidR="00FA0D6F"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FA0D6F" w:rsidRDefault="00FA0D6F" w:rsidP="00840DB9">
            <w:pPr>
              <w:pStyle w:val="TAC"/>
              <w:spacing w:before="20" w:after="20"/>
              <w:ind w:left="57" w:right="57"/>
              <w:jc w:val="left"/>
              <w:rPr>
                <w:lang w:eastAsia="zh-CN"/>
              </w:rPr>
            </w:pPr>
          </w:p>
        </w:tc>
      </w:tr>
      <w:tr w:rsidR="00FA0D6F"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FA0D6F" w:rsidRDefault="00FA0D6F" w:rsidP="00840DB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483584FB" w14:textId="091AE7EE" w:rsidR="00F24F8F" w:rsidRDefault="00F24F8F" w:rsidP="00F24F8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23C2681F"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5B5F35"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BAA270E" w:rsidR="00F24F8F" w:rsidRDefault="005D14F6" w:rsidP="00840DB9">
            <w:pPr>
              <w:pStyle w:val="TAC"/>
              <w:spacing w:before="20" w:after="20"/>
              <w:ind w:left="57" w:right="57"/>
              <w:jc w:val="left"/>
              <w:rPr>
                <w:lang w:eastAsia="zh-CN"/>
              </w:rPr>
            </w:pPr>
            <w:r>
              <w:rPr>
                <w:lang w:eastAsia="zh-CN"/>
              </w:rPr>
              <w:t>Agree with Apple.</w:t>
            </w:r>
          </w:p>
        </w:tc>
      </w:tr>
      <w:tr w:rsidR="00F24F8F"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77777777" w:rsidR="00F24F8F" w:rsidRDefault="00F24F8F" w:rsidP="00840DB9">
            <w:pPr>
              <w:pStyle w:val="TAC"/>
              <w:spacing w:before="20" w:after="20"/>
              <w:ind w:left="57" w:right="57"/>
              <w:jc w:val="left"/>
              <w:rPr>
                <w:lang w:eastAsia="zh-CN"/>
              </w:rPr>
            </w:pPr>
          </w:p>
        </w:tc>
      </w:tr>
      <w:tr w:rsidR="00F24F8F"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F24F8F" w:rsidRDefault="00F24F8F" w:rsidP="00840DB9">
            <w:pPr>
              <w:pStyle w:val="TAC"/>
              <w:spacing w:before="20" w:after="20"/>
              <w:ind w:left="57" w:right="57"/>
              <w:jc w:val="left"/>
              <w:rPr>
                <w:lang w:eastAsia="zh-CN"/>
              </w:rPr>
            </w:pPr>
          </w:p>
        </w:tc>
      </w:tr>
      <w:tr w:rsidR="00F24F8F"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F24F8F" w:rsidRDefault="00F24F8F" w:rsidP="00840DB9">
            <w:pPr>
              <w:pStyle w:val="TAC"/>
              <w:spacing w:before="20" w:after="20"/>
              <w:ind w:left="57" w:right="57"/>
              <w:jc w:val="left"/>
              <w:rPr>
                <w:lang w:eastAsia="zh-CN"/>
              </w:rPr>
            </w:pPr>
          </w:p>
        </w:tc>
      </w:tr>
      <w:tr w:rsidR="00F24F8F"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F24F8F" w:rsidRDefault="00F24F8F" w:rsidP="00840DB9">
            <w:pPr>
              <w:pStyle w:val="TAC"/>
              <w:spacing w:before="20" w:after="20"/>
              <w:ind w:left="57" w:right="57"/>
              <w:jc w:val="left"/>
              <w:rPr>
                <w:lang w:eastAsia="zh-CN"/>
              </w:rPr>
            </w:pPr>
          </w:p>
        </w:tc>
      </w:tr>
      <w:tr w:rsidR="00F24F8F"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F24F8F" w:rsidRDefault="00F24F8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F24F8F" w:rsidRDefault="00F24F8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F24F8F" w:rsidRDefault="00F24F8F" w:rsidP="00840DB9">
            <w:pPr>
              <w:pStyle w:val="TAC"/>
              <w:spacing w:before="20" w:after="20"/>
              <w:ind w:left="57" w:right="57"/>
              <w:jc w:val="left"/>
              <w:rPr>
                <w:lang w:eastAsia="zh-CN"/>
              </w:rPr>
            </w:pPr>
          </w:p>
        </w:tc>
      </w:tr>
      <w:tr w:rsidR="00F24F8F"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F24F8F" w:rsidRPr="00B70B24" w:rsidRDefault="00F24F8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F24F8F" w:rsidRPr="00B70B24" w:rsidRDefault="00F24F8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F24F8F" w:rsidRPr="000C2E87" w:rsidRDefault="00F24F8F" w:rsidP="00840DB9">
            <w:pPr>
              <w:pStyle w:val="TAC"/>
              <w:spacing w:before="20" w:after="20"/>
              <w:ind w:left="57" w:right="57"/>
              <w:jc w:val="left"/>
              <w:rPr>
                <w:lang w:eastAsia="zh-CN"/>
              </w:rPr>
            </w:pPr>
          </w:p>
        </w:tc>
      </w:tr>
      <w:tr w:rsidR="00F24F8F"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F24F8F" w:rsidRDefault="00F24F8F" w:rsidP="00840DB9">
            <w:pPr>
              <w:pStyle w:val="TAC"/>
              <w:spacing w:before="20" w:after="20"/>
              <w:ind w:left="57" w:right="57"/>
              <w:jc w:val="left"/>
              <w:rPr>
                <w:lang w:eastAsia="zh-CN"/>
              </w:rPr>
            </w:pPr>
          </w:p>
        </w:tc>
      </w:tr>
      <w:tr w:rsidR="00F24F8F"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F24F8F" w:rsidRDefault="00F24F8F" w:rsidP="00840DB9">
            <w:pPr>
              <w:pStyle w:val="TAC"/>
              <w:spacing w:before="20" w:after="20"/>
              <w:ind w:left="57" w:right="57"/>
              <w:jc w:val="left"/>
              <w:rPr>
                <w:lang w:eastAsia="zh-CN"/>
              </w:rPr>
            </w:pPr>
          </w:p>
        </w:tc>
      </w:tr>
      <w:tr w:rsidR="00F24F8F"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F24F8F" w:rsidRDefault="00F24F8F" w:rsidP="00840DB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18F105C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0CEC16DA"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5B2262D1"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CD3808"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77777777" w:rsidR="00CD3808" w:rsidRDefault="00CD3808" w:rsidP="00ED16CC">
            <w:pPr>
              <w:pStyle w:val="TAC"/>
              <w:spacing w:before="20" w:after="20"/>
              <w:ind w:left="57" w:right="57"/>
              <w:jc w:val="left"/>
              <w:rPr>
                <w:lang w:eastAsia="zh-CN"/>
              </w:rPr>
            </w:pPr>
          </w:p>
        </w:tc>
      </w:tr>
      <w:tr w:rsidR="00CD3808"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CD3808" w:rsidRDefault="00CD3808" w:rsidP="00ED16CC">
            <w:pPr>
              <w:pStyle w:val="TAC"/>
              <w:spacing w:before="20" w:after="20"/>
              <w:ind w:left="57" w:right="57"/>
              <w:jc w:val="left"/>
              <w:rPr>
                <w:lang w:eastAsia="zh-CN"/>
              </w:rPr>
            </w:pPr>
          </w:p>
        </w:tc>
      </w:tr>
      <w:tr w:rsidR="00CD3808"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CD3808" w:rsidRDefault="00CD3808" w:rsidP="00ED16CC">
            <w:pPr>
              <w:pStyle w:val="TAC"/>
              <w:spacing w:before="20" w:after="20"/>
              <w:ind w:left="57" w:right="57"/>
              <w:jc w:val="left"/>
              <w:rPr>
                <w:lang w:eastAsia="zh-CN"/>
              </w:rPr>
            </w:pPr>
          </w:p>
        </w:tc>
      </w:tr>
      <w:tr w:rsidR="00CD3808"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CD3808" w:rsidRDefault="00CD3808" w:rsidP="00ED16CC">
            <w:pPr>
              <w:pStyle w:val="TAC"/>
              <w:spacing w:before="20" w:after="20"/>
              <w:ind w:left="57" w:right="57"/>
              <w:jc w:val="left"/>
              <w:rPr>
                <w:lang w:eastAsia="zh-CN"/>
              </w:rPr>
            </w:pPr>
          </w:p>
        </w:tc>
      </w:tr>
      <w:tr w:rsidR="00CD3808"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CD3808" w:rsidRDefault="00CD3808"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CD3808" w:rsidRDefault="00CD3808"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CD3808" w:rsidRDefault="00CD3808" w:rsidP="00ED16CC">
            <w:pPr>
              <w:pStyle w:val="TAC"/>
              <w:spacing w:before="20" w:after="20"/>
              <w:ind w:left="57" w:right="57"/>
              <w:jc w:val="left"/>
              <w:rPr>
                <w:lang w:eastAsia="zh-CN"/>
              </w:rPr>
            </w:pPr>
          </w:p>
        </w:tc>
      </w:tr>
      <w:tr w:rsidR="00CD3808"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CD3808" w:rsidRPr="00B70B24" w:rsidRDefault="00CD3808"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CD3808" w:rsidRPr="00B70B24" w:rsidRDefault="00CD3808"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CD3808" w:rsidRPr="000C2E87" w:rsidRDefault="00CD3808" w:rsidP="00ED16CC">
            <w:pPr>
              <w:pStyle w:val="TAC"/>
              <w:spacing w:before="20" w:after="20"/>
              <w:ind w:left="57" w:right="57"/>
              <w:jc w:val="left"/>
              <w:rPr>
                <w:lang w:eastAsia="zh-CN"/>
              </w:rPr>
            </w:pPr>
          </w:p>
        </w:tc>
      </w:tr>
      <w:tr w:rsidR="00CD3808"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CD3808" w:rsidRDefault="00CD3808" w:rsidP="00ED16CC">
            <w:pPr>
              <w:pStyle w:val="TAC"/>
              <w:spacing w:before="20" w:after="20"/>
              <w:ind w:left="57" w:right="57"/>
              <w:jc w:val="left"/>
              <w:rPr>
                <w:lang w:eastAsia="zh-CN"/>
              </w:rPr>
            </w:pPr>
          </w:p>
        </w:tc>
      </w:tr>
      <w:tr w:rsidR="00CD3808"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CD3808" w:rsidRDefault="00CD3808" w:rsidP="00ED16CC">
            <w:pPr>
              <w:pStyle w:val="TAC"/>
              <w:spacing w:before="20" w:after="20"/>
              <w:ind w:left="57" w:right="57"/>
              <w:jc w:val="left"/>
              <w:rPr>
                <w:lang w:eastAsia="zh-CN"/>
              </w:rPr>
            </w:pPr>
          </w:p>
        </w:tc>
      </w:tr>
      <w:tr w:rsidR="00CD3808"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CD3808" w:rsidRDefault="00CD3808" w:rsidP="00ED16CC">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54DB469E"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26C9FC0B"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42909120"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1336DF"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77777777" w:rsidR="001336DF" w:rsidRDefault="001336DF" w:rsidP="00840DB9">
            <w:pPr>
              <w:pStyle w:val="TAC"/>
              <w:spacing w:before="20" w:after="20"/>
              <w:ind w:left="57" w:right="57"/>
              <w:jc w:val="left"/>
              <w:rPr>
                <w:lang w:eastAsia="zh-CN"/>
              </w:rPr>
            </w:pPr>
          </w:p>
        </w:tc>
      </w:tr>
      <w:tr w:rsidR="001336DF"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1336DF" w:rsidRDefault="001336DF" w:rsidP="00840DB9">
            <w:pPr>
              <w:pStyle w:val="TAC"/>
              <w:spacing w:before="20" w:after="20"/>
              <w:ind w:left="57" w:right="57"/>
              <w:jc w:val="left"/>
              <w:rPr>
                <w:lang w:eastAsia="zh-CN"/>
              </w:rPr>
            </w:pPr>
          </w:p>
        </w:tc>
      </w:tr>
      <w:tr w:rsidR="001336DF"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1336DF" w:rsidRDefault="001336DF" w:rsidP="00840DB9">
            <w:pPr>
              <w:pStyle w:val="TAC"/>
              <w:spacing w:before="20" w:after="20"/>
              <w:ind w:left="57" w:right="57"/>
              <w:jc w:val="left"/>
              <w:rPr>
                <w:lang w:eastAsia="zh-CN"/>
              </w:rPr>
            </w:pPr>
          </w:p>
        </w:tc>
      </w:tr>
      <w:tr w:rsidR="001336DF"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1336DF" w:rsidRDefault="001336DF" w:rsidP="00840DB9">
            <w:pPr>
              <w:pStyle w:val="TAC"/>
              <w:spacing w:before="20" w:after="20"/>
              <w:ind w:left="57" w:right="57"/>
              <w:jc w:val="left"/>
              <w:rPr>
                <w:lang w:eastAsia="zh-CN"/>
              </w:rPr>
            </w:pPr>
          </w:p>
        </w:tc>
      </w:tr>
      <w:tr w:rsidR="001336DF"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1336DF" w:rsidRDefault="001336DF" w:rsidP="00840DB9">
            <w:pPr>
              <w:pStyle w:val="TAC"/>
              <w:spacing w:before="20" w:after="20"/>
              <w:ind w:left="57" w:right="57"/>
              <w:jc w:val="left"/>
              <w:rPr>
                <w:lang w:eastAsia="zh-CN"/>
              </w:rPr>
            </w:pPr>
          </w:p>
        </w:tc>
      </w:tr>
      <w:tr w:rsidR="001336DF"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1336DF" w:rsidRDefault="001336DF" w:rsidP="00840DB9">
            <w:pPr>
              <w:pStyle w:val="TAC"/>
              <w:spacing w:before="20" w:after="20"/>
              <w:ind w:left="57" w:right="57"/>
              <w:jc w:val="left"/>
              <w:rPr>
                <w:lang w:eastAsia="zh-CN"/>
              </w:rPr>
            </w:pPr>
          </w:p>
        </w:tc>
      </w:tr>
      <w:tr w:rsidR="001336DF"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1336DF" w:rsidRDefault="001336DF" w:rsidP="00840DB9">
            <w:pPr>
              <w:pStyle w:val="TAC"/>
              <w:spacing w:before="20" w:after="20"/>
              <w:ind w:left="57" w:right="57"/>
              <w:jc w:val="left"/>
              <w:rPr>
                <w:lang w:eastAsia="zh-CN"/>
              </w:rPr>
            </w:pPr>
          </w:p>
        </w:tc>
      </w:tr>
      <w:tr w:rsidR="001336DF"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1336DF" w:rsidRDefault="001336D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1336DF" w:rsidRDefault="001336D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1336DF" w:rsidRDefault="001336DF" w:rsidP="00840DB9">
            <w:pPr>
              <w:pStyle w:val="TAC"/>
              <w:spacing w:before="20" w:after="20"/>
              <w:ind w:left="57" w:right="57"/>
              <w:jc w:val="left"/>
              <w:rPr>
                <w:lang w:eastAsia="zh-CN"/>
              </w:rPr>
            </w:pPr>
          </w:p>
        </w:tc>
      </w:tr>
      <w:tr w:rsidR="001336DF"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1336DF" w:rsidRPr="00B70B24" w:rsidRDefault="001336D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1336DF" w:rsidRPr="00B70B24" w:rsidRDefault="001336D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1336DF" w:rsidRPr="000C2E87" w:rsidRDefault="001336DF" w:rsidP="00840DB9">
            <w:pPr>
              <w:pStyle w:val="TAC"/>
              <w:spacing w:before="20" w:after="20"/>
              <w:ind w:left="57" w:right="57"/>
              <w:jc w:val="left"/>
              <w:rPr>
                <w:lang w:eastAsia="zh-CN"/>
              </w:rPr>
            </w:pPr>
          </w:p>
        </w:tc>
      </w:tr>
      <w:tr w:rsidR="001336DF"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1336DF" w:rsidRDefault="001336DF" w:rsidP="00840DB9">
            <w:pPr>
              <w:pStyle w:val="TAC"/>
              <w:spacing w:before="20" w:after="20"/>
              <w:ind w:left="57" w:right="57"/>
              <w:jc w:val="left"/>
              <w:rPr>
                <w:lang w:eastAsia="zh-CN"/>
              </w:rPr>
            </w:pPr>
          </w:p>
        </w:tc>
      </w:tr>
      <w:tr w:rsidR="001336DF"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1336DF" w:rsidRDefault="001336DF" w:rsidP="00840DB9">
            <w:pPr>
              <w:pStyle w:val="TAC"/>
              <w:spacing w:before="20" w:after="20"/>
              <w:ind w:left="57" w:right="57"/>
              <w:jc w:val="left"/>
              <w:rPr>
                <w:lang w:eastAsia="zh-CN"/>
              </w:rPr>
            </w:pPr>
          </w:p>
        </w:tc>
      </w:tr>
      <w:tr w:rsidR="001336DF"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1336DF" w:rsidRDefault="001336DF" w:rsidP="00840DB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68DCC17B"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59ED8990"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B3A77D0"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721C2A"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721C2A" w:rsidRDefault="00721C2A" w:rsidP="00840DB9">
            <w:pPr>
              <w:pStyle w:val="TAC"/>
              <w:spacing w:before="20" w:after="20"/>
              <w:ind w:left="57" w:right="57"/>
              <w:jc w:val="left"/>
              <w:rPr>
                <w:lang w:eastAsia="zh-CN"/>
              </w:rPr>
            </w:pPr>
          </w:p>
        </w:tc>
      </w:tr>
      <w:tr w:rsidR="00721C2A"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721C2A" w:rsidRDefault="00721C2A" w:rsidP="00840DB9">
            <w:pPr>
              <w:pStyle w:val="TAC"/>
              <w:spacing w:before="20" w:after="20"/>
              <w:ind w:left="57" w:right="57"/>
              <w:jc w:val="left"/>
              <w:rPr>
                <w:lang w:eastAsia="zh-CN"/>
              </w:rPr>
            </w:pPr>
          </w:p>
        </w:tc>
      </w:tr>
      <w:tr w:rsidR="00721C2A"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721C2A" w:rsidRDefault="00721C2A" w:rsidP="00840DB9">
            <w:pPr>
              <w:pStyle w:val="TAC"/>
              <w:spacing w:before="20" w:after="20"/>
              <w:ind w:left="57" w:right="57"/>
              <w:jc w:val="left"/>
              <w:rPr>
                <w:lang w:eastAsia="zh-CN"/>
              </w:rPr>
            </w:pPr>
          </w:p>
        </w:tc>
      </w:tr>
      <w:tr w:rsidR="00721C2A"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721C2A" w:rsidRDefault="00721C2A" w:rsidP="00840DB9">
            <w:pPr>
              <w:pStyle w:val="TAC"/>
              <w:spacing w:before="20" w:after="20"/>
              <w:ind w:left="57" w:right="57"/>
              <w:jc w:val="left"/>
              <w:rPr>
                <w:lang w:eastAsia="zh-CN"/>
              </w:rPr>
            </w:pPr>
          </w:p>
        </w:tc>
      </w:tr>
      <w:tr w:rsidR="00721C2A"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721C2A" w:rsidRDefault="00721C2A" w:rsidP="00840DB9">
            <w:pPr>
              <w:pStyle w:val="TAC"/>
              <w:spacing w:before="20" w:after="20"/>
              <w:ind w:left="57" w:right="57"/>
              <w:jc w:val="left"/>
              <w:rPr>
                <w:lang w:eastAsia="zh-CN"/>
              </w:rPr>
            </w:pPr>
          </w:p>
        </w:tc>
      </w:tr>
      <w:tr w:rsidR="00721C2A"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721C2A" w:rsidRDefault="00721C2A" w:rsidP="00840DB9">
            <w:pPr>
              <w:pStyle w:val="TAC"/>
              <w:spacing w:before="20" w:after="20"/>
              <w:ind w:left="57" w:right="57"/>
              <w:jc w:val="left"/>
              <w:rPr>
                <w:lang w:eastAsia="zh-CN"/>
              </w:rPr>
            </w:pPr>
          </w:p>
        </w:tc>
      </w:tr>
      <w:tr w:rsidR="00721C2A"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721C2A" w:rsidRDefault="00721C2A" w:rsidP="00840DB9">
            <w:pPr>
              <w:pStyle w:val="TAC"/>
              <w:spacing w:before="20" w:after="20"/>
              <w:ind w:left="57" w:right="57"/>
              <w:jc w:val="left"/>
              <w:rPr>
                <w:lang w:eastAsia="zh-CN"/>
              </w:rPr>
            </w:pPr>
          </w:p>
        </w:tc>
      </w:tr>
      <w:tr w:rsidR="00721C2A"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721C2A" w:rsidRDefault="00721C2A"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721C2A" w:rsidRDefault="00721C2A"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721C2A" w:rsidRDefault="00721C2A" w:rsidP="00840DB9">
            <w:pPr>
              <w:pStyle w:val="TAC"/>
              <w:spacing w:before="20" w:after="20"/>
              <w:ind w:left="57" w:right="57"/>
              <w:jc w:val="left"/>
              <w:rPr>
                <w:lang w:eastAsia="zh-CN"/>
              </w:rPr>
            </w:pPr>
          </w:p>
        </w:tc>
      </w:tr>
      <w:tr w:rsidR="00721C2A"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721C2A" w:rsidRPr="00B70B24" w:rsidRDefault="00721C2A"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721C2A" w:rsidRPr="00B70B24" w:rsidRDefault="00721C2A"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721C2A" w:rsidRPr="000C2E87" w:rsidRDefault="00721C2A" w:rsidP="00840DB9">
            <w:pPr>
              <w:pStyle w:val="TAC"/>
              <w:spacing w:before="20" w:after="20"/>
              <w:ind w:left="57" w:right="57"/>
              <w:jc w:val="left"/>
              <w:rPr>
                <w:lang w:eastAsia="zh-CN"/>
              </w:rPr>
            </w:pPr>
          </w:p>
        </w:tc>
      </w:tr>
      <w:tr w:rsidR="00721C2A"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721C2A" w:rsidRDefault="00721C2A" w:rsidP="00840DB9">
            <w:pPr>
              <w:pStyle w:val="TAC"/>
              <w:spacing w:before="20" w:after="20"/>
              <w:ind w:left="57" w:right="57"/>
              <w:jc w:val="left"/>
              <w:rPr>
                <w:lang w:eastAsia="zh-CN"/>
              </w:rPr>
            </w:pPr>
          </w:p>
        </w:tc>
      </w:tr>
      <w:tr w:rsidR="00721C2A"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721C2A" w:rsidRDefault="00721C2A" w:rsidP="00840DB9">
            <w:pPr>
              <w:pStyle w:val="TAC"/>
              <w:spacing w:before="20" w:after="20"/>
              <w:ind w:left="57" w:right="57"/>
              <w:jc w:val="left"/>
              <w:rPr>
                <w:lang w:eastAsia="zh-CN"/>
              </w:rPr>
            </w:pPr>
          </w:p>
        </w:tc>
      </w:tr>
      <w:tr w:rsidR="00721C2A"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721C2A" w:rsidRDefault="00721C2A" w:rsidP="00840DB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302ABADE"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3AAF574C"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93209C"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77777777" w:rsidR="0093209C" w:rsidRDefault="0093209C" w:rsidP="00AF068D">
            <w:pPr>
              <w:pStyle w:val="TAC"/>
              <w:spacing w:before="20" w:after="20"/>
              <w:ind w:left="57" w:right="57"/>
              <w:jc w:val="left"/>
              <w:rPr>
                <w:lang w:eastAsia="zh-CN"/>
              </w:rPr>
            </w:pPr>
          </w:p>
        </w:tc>
      </w:tr>
      <w:tr w:rsidR="0093209C"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93209C" w:rsidRDefault="0093209C" w:rsidP="00AF068D">
            <w:pPr>
              <w:pStyle w:val="TAC"/>
              <w:spacing w:before="20" w:after="20"/>
              <w:ind w:left="57" w:right="57"/>
              <w:jc w:val="left"/>
              <w:rPr>
                <w:lang w:eastAsia="zh-CN"/>
              </w:rPr>
            </w:pPr>
          </w:p>
        </w:tc>
      </w:tr>
      <w:tr w:rsidR="0093209C"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93209C" w:rsidRDefault="0093209C" w:rsidP="00AF068D">
            <w:pPr>
              <w:pStyle w:val="TAC"/>
              <w:spacing w:before="20" w:after="20"/>
              <w:ind w:left="57" w:right="57"/>
              <w:jc w:val="left"/>
              <w:rPr>
                <w:lang w:eastAsia="zh-CN"/>
              </w:rPr>
            </w:pPr>
          </w:p>
        </w:tc>
      </w:tr>
      <w:tr w:rsidR="0093209C"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93209C" w:rsidRDefault="0093209C" w:rsidP="00AF068D">
            <w:pPr>
              <w:pStyle w:val="TAC"/>
              <w:spacing w:before="20" w:after="20"/>
              <w:ind w:left="57" w:right="57"/>
              <w:jc w:val="left"/>
              <w:rPr>
                <w:lang w:eastAsia="zh-CN"/>
              </w:rPr>
            </w:pPr>
          </w:p>
        </w:tc>
      </w:tr>
      <w:tr w:rsidR="0093209C"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93209C" w:rsidRDefault="0093209C"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93209C" w:rsidRDefault="0093209C" w:rsidP="00AF068D">
            <w:pPr>
              <w:pStyle w:val="TAC"/>
              <w:spacing w:before="20" w:after="20"/>
              <w:ind w:left="57" w:right="57"/>
              <w:jc w:val="left"/>
              <w:rPr>
                <w:lang w:eastAsia="zh-CN"/>
              </w:rPr>
            </w:pPr>
          </w:p>
        </w:tc>
      </w:tr>
      <w:tr w:rsidR="0093209C"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93209C" w:rsidRPr="00B70B24" w:rsidRDefault="0093209C"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93209C" w:rsidRPr="000C2E87" w:rsidRDefault="0093209C" w:rsidP="00AF068D">
            <w:pPr>
              <w:pStyle w:val="TAC"/>
              <w:spacing w:before="20" w:after="20"/>
              <w:ind w:left="57" w:right="57"/>
              <w:jc w:val="left"/>
              <w:rPr>
                <w:lang w:eastAsia="zh-CN"/>
              </w:rPr>
            </w:pPr>
          </w:p>
        </w:tc>
      </w:tr>
      <w:tr w:rsidR="0093209C"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93209C" w:rsidRDefault="0093209C" w:rsidP="00AF068D">
            <w:pPr>
              <w:pStyle w:val="TAC"/>
              <w:spacing w:before="20" w:after="20"/>
              <w:ind w:left="57" w:right="57"/>
              <w:jc w:val="left"/>
              <w:rPr>
                <w:lang w:eastAsia="zh-CN"/>
              </w:rPr>
            </w:pPr>
          </w:p>
        </w:tc>
      </w:tr>
      <w:tr w:rsidR="0093209C"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93209C" w:rsidRDefault="0093209C" w:rsidP="00AF068D">
            <w:pPr>
              <w:pStyle w:val="TAC"/>
              <w:spacing w:before="20" w:after="20"/>
              <w:ind w:left="57" w:right="57"/>
              <w:jc w:val="left"/>
              <w:rPr>
                <w:lang w:eastAsia="zh-CN"/>
              </w:rPr>
            </w:pPr>
          </w:p>
        </w:tc>
      </w:tr>
      <w:tr w:rsidR="0093209C"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93209C" w:rsidRDefault="0093209C" w:rsidP="00AF068D">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5A7A2E1C"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0BD311C3"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5CB70B1E" w:rsidR="000F2FA0" w:rsidRDefault="00BB201B" w:rsidP="00840DB9">
            <w:pPr>
              <w:pStyle w:val="TAC"/>
              <w:spacing w:before="20" w:after="20"/>
              <w:ind w:left="57" w:right="57"/>
              <w:jc w:val="left"/>
              <w:rPr>
                <w:lang w:eastAsia="zh-CN"/>
              </w:rPr>
            </w:pPr>
            <w:r>
              <w:rPr>
                <w:lang w:eastAsia="zh-CN"/>
              </w:rPr>
              <w:t>Agree with Apple.</w:t>
            </w:r>
          </w:p>
        </w:tc>
      </w:tr>
      <w:tr w:rsidR="000F2FA0"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77777777" w:rsidR="000F2FA0" w:rsidRDefault="000F2FA0" w:rsidP="00840DB9">
            <w:pPr>
              <w:pStyle w:val="TAC"/>
              <w:spacing w:before="20" w:after="20"/>
              <w:ind w:left="57" w:right="57"/>
              <w:jc w:val="left"/>
              <w:rPr>
                <w:lang w:eastAsia="zh-CN"/>
              </w:rPr>
            </w:pPr>
          </w:p>
        </w:tc>
      </w:tr>
      <w:tr w:rsidR="000F2FA0"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0F2FA0" w:rsidRDefault="000F2FA0" w:rsidP="00840DB9">
            <w:pPr>
              <w:pStyle w:val="TAC"/>
              <w:spacing w:before="20" w:after="20"/>
              <w:ind w:left="57" w:right="57"/>
              <w:jc w:val="left"/>
              <w:rPr>
                <w:lang w:eastAsia="zh-CN"/>
              </w:rPr>
            </w:pPr>
          </w:p>
        </w:tc>
      </w:tr>
      <w:tr w:rsidR="000F2FA0"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0F2FA0" w:rsidRDefault="000F2FA0" w:rsidP="00840DB9">
            <w:pPr>
              <w:pStyle w:val="TAC"/>
              <w:spacing w:before="20" w:after="20"/>
              <w:ind w:left="57" w:right="57"/>
              <w:jc w:val="left"/>
              <w:rPr>
                <w:lang w:eastAsia="zh-CN"/>
              </w:rPr>
            </w:pPr>
          </w:p>
        </w:tc>
      </w:tr>
      <w:tr w:rsidR="000F2FA0"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0F2FA0" w:rsidRDefault="000F2FA0" w:rsidP="00840DB9">
            <w:pPr>
              <w:pStyle w:val="TAC"/>
              <w:spacing w:before="20" w:after="20"/>
              <w:ind w:left="57" w:right="57"/>
              <w:jc w:val="left"/>
              <w:rPr>
                <w:lang w:eastAsia="zh-CN"/>
              </w:rPr>
            </w:pPr>
          </w:p>
        </w:tc>
      </w:tr>
      <w:tr w:rsidR="000F2FA0"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0F2FA0" w:rsidRDefault="000F2FA0"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0F2FA0" w:rsidRDefault="000F2FA0"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0F2FA0" w:rsidRDefault="000F2FA0" w:rsidP="00840DB9">
            <w:pPr>
              <w:pStyle w:val="TAC"/>
              <w:spacing w:before="20" w:after="20"/>
              <w:ind w:left="57" w:right="57"/>
              <w:jc w:val="left"/>
              <w:rPr>
                <w:lang w:eastAsia="zh-CN"/>
              </w:rPr>
            </w:pPr>
          </w:p>
        </w:tc>
      </w:tr>
      <w:tr w:rsidR="000F2FA0"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0F2FA0" w:rsidRPr="00B70B24" w:rsidRDefault="000F2FA0"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0F2FA0" w:rsidRPr="00B70B24" w:rsidRDefault="000F2FA0"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0F2FA0" w:rsidRPr="000C2E87" w:rsidRDefault="000F2FA0" w:rsidP="00840DB9">
            <w:pPr>
              <w:pStyle w:val="TAC"/>
              <w:spacing w:before="20" w:after="20"/>
              <w:ind w:left="57" w:right="57"/>
              <w:jc w:val="left"/>
              <w:rPr>
                <w:lang w:eastAsia="zh-CN"/>
              </w:rPr>
            </w:pPr>
          </w:p>
        </w:tc>
      </w:tr>
      <w:tr w:rsidR="000F2FA0"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0F2FA0" w:rsidRDefault="000F2FA0" w:rsidP="00840DB9">
            <w:pPr>
              <w:pStyle w:val="TAC"/>
              <w:spacing w:before="20" w:after="20"/>
              <w:ind w:left="57" w:right="57"/>
              <w:jc w:val="left"/>
              <w:rPr>
                <w:lang w:eastAsia="zh-CN"/>
              </w:rPr>
            </w:pPr>
          </w:p>
        </w:tc>
      </w:tr>
      <w:tr w:rsidR="000F2FA0"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0F2FA0" w:rsidRDefault="000F2FA0" w:rsidP="00840DB9">
            <w:pPr>
              <w:pStyle w:val="TAC"/>
              <w:spacing w:before="20" w:after="20"/>
              <w:ind w:left="57" w:right="57"/>
              <w:jc w:val="left"/>
              <w:rPr>
                <w:lang w:eastAsia="zh-CN"/>
              </w:rPr>
            </w:pPr>
          </w:p>
        </w:tc>
      </w:tr>
      <w:tr w:rsidR="000F2FA0"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0F2FA0" w:rsidRDefault="000F2FA0" w:rsidP="00840DB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05F0AF63"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57B8DDCF"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9C31A8"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9C31A8" w:rsidRDefault="009C31A8" w:rsidP="00AF068D">
            <w:pPr>
              <w:pStyle w:val="TAC"/>
              <w:spacing w:before="20" w:after="20"/>
              <w:ind w:left="57" w:right="57"/>
              <w:jc w:val="left"/>
              <w:rPr>
                <w:lang w:eastAsia="zh-CN"/>
              </w:rPr>
            </w:pPr>
          </w:p>
        </w:tc>
      </w:tr>
      <w:tr w:rsidR="009C31A8"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9C31A8" w:rsidRDefault="009C31A8" w:rsidP="00AF068D">
            <w:pPr>
              <w:pStyle w:val="TAC"/>
              <w:spacing w:before="20" w:after="20"/>
              <w:ind w:left="57" w:right="57"/>
              <w:jc w:val="left"/>
              <w:rPr>
                <w:lang w:eastAsia="zh-CN"/>
              </w:rPr>
            </w:pPr>
          </w:p>
        </w:tc>
      </w:tr>
      <w:tr w:rsidR="009C31A8"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9C31A8" w:rsidRDefault="009C31A8" w:rsidP="00AF068D">
            <w:pPr>
              <w:pStyle w:val="TAC"/>
              <w:spacing w:before="20" w:after="20"/>
              <w:ind w:left="57" w:right="57"/>
              <w:jc w:val="left"/>
              <w:rPr>
                <w:lang w:eastAsia="zh-CN"/>
              </w:rPr>
            </w:pPr>
          </w:p>
        </w:tc>
      </w:tr>
      <w:tr w:rsidR="009C31A8"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9C31A8" w:rsidRDefault="009C31A8" w:rsidP="00AF068D">
            <w:pPr>
              <w:pStyle w:val="TAC"/>
              <w:spacing w:before="20" w:after="20"/>
              <w:ind w:left="57" w:right="57"/>
              <w:jc w:val="left"/>
              <w:rPr>
                <w:lang w:eastAsia="zh-CN"/>
              </w:rPr>
            </w:pPr>
          </w:p>
        </w:tc>
      </w:tr>
      <w:tr w:rsidR="009C31A8"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9C31A8" w:rsidRDefault="009C31A8"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9C31A8" w:rsidRDefault="009C31A8"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9C31A8" w:rsidRDefault="009C31A8" w:rsidP="00AF068D">
            <w:pPr>
              <w:pStyle w:val="TAC"/>
              <w:spacing w:before="20" w:after="20"/>
              <w:ind w:left="57" w:right="57"/>
              <w:jc w:val="left"/>
              <w:rPr>
                <w:lang w:eastAsia="zh-CN"/>
              </w:rPr>
            </w:pPr>
          </w:p>
        </w:tc>
      </w:tr>
      <w:tr w:rsidR="009C31A8"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9C31A8" w:rsidRPr="00B70B24" w:rsidRDefault="009C31A8"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9C31A8" w:rsidRPr="00B70B24" w:rsidRDefault="009C31A8"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9C31A8" w:rsidRPr="000C2E87" w:rsidRDefault="009C31A8" w:rsidP="00AF068D">
            <w:pPr>
              <w:pStyle w:val="TAC"/>
              <w:spacing w:before="20" w:after="20"/>
              <w:ind w:left="57" w:right="57"/>
              <w:jc w:val="left"/>
              <w:rPr>
                <w:lang w:eastAsia="zh-CN"/>
              </w:rPr>
            </w:pPr>
          </w:p>
        </w:tc>
      </w:tr>
      <w:tr w:rsidR="009C31A8"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9C31A8" w:rsidRDefault="009C31A8" w:rsidP="00AF068D">
            <w:pPr>
              <w:pStyle w:val="TAC"/>
              <w:spacing w:before="20" w:after="20"/>
              <w:ind w:left="57" w:right="57"/>
              <w:jc w:val="left"/>
              <w:rPr>
                <w:lang w:eastAsia="zh-CN"/>
              </w:rPr>
            </w:pPr>
          </w:p>
        </w:tc>
      </w:tr>
      <w:tr w:rsidR="009C31A8"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9C31A8" w:rsidRDefault="009C31A8" w:rsidP="00AF068D">
            <w:pPr>
              <w:pStyle w:val="TAC"/>
              <w:spacing w:before="20" w:after="20"/>
              <w:ind w:left="57" w:right="57"/>
              <w:jc w:val="left"/>
              <w:rPr>
                <w:lang w:eastAsia="zh-CN"/>
              </w:rPr>
            </w:pPr>
          </w:p>
        </w:tc>
      </w:tr>
      <w:tr w:rsidR="009C31A8"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9C31A8" w:rsidRDefault="009C31A8" w:rsidP="00AF068D">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6AC95753"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40720D3F"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AF068D"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AF068D" w:rsidRDefault="00AF068D" w:rsidP="00AF068D">
            <w:pPr>
              <w:pStyle w:val="TAC"/>
              <w:spacing w:before="20" w:after="20"/>
              <w:ind w:left="57" w:right="57"/>
              <w:jc w:val="left"/>
              <w:rPr>
                <w:lang w:eastAsia="zh-CN"/>
              </w:rPr>
            </w:pPr>
          </w:p>
        </w:tc>
      </w:tr>
      <w:tr w:rsidR="00AF068D"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AF068D" w:rsidRDefault="00AF068D" w:rsidP="00AF068D">
            <w:pPr>
              <w:pStyle w:val="TAC"/>
              <w:spacing w:before="20" w:after="20"/>
              <w:ind w:left="57" w:right="57"/>
              <w:jc w:val="left"/>
              <w:rPr>
                <w:lang w:eastAsia="zh-CN"/>
              </w:rPr>
            </w:pPr>
          </w:p>
        </w:tc>
      </w:tr>
      <w:tr w:rsidR="00AF068D"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AF068D" w:rsidRDefault="00AF068D" w:rsidP="00AF068D">
            <w:pPr>
              <w:pStyle w:val="TAC"/>
              <w:spacing w:before="20" w:after="20"/>
              <w:ind w:left="57" w:right="57"/>
              <w:jc w:val="left"/>
              <w:rPr>
                <w:lang w:eastAsia="zh-CN"/>
              </w:rPr>
            </w:pPr>
          </w:p>
        </w:tc>
      </w:tr>
      <w:tr w:rsidR="00AF068D"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AF068D" w:rsidRDefault="00AF068D" w:rsidP="00AF068D">
            <w:pPr>
              <w:pStyle w:val="TAC"/>
              <w:spacing w:before="20" w:after="20"/>
              <w:ind w:left="57" w:right="57"/>
              <w:jc w:val="left"/>
              <w:rPr>
                <w:lang w:eastAsia="zh-CN"/>
              </w:rPr>
            </w:pPr>
          </w:p>
        </w:tc>
      </w:tr>
      <w:tr w:rsidR="00AF068D"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AF068D" w:rsidRDefault="00AF068D"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AF068D" w:rsidRDefault="00AF068D"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AF068D" w:rsidRDefault="00AF068D" w:rsidP="00AF068D">
            <w:pPr>
              <w:pStyle w:val="TAC"/>
              <w:spacing w:before="20" w:after="20"/>
              <w:ind w:left="57" w:right="57"/>
              <w:jc w:val="left"/>
              <w:rPr>
                <w:lang w:eastAsia="zh-CN"/>
              </w:rPr>
            </w:pPr>
          </w:p>
        </w:tc>
      </w:tr>
      <w:tr w:rsidR="00AF068D"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AF068D" w:rsidRPr="00B70B24" w:rsidRDefault="00AF068D"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AF068D" w:rsidRPr="00B70B24" w:rsidRDefault="00AF068D"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AF068D" w:rsidRPr="000C2E87" w:rsidRDefault="00AF068D" w:rsidP="00AF068D">
            <w:pPr>
              <w:pStyle w:val="TAC"/>
              <w:spacing w:before="20" w:after="20"/>
              <w:ind w:left="57" w:right="57"/>
              <w:jc w:val="left"/>
              <w:rPr>
                <w:lang w:eastAsia="zh-CN"/>
              </w:rPr>
            </w:pPr>
          </w:p>
        </w:tc>
      </w:tr>
      <w:tr w:rsidR="00AF068D"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AF068D" w:rsidRDefault="00AF068D" w:rsidP="00AF068D">
            <w:pPr>
              <w:pStyle w:val="TAC"/>
              <w:spacing w:before="20" w:after="20"/>
              <w:ind w:left="57" w:right="57"/>
              <w:jc w:val="left"/>
              <w:rPr>
                <w:lang w:eastAsia="zh-CN"/>
              </w:rPr>
            </w:pPr>
          </w:p>
        </w:tc>
      </w:tr>
      <w:tr w:rsidR="00AF068D"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AF068D" w:rsidRDefault="00AF068D" w:rsidP="00AF068D">
            <w:pPr>
              <w:pStyle w:val="TAC"/>
              <w:spacing w:before="20" w:after="20"/>
              <w:ind w:left="57" w:right="57"/>
              <w:jc w:val="left"/>
              <w:rPr>
                <w:lang w:eastAsia="zh-CN"/>
              </w:rPr>
            </w:pPr>
          </w:p>
        </w:tc>
      </w:tr>
      <w:tr w:rsidR="00AF068D"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AF068D" w:rsidRDefault="00AF068D" w:rsidP="00AF068D">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6967BAA0"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5DE4B21C"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971317"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971317" w:rsidRDefault="00971317" w:rsidP="00446A36">
            <w:pPr>
              <w:pStyle w:val="TAC"/>
              <w:spacing w:before="20" w:after="20"/>
              <w:ind w:left="57" w:right="57"/>
              <w:jc w:val="left"/>
              <w:rPr>
                <w:lang w:eastAsia="zh-CN"/>
              </w:rPr>
            </w:pPr>
          </w:p>
        </w:tc>
      </w:tr>
      <w:tr w:rsidR="00971317"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971317" w:rsidRDefault="00971317" w:rsidP="00446A36">
            <w:pPr>
              <w:pStyle w:val="TAC"/>
              <w:spacing w:before="20" w:after="20"/>
              <w:ind w:left="57" w:right="57"/>
              <w:jc w:val="left"/>
              <w:rPr>
                <w:lang w:eastAsia="zh-CN"/>
              </w:rPr>
            </w:pPr>
          </w:p>
        </w:tc>
      </w:tr>
      <w:tr w:rsidR="00971317"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971317" w:rsidRDefault="00971317" w:rsidP="00446A36">
            <w:pPr>
              <w:pStyle w:val="TAC"/>
              <w:spacing w:before="20" w:after="20"/>
              <w:ind w:left="57" w:right="57"/>
              <w:jc w:val="left"/>
              <w:rPr>
                <w:lang w:eastAsia="zh-CN"/>
              </w:rPr>
            </w:pPr>
          </w:p>
        </w:tc>
      </w:tr>
      <w:tr w:rsidR="0097131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971317" w:rsidRDefault="00971317" w:rsidP="00446A36">
            <w:pPr>
              <w:pStyle w:val="TAC"/>
              <w:spacing w:before="20" w:after="20"/>
              <w:ind w:left="57" w:right="57"/>
              <w:jc w:val="left"/>
              <w:rPr>
                <w:lang w:eastAsia="zh-CN"/>
              </w:rPr>
            </w:pPr>
          </w:p>
        </w:tc>
      </w:tr>
      <w:tr w:rsidR="0097131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971317" w:rsidRDefault="0097131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971317" w:rsidRDefault="0097131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971317" w:rsidRDefault="00971317" w:rsidP="00446A36">
            <w:pPr>
              <w:pStyle w:val="TAC"/>
              <w:spacing w:before="20" w:after="20"/>
              <w:ind w:left="57" w:right="57"/>
              <w:jc w:val="left"/>
              <w:rPr>
                <w:lang w:eastAsia="zh-CN"/>
              </w:rPr>
            </w:pPr>
          </w:p>
        </w:tc>
      </w:tr>
      <w:tr w:rsidR="0097131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971317" w:rsidRPr="00B70B24" w:rsidRDefault="0097131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971317" w:rsidRPr="00B70B24" w:rsidRDefault="0097131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971317" w:rsidRPr="000C2E87" w:rsidRDefault="00971317" w:rsidP="00446A36">
            <w:pPr>
              <w:pStyle w:val="TAC"/>
              <w:spacing w:before="20" w:after="20"/>
              <w:ind w:left="57" w:right="57"/>
              <w:jc w:val="left"/>
              <w:rPr>
                <w:lang w:eastAsia="zh-CN"/>
              </w:rPr>
            </w:pPr>
          </w:p>
        </w:tc>
      </w:tr>
      <w:tr w:rsidR="0097131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971317" w:rsidRDefault="00971317" w:rsidP="00446A36">
            <w:pPr>
              <w:pStyle w:val="TAC"/>
              <w:spacing w:before="20" w:after="20"/>
              <w:ind w:left="57" w:right="57"/>
              <w:jc w:val="left"/>
              <w:rPr>
                <w:lang w:eastAsia="zh-CN"/>
              </w:rPr>
            </w:pPr>
          </w:p>
        </w:tc>
      </w:tr>
      <w:tr w:rsidR="0097131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971317" w:rsidRDefault="00971317" w:rsidP="00446A36">
            <w:pPr>
              <w:pStyle w:val="TAC"/>
              <w:spacing w:before="20" w:after="20"/>
              <w:ind w:left="57" w:right="57"/>
              <w:jc w:val="left"/>
              <w:rPr>
                <w:lang w:eastAsia="zh-CN"/>
              </w:rPr>
            </w:pPr>
          </w:p>
        </w:tc>
      </w:tr>
      <w:tr w:rsidR="0097131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971317" w:rsidRDefault="00971317" w:rsidP="00446A36">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5E71588" w14:textId="29911795"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33660A01"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2EA15C0A"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371563"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371563" w:rsidRDefault="00371563" w:rsidP="00ED16CC">
            <w:pPr>
              <w:pStyle w:val="TAC"/>
              <w:spacing w:before="20" w:after="20"/>
              <w:ind w:left="57" w:right="57"/>
              <w:jc w:val="left"/>
              <w:rPr>
                <w:lang w:eastAsia="zh-CN"/>
              </w:rPr>
            </w:pPr>
          </w:p>
        </w:tc>
      </w:tr>
      <w:tr w:rsidR="00371563"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371563" w:rsidRDefault="00371563" w:rsidP="00ED16CC">
            <w:pPr>
              <w:pStyle w:val="TAC"/>
              <w:spacing w:before="20" w:after="20"/>
              <w:ind w:left="57" w:right="57"/>
              <w:jc w:val="left"/>
              <w:rPr>
                <w:lang w:eastAsia="zh-CN"/>
              </w:rPr>
            </w:pPr>
          </w:p>
        </w:tc>
      </w:tr>
      <w:tr w:rsidR="00371563"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371563" w:rsidRDefault="00371563" w:rsidP="00ED16CC">
            <w:pPr>
              <w:pStyle w:val="TAC"/>
              <w:spacing w:before="20" w:after="20"/>
              <w:ind w:left="57" w:right="57"/>
              <w:jc w:val="left"/>
              <w:rPr>
                <w:lang w:eastAsia="zh-CN"/>
              </w:rPr>
            </w:pPr>
          </w:p>
        </w:tc>
      </w:tr>
      <w:tr w:rsidR="00371563"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371563" w:rsidRDefault="00371563" w:rsidP="00ED16CC">
            <w:pPr>
              <w:pStyle w:val="TAC"/>
              <w:spacing w:before="20" w:after="20"/>
              <w:ind w:left="57" w:right="57"/>
              <w:jc w:val="left"/>
              <w:rPr>
                <w:lang w:eastAsia="zh-CN"/>
              </w:rPr>
            </w:pPr>
          </w:p>
        </w:tc>
      </w:tr>
      <w:tr w:rsidR="00371563"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371563" w:rsidRDefault="00371563"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371563" w:rsidRDefault="00371563"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371563" w:rsidRDefault="00371563" w:rsidP="00ED16CC">
            <w:pPr>
              <w:pStyle w:val="TAC"/>
              <w:spacing w:before="20" w:after="20"/>
              <w:ind w:left="57" w:right="57"/>
              <w:jc w:val="left"/>
              <w:rPr>
                <w:lang w:eastAsia="zh-CN"/>
              </w:rPr>
            </w:pPr>
          </w:p>
        </w:tc>
      </w:tr>
      <w:tr w:rsidR="00371563"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371563" w:rsidRPr="00B70B24" w:rsidRDefault="00371563"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371563" w:rsidRPr="00B70B24" w:rsidRDefault="00371563"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371563" w:rsidRPr="000C2E87" w:rsidRDefault="00371563" w:rsidP="00ED16CC">
            <w:pPr>
              <w:pStyle w:val="TAC"/>
              <w:spacing w:before="20" w:after="20"/>
              <w:ind w:left="57" w:right="57"/>
              <w:jc w:val="left"/>
              <w:rPr>
                <w:lang w:eastAsia="zh-CN"/>
              </w:rPr>
            </w:pPr>
          </w:p>
        </w:tc>
      </w:tr>
      <w:tr w:rsidR="00371563"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371563" w:rsidRDefault="00371563" w:rsidP="00ED16CC">
            <w:pPr>
              <w:pStyle w:val="TAC"/>
              <w:spacing w:before="20" w:after="20"/>
              <w:ind w:left="57" w:right="57"/>
              <w:jc w:val="left"/>
              <w:rPr>
                <w:lang w:eastAsia="zh-CN"/>
              </w:rPr>
            </w:pPr>
          </w:p>
        </w:tc>
      </w:tr>
      <w:tr w:rsidR="00371563"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371563" w:rsidRDefault="00371563" w:rsidP="00ED16CC">
            <w:pPr>
              <w:pStyle w:val="TAC"/>
              <w:spacing w:before="20" w:after="20"/>
              <w:ind w:left="57" w:right="57"/>
              <w:jc w:val="left"/>
              <w:rPr>
                <w:lang w:eastAsia="zh-CN"/>
              </w:rPr>
            </w:pPr>
          </w:p>
        </w:tc>
      </w:tr>
      <w:tr w:rsidR="00371563"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371563" w:rsidRDefault="00371563" w:rsidP="00ED16CC">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426.2pt;mso-width-percent:0;mso-height-percent:0;mso-width-percent:0;mso-height-percent:0" o:ole="">
            <v:imagedata r:id="rId14" o:title=""/>
          </v:shape>
          <o:OLEObject Type="Embed" ProgID="Mscgen.Chart" ShapeID="_x0000_i1025" DrawAspect="Content" ObjectID="_1705950770" r:id="rId15"/>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2CA35D39"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3942E044"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FD06F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FD06F9" w:rsidRDefault="00FD06F9" w:rsidP="00ED16CC">
            <w:pPr>
              <w:pStyle w:val="TAC"/>
              <w:spacing w:before="20" w:after="20"/>
              <w:ind w:left="57" w:right="57"/>
              <w:jc w:val="left"/>
              <w:rPr>
                <w:lang w:eastAsia="zh-CN"/>
              </w:rPr>
            </w:pPr>
          </w:p>
        </w:tc>
      </w:tr>
      <w:tr w:rsidR="00FD06F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FD06F9" w:rsidRDefault="00FD06F9" w:rsidP="00ED16CC">
            <w:pPr>
              <w:pStyle w:val="TAC"/>
              <w:spacing w:before="20" w:after="20"/>
              <w:ind w:left="57" w:right="57"/>
              <w:jc w:val="left"/>
              <w:rPr>
                <w:lang w:eastAsia="zh-CN"/>
              </w:rPr>
            </w:pPr>
          </w:p>
        </w:tc>
      </w:tr>
      <w:tr w:rsidR="00FD06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FD06F9" w:rsidRDefault="00FD06F9" w:rsidP="00ED16CC">
            <w:pPr>
              <w:pStyle w:val="TAC"/>
              <w:spacing w:before="20" w:after="20"/>
              <w:ind w:left="57" w:right="57"/>
              <w:jc w:val="left"/>
              <w:rPr>
                <w:lang w:eastAsia="zh-CN"/>
              </w:rPr>
            </w:pPr>
          </w:p>
        </w:tc>
      </w:tr>
      <w:tr w:rsidR="00FD06F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FD06F9" w:rsidRDefault="00FD06F9" w:rsidP="00ED16CC">
            <w:pPr>
              <w:pStyle w:val="TAC"/>
              <w:spacing w:before="20" w:after="20"/>
              <w:ind w:left="57" w:right="57"/>
              <w:jc w:val="left"/>
              <w:rPr>
                <w:lang w:eastAsia="zh-CN"/>
              </w:rPr>
            </w:pPr>
          </w:p>
        </w:tc>
      </w:tr>
      <w:tr w:rsidR="00FD06F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FD06F9" w:rsidRDefault="00FD06F9"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FD06F9" w:rsidRDefault="00FD06F9"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FD06F9" w:rsidRDefault="00FD06F9" w:rsidP="00ED16CC">
            <w:pPr>
              <w:pStyle w:val="TAC"/>
              <w:spacing w:before="20" w:after="20"/>
              <w:ind w:left="57" w:right="57"/>
              <w:jc w:val="left"/>
              <w:rPr>
                <w:lang w:eastAsia="zh-CN"/>
              </w:rPr>
            </w:pPr>
          </w:p>
        </w:tc>
      </w:tr>
      <w:tr w:rsidR="00FD06F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FD06F9" w:rsidRPr="00B70B24" w:rsidRDefault="00FD06F9"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FD06F9" w:rsidRPr="00B70B24" w:rsidRDefault="00FD06F9"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FD06F9" w:rsidRPr="000C2E87" w:rsidRDefault="00FD06F9" w:rsidP="00ED16CC">
            <w:pPr>
              <w:pStyle w:val="TAC"/>
              <w:spacing w:before="20" w:after="20"/>
              <w:ind w:left="57" w:right="57"/>
              <w:jc w:val="left"/>
              <w:rPr>
                <w:lang w:eastAsia="zh-CN"/>
              </w:rPr>
            </w:pPr>
          </w:p>
        </w:tc>
      </w:tr>
      <w:tr w:rsidR="00FD06F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FD06F9" w:rsidRDefault="00FD06F9" w:rsidP="00ED16CC">
            <w:pPr>
              <w:pStyle w:val="TAC"/>
              <w:spacing w:before="20" w:after="20"/>
              <w:ind w:left="57" w:right="57"/>
              <w:jc w:val="left"/>
              <w:rPr>
                <w:lang w:eastAsia="zh-CN"/>
              </w:rPr>
            </w:pPr>
          </w:p>
        </w:tc>
      </w:tr>
      <w:tr w:rsidR="00FD06F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FD06F9" w:rsidRDefault="00FD06F9" w:rsidP="00ED16CC">
            <w:pPr>
              <w:pStyle w:val="TAC"/>
              <w:spacing w:before="20" w:after="20"/>
              <w:ind w:left="57" w:right="57"/>
              <w:jc w:val="left"/>
              <w:rPr>
                <w:lang w:eastAsia="zh-CN"/>
              </w:rPr>
            </w:pPr>
          </w:p>
        </w:tc>
      </w:tr>
      <w:tr w:rsidR="00FD06F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FD06F9" w:rsidRDefault="00FD06F9" w:rsidP="00ED16CC">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0440CE55"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66D6BBDE"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4B6E3932" w:rsidR="00D10C2A" w:rsidRDefault="00BB201B" w:rsidP="00446A36">
            <w:pPr>
              <w:pStyle w:val="TAC"/>
              <w:spacing w:before="20" w:after="20"/>
              <w:ind w:left="57" w:right="57"/>
              <w:jc w:val="left"/>
              <w:rPr>
                <w:lang w:eastAsia="zh-CN"/>
              </w:rPr>
            </w:pPr>
            <w:r>
              <w:rPr>
                <w:lang w:eastAsia="zh-CN"/>
              </w:rPr>
              <w:t>Agree with QC</w:t>
            </w:r>
          </w:p>
        </w:tc>
      </w:tr>
      <w:tr w:rsidR="00D10C2A"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D10C2A" w:rsidRDefault="00D10C2A" w:rsidP="00446A36">
            <w:pPr>
              <w:pStyle w:val="TAC"/>
              <w:spacing w:before="20" w:after="20"/>
              <w:ind w:left="57" w:right="57"/>
              <w:jc w:val="left"/>
              <w:rPr>
                <w:lang w:eastAsia="zh-CN"/>
              </w:rPr>
            </w:pPr>
          </w:p>
        </w:tc>
      </w:tr>
      <w:tr w:rsidR="00D10C2A"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D10C2A" w:rsidRDefault="00D10C2A" w:rsidP="00446A36">
            <w:pPr>
              <w:pStyle w:val="TAC"/>
              <w:spacing w:before="20" w:after="20"/>
              <w:ind w:left="57" w:right="57"/>
              <w:jc w:val="left"/>
              <w:rPr>
                <w:lang w:eastAsia="zh-CN"/>
              </w:rPr>
            </w:pPr>
          </w:p>
        </w:tc>
      </w:tr>
      <w:tr w:rsidR="00D10C2A"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D10C2A" w:rsidRDefault="00D10C2A" w:rsidP="00446A36">
            <w:pPr>
              <w:pStyle w:val="TAC"/>
              <w:spacing w:before="20" w:after="20"/>
              <w:ind w:left="57" w:right="57"/>
              <w:jc w:val="left"/>
              <w:rPr>
                <w:lang w:eastAsia="zh-CN"/>
              </w:rPr>
            </w:pPr>
          </w:p>
        </w:tc>
      </w:tr>
      <w:tr w:rsidR="00D10C2A"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D10C2A" w:rsidRDefault="00D10C2A" w:rsidP="00446A36">
            <w:pPr>
              <w:pStyle w:val="TAC"/>
              <w:spacing w:before="20" w:after="20"/>
              <w:ind w:left="57" w:right="57"/>
              <w:jc w:val="left"/>
              <w:rPr>
                <w:lang w:eastAsia="zh-CN"/>
              </w:rPr>
            </w:pPr>
          </w:p>
        </w:tc>
      </w:tr>
      <w:tr w:rsidR="00D10C2A"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D10C2A" w:rsidRDefault="00D10C2A" w:rsidP="00446A36">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D10C2A" w:rsidRDefault="00D10C2A" w:rsidP="00446A36">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D10C2A" w:rsidRDefault="00D10C2A" w:rsidP="00446A36">
            <w:pPr>
              <w:pStyle w:val="TAC"/>
              <w:spacing w:before="20" w:after="20"/>
              <w:ind w:left="57" w:right="57"/>
              <w:jc w:val="left"/>
              <w:rPr>
                <w:lang w:eastAsia="zh-CN"/>
              </w:rPr>
            </w:pPr>
          </w:p>
        </w:tc>
      </w:tr>
      <w:tr w:rsidR="00D10C2A"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D10C2A" w:rsidRPr="00B70B24" w:rsidRDefault="00D10C2A" w:rsidP="00446A36">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D10C2A" w:rsidRPr="00B70B24" w:rsidRDefault="00D10C2A" w:rsidP="00446A36">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D10C2A" w:rsidRPr="000C2E87" w:rsidRDefault="00D10C2A" w:rsidP="00446A36">
            <w:pPr>
              <w:pStyle w:val="TAC"/>
              <w:spacing w:before="20" w:after="20"/>
              <w:ind w:left="57" w:right="57"/>
              <w:jc w:val="left"/>
              <w:rPr>
                <w:lang w:eastAsia="zh-CN"/>
              </w:rPr>
            </w:pPr>
          </w:p>
        </w:tc>
      </w:tr>
      <w:tr w:rsidR="00D10C2A"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D10C2A" w:rsidRDefault="00D10C2A" w:rsidP="00446A36">
            <w:pPr>
              <w:pStyle w:val="TAC"/>
              <w:spacing w:before="20" w:after="20"/>
              <w:ind w:left="57" w:right="57"/>
              <w:jc w:val="left"/>
              <w:rPr>
                <w:lang w:eastAsia="zh-CN"/>
              </w:rPr>
            </w:pPr>
          </w:p>
        </w:tc>
      </w:tr>
      <w:tr w:rsidR="00D10C2A"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D10C2A" w:rsidRDefault="00D10C2A" w:rsidP="00446A36">
            <w:pPr>
              <w:pStyle w:val="TAC"/>
              <w:spacing w:before="20" w:after="20"/>
              <w:ind w:left="57" w:right="57"/>
              <w:jc w:val="left"/>
              <w:rPr>
                <w:lang w:eastAsia="zh-CN"/>
              </w:rPr>
            </w:pPr>
          </w:p>
        </w:tc>
      </w:tr>
      <w:tr w:rsidR="00D10C2A"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D10C2A" w:rsidRDefault="00D10C2A" w:rsidP="00446A36">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27955ABC"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43495EF9"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0B14F6"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0B14F6" w:rsidRDefault="000B14F6" w:rsidP="00ED16CC">
            <w:pPr>
              <w:pStyle w:val="TAC"/>
              <w:spacing w:before="20" w:after="20"/>
              <w:ind w:left="57" w:right="57"/>
              <w:jc w:val="left"/>
              <w:rPr>
                <w:lang w:eastAsia="zh-CN"/>
              </w:rPr>
            </w:pPr>
          </w:p>
        </w:tc>
      </w:tr>
      <w:tr w:rsidR="000B14F6"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0B14F6" w:rsidRDefault="000B14F6" w:rsidP="00ED16CC">
            <w:pPr>
              <w:pStyle w:val="TAC"/>
              <w:spacing w:before="20" w:after="20"/>
              <w:ind w:left="57" w:right="57"/>
              <w:jc w:val="left"/>
              <w:rPr>
                <w:lang w:eastAsia="zh-CN"/>
              </w:rPr>
            </w:pPr>
          </w:p>
        </w:tc>
      </w:tr>
      <w:tr w:rsidR="000B14F6"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0B14F6" w:rsidRDefault="000B14F6" w:rsidP="00ED16CC">
            <w:pPr>
              <w:pStyle w:val="TAC"/>
              <w:spacing w:before="20" w:after="20"/>
              <w:ind w:left="57" w:right="57"/>
              <w:jc w:val="left"/>
              <w:rPr>
                <w:lang w:eastAsia="zh-CN"/>
              </w:rPr>
            </w:pPr>
          </w:p>
        </w:tc>
      </w:tr>
      <w:tr w:rsidR="000B14F6"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0B14F6" w:rsidRDefault="000B14F6" w:rsidP="00ED16CC">
            <w:pPr>
              <w:pStyle w:val="TAC"/>
              <w:spacing w:before="20" w:after="20"/>
              <w:ind w:left="57" w:right="57"/>
              <w:jc w:val="left"/>
              <w:rPr>
                <w:lang w:eastAsia="zh-CN"/>
              </w:rPr>
            </w:pPr>
          </w:p>
        </w:tc>
      </w:tr>
      <w:tr w:rsidR="000B14F6"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0B14F6" w:rsidRDefault="000B14F6"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0B14F6" w:rsidRDefault="000B14F6"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0B14F6" w:rsidRDefault="000B14F6" w:rsidP="00ED16CC">
            <w:pPr>
              <w:pStyle w:val="TAC"/>
              <w:spacing w:before="20" w:after="20"/>
              <w:ind w:left="57" w:right="57"/>
              <w:jc w:val="left"/>
              <w:rPr>
                <w:lang w:eastAsia="zh-CN"/>
              </w:rPr>
            </w:pPr>
          </w:p>
        </w:tc>
      </w:tr>
      <w:tr w:rsidR="000B14F6"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0B14F6" w:rsidRPr="00B70B24" w:rsidRDefault="000B14F6"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0B14F6" w:rsidRPr="00B70B24" w:rsidRDefault="000B14F6"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0B14F6" w:rsidRPr="000C2E87" w:rsidRDefault="000B14F6" w:rsidP="00ED16CC">
            <w:pPr>
              <w:pStyle w:val="TAC"/>
              <w:spacing w:before="20" w:after="20"/>
              <w:ind w:left="57" w:right="57"/>
              <w:jc w:val="left"/>
              <w:rPr>
                <w:lang w:eastAsia="zh-CN"/>
              </w:rPr>
            </w:pPr>
          </w:p>
        </w:tc>
      </w:tr>
      <w:tr w:rsidR="000B14F6"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0B14F6" w:rsidRDefault="000B14F6" w:rsidP="00ED16CC">
            <w:pPr>
              <w:pStyle w:val="TAC"/>
              <w:spacing w:before="20" w:after="20"/>
              <w:ind w:left="57" w:right="57"/>
              <w:jc w:val="left"/>
              <w:rPr>
                <w:lang w:eastAsia="zh-CN"/>
              </w:rPr>
            </w:pPr>
          </w:p>
        </w:tc>
      </w:tr>
      <w:tr w:rsidR="000B14F6"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0B14F6" w:rsidRDefault="000B14F6" w:rsidP="00ED16CC">
            <w:pPr>
              <w:pStyle w:val="TAC"/>
              <w:spacing w:before="20" w:after="20"/>
              <w:ind w:left="57" w:right="57"/>
              <w:jc w:val="left"/>
              <w:rPr>
                <w:lang w:eastAsia="zh-CN"/>
              </w:rPr>
            </w:pPr>
          </w:p>
        </w:tc>
      </w:tr>
      <w:tr w:rsidR="000B14F6"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0B14F6" w:rsidRDefault="000B14F6" w:rsidP="00ED16CC">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Heading1"/>
      </w:pPr>
      <w:r>
        <w:t>3</w:t>
      </w:r>
      <w:r w:rsidR="00EC3CFF">
        <w:tab/>
        <w:t>Conclusion</w:t>
      </w:r>
    </w:p>
    <w:p w14:paraId="68D6AFA2" w14:textId="77777777" w:rsidR="007405E3" w:rsidRDefault="007405E3"/>
    <w:p w14:paraId="0F1CCDC5" w14:textId="11E51AB6" w:rsidR="007405E3" w:rsidRDefault="004D12EC">
      <w:pPr>
        <w:pStyle w:val="Heading1"/>
      </w:pPr>
      <w:r>
        <w:t>4</w:t>
      </w:r>
      <w:r w:rsidR="00EC3CFF">
        <w:tab/>
        <w:t>References</w:t>
      </w:r>
    </w:p>
    <w:p w14:paraId="1BD6E501" w14:textId="5009BCE1" w:rsidR="007405E3" w:rsidRDefault="007405E3" w:rsidP="00971317">
      <w:pPr>
        <w:pStyle w:val="ListParagraph"/>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70D50" w14:textId="77777777" w:rsidR="00274E91" w:rsidRDefault="00274E91" w:rsidP="00EC3CFF">
      <w:pPr>
        <w:spacing w:after="0" w:line="240" w:lineRule="auto"/>
      </w:pPr>
      <w:r>
        <w:separator/>
      </w:r>
    </w:p>
  </w:endnote>
  <w:endnote w:type="continuationSeparator" w:id="0">
    <w:p w14:paraId="6DD0CD35" w14:textId="77777777" w:rsidR="00274E91" w:rsidRDefault="00274E9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69EE3" w14:textId="77777777" w:rsidR="00274E91" w:rsidRDefault="00274E91" w:rsidP="00EC3CFF">
      <w:pPr>
        <w:spacing w:after="0" w:line="240" w:lineRule="auto"/>
      </w:pPr>
      <w:r>
        <w:separator/>
      </w:r>
    </w:p>
  </w:footnote>
  <w:footnote w:type="continuationSeparator" w:id="0">
    <w:p w14:paraId="44BAC408" w14:textId="77777777" w:rsidR="00274E91" w:rsidRDefault="00274E91"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42FC73F7"/>
    <w:multiLevelType w:val="singleLevel"/>
    <w:tmpl w:val="42FC73F7"/>
    <w:lvl w:ilvl="0">
      <w:start w:val="1"/>
      <w:numFmt w:val="decimal"/>
      <w:suff w:val="space"/>
      <w:lvlText w:val="%1)"/>
      <w:lvlJc w:val="left"/>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4"/>
  </w:num>
  <w:num w:numId="8">
    <w:abstractNumId w:val="23"/>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2"/>
  </w:num>
  <w:num w:numId="21">
    <w:abstractNumId w:val="21"/>
  </w:num>
  <w:num w:numId="22">
    <w:abstractNumId w:val="15"/>
  </w:num>
  <w:num w:numId="23">
    <w:abstractNumId w:val="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47EC"/>
    <w:rsid w:val="00274E91"/>
    <w:rsid w:val="00281C39"/>
    <w:rsid w:val="002828EF"/>
    <w:rsid w:val="002855BF"/>
    <w:rsid w:val="00292BBF"/>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14F6"/>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7863"/>
    <w:rsid w:val="00D10C2A"/>
    <w:rsid w:val="00D15A34"/>
    <w:rsid w:val="00D20496"/>
    <w:rsid w:val="00D239F0"/>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4760</Words>
  <Characters>27135</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Rapporteur_RAN2#117</cp:lastModifiedBy>
  <cp:revision>3</cp:revision>
  <dcterms:created xsi:type="dcterms:W3CDTF">2022-02-10T02:42:00Z</dcterms:created>
  <dcterms:modified xsi:type="dcterms:W3CDTF">2022-02-10T03:00:00Z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