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hint="eastAsia"/>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lastRenderedPageBreak/>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9F6FA9">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9F0D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D01677">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lastRenderedPageBreak/>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lastRenderedPageBreak/>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w:t>
            </w:r>
            <w:r>
              <w:rPr>
                <w:rFonts w:ascii="Arial" w:hAnsi="Arial" w:cs="Arial"/>
                <w:sz w:val="20"/>
                <w:szCs w:val="20"/>
                <w:lang w:val="en-GB"/>
              </w:rPr>
              <w:lastRenderedPageBreak/>
              <w:t xml:space="preserve">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9F6FA9">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lastRenderedPageBreak/>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9F0DCB">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9F6FA9">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80"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C40D56">
            <w:pPr>
              <w:spacing w:after="120"/>
              <w:jc w:val="both"/>
              <w:rPr>
                <w:rFonts w:ascii="Arial" w:eastAsia="宋体" w:hAnsi="Arial" w:cs="Arial"/>
                <w:sz w:val="20"/>
                <w:szCs w:val="20"/>
                <w:lang w:val="en-GB" w:eastAsia="zh-CN"/>
              </w:rPr>
            </w:pPr>
            <w:r>
              <w:rPr>
                <w:rFonts w:ascii="Arial" w:hAnsi="Arial" w:cs="Arial"/>
                <w:sz w:val="20"/>
                <w:szCs w:val="20"/>
                <w:lang w:val="en-GB"/>
              </w:rPr>
              <w:lastRenderedPageBreak/>
              <w:t>CATT</w:t>
            </w:r>
          </w:p>
        </w:tc>
        <w:tc>
          <w:tcPr>
            <w:tcW w:w="8080"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9F6FA9">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9F0DCB">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DF31" w14:textId="77777777" w:rsidR="00A5127F" w:rsidRDefault="00A5127F">
      <w:pPr>
        <w:pStyle w:val="TAL"/>
      </w:pPr>
      <w:r>
        <w:separator/>
      </w:r>
    </w:p>
  </w:endnote>
  <w:endnote w:type="continuationSeparator" w:id="0">
    <w:p w14:paraId="379CE6AE" w14:textId="77777777" w:rsidR="00A5127F" w:rsidRDefault="00A5127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E2DD609" w:rsidR="005E2223" w:rsidRDefault="005E2223">
    <w:pPr>
      <w:pStyle w:val="a5"/>
    </w:pPr>
    <w:r>
      <w:fldChar w:fldCharType="begin"/>
    </w:r>
    <w:r>
      <w:instrText xml:space="preserve"> PAGE   \* MERGEFORMAT </w:instrText>
    </w:r>
    <w:r>
      <w:fldChar w:fldCharType="separate"/>
    </w:r>
    <w:r w:rsidR="00C4002D">
      <w:t>6</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A521" w14:textId="77777777" w:rsidR="00A5127F" w:rsidRDefault="00A5127F">
      <w:pPr>
        <w:pStyle w:val="TAL"/>
      </w:pPr>
      <w:r>
        <w:separator/>
      </w:r>
    </w:p>
  </w:footnote>
  <w:footnote w:type="continuationSeparator" w:id="0">
    <w:p w14:paraId="104DC07E" w14:textId="77777777" w:rsidR="00A5127F" w:rsidRDefault="00A5127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2">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DFB6C71-1FF0-41AC-B42B-DC0021A8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TotalTime>
  <Pages>8</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vivo-Chenli-Before RAN2#117e</cp:lastModifiedBy>
  <cp:revision>4</cp:revision>
  <cp:lastPrinted>2007-12-21T04:58:00Z</cp:lastPrinted>
  <dcterms:created xsi:type="dcterms:W3CDTF">2022-02-11T01:25:00Z</dcterms:created>
  <dcterms:modified xsi:type="dcterms:W3CDTF">2022-02-11T02:19:00Z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