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w:t>
      </w:r>
      <w:proofErr w:type="gramStart"/>
      <w:r>
        <w:t>506][</w:t>
      </w:r>
      <w:proofErr w:type="gramEnd"/>
      <w:r>
        <w:t>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w:t>
      </w:r>
      <w:proofErr w:type="gramStart"/>
      <w:r>
        <w:t>24</w:t>
      </w:r>
      <w:proofErr w:type="gramEnd"/>
      <w:r>
        <w:t xml:space="preserve"> 1200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r>
              <w:rPr>
                <w:szCs w:val="20"/>
                <w:lang w:eastAsia="zh-CN"/>
              </w:rPr>
              <w:t>Linhai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r>
              <w:rPr>
                <w:szCs w:val="20"/>
                <w:lang w:eastAsia="ja-JP"/>
              </w:rPr>
              <w:t>Samuli Turtinen</w:t>
            </w:r>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77777777" w:rsidR="000E6612" w:rsidRDefault="000E6612">
            <w:pPr>
              <w:spacing w:after="0"/>
              <w:rPr>
                <w:szCs w:val="20"/>
                <w:lang w:eastAsia="zh-CN"/>
              </w:rPr>
            </w:pPr>
          </w:p>
        </w:tc>
        <w:tc>
          <w:tcPr>
            <w:tcW w:w="2687" w:type="dxa"/>
          </w:tcPr>
          <w:p w14:paraId="4D1456C4" w14:textId="77777777" w:rsidR="000E6612" w:rsidRDefault="000E6612">
            <w:pPr>
              <w:spacing w:after="0"/>
              <w:rPr>
                <w:szCs w:val="20"/>
                <w:lang w:eastAsia="zh-CN"/>
              </w:rPr>
            </w:pPr>
          </w:p>
        </w:tc>
        <w:tc>
          <w:tcPr>
            <w:tcW w:w="4903" w:type="dxa"/>
          </w:tcPr>
          <w:p w14:paraId="20517E8A" w14:textId="77777777" w:rsidR="000E6612" w:rsidRDefault="000E6612">
            <w:pPr>
              <w:spacing w:after="0"/>
              <w:rPr>
                <w:szCs w:val="20"/>
                <w:lang w:eastAsia="zh-CN"/>
              </w:rPr>
            </w:pPr>
          </w:p>
        </w:tc>
      </w:tr>
      <w:tr w:rsidR="000E6612" w14:paraId="06E8AA99" w14:textId="77777777">
        <w:tc>
          <w:tcPr>
            <w:tcW w:w="1760" w:type="dxa"/>
          </w:tcPr>
          <w:p w14:paraId="76648093" w14:textId="77777777" w:rsidR="000E6612" w:rsidRDefault="000E6612">
            <w:pPr>
              <w:spacing w:after="0"/>
              <w:rPr>
                <w:szCs w:val="20"/>
                <w:lang w:eastAsia="ja-JP"/>
              </w:rPr>
            </w:pPr>
          </w:p>
        </w:tc>
        <w:tc>
          <w:tcPr>
            <w:tcW w:w="2687" w:type="dxa"/>
          </w:tcPr>
          <w:p w14:paraId="08A57B2C" w14:textId="77777777" w:rsidR="000E6612" w:rsidRDefault="000E6612">
            <w:pPr>
              <w:spacing w:after="0"/>
              <w:rPr>
                <w:szCs w:val="20"/>
                <w:lang w:eastAsia="ja-JP"/>
              </w:rPr>
            </w:pPr>
          </w:p>
        </w:tc>
        <w:tc>
          <w:tcPr>
            <w:tcW w:w="4903" w:type="dxa"/>
          </w:tcPr>
          <w:p w14:paraId="4F72EC86" w14:textId="77777777" w:rsidR="000E6612" w:rsidRDefault="000E6612">
            <w:pPr>
              <w:spacing w:after="0"/>
              <w:rPr>
                <w:szCs w:val="20"/>
                <w:lang w:eastAsia="ja-JP"/>
              </w:rPr>
            </w:pPr>
          </w:p>
        </w:tc>
      </w:tr>
      <w:tr w:rsidR="000E6612" w14:paraId="72A3DFA5" w14:textId="77777777">
        <w:tc>
          <w:tcPr>
            <w:tcW w:w="1760" w:type="dxa"/>
          </w:tcPr>
          <w:p w14:paraId="26E561DC" w14:textId="77777777" w:rsidR="000E6612" w:rsidRDefault="000E6612">
            <w:pPr>
              <w:spacing w:after="0"/>
              <w:rPr>
                <w:szCs w:val="20"/>
                <w:lang w:eastAsia="ja-JP"/>
              </w:rPr>
            </w:pPr>
          </w:p>
        </w:tc>
        <w:tc>
          <w:tcPr>
            <w:tcW w:w="2687" w:type="dxa"/>
          </w:tcPr>
          <w:p w14:paraId="48E80A31" w14:textId="77777777" w:rsidR="000E6612" w:rsidRDefault="000E6612">
            <w:pPr>
              <w:spacing w:after="0"/>
              <w:rPr>
                <w:szCs w:val="20"/>
                <w:lang w:eastAsia="ja-JP"/>
              </w:rPr>
            </w:pPr>
          </w:p>
        </w:tc>
        <w:tc>
          <w:tcPr>
            <w:tcW w:w="4903" w:type="dxa"/>
          </w:tcPr>
          <w:p w14:paraId="08DBC867" w14:textId="77777777" w:rsidR="000E6612" w:rsidRDefault="000E6612">
            <w:pPr>
              <w:spacing w:after="0"/>
              <w:rPr>
                <w:szCs w:val="20"/>
                <w:lang w:eastAsia="ja-JP"/>
              </w:rPr>
            </w:pPr>
          </w:p>
        </w:tc>
      </w:tr>
      <w:tr w:rsidR="000E6612" w14:paraId="001E89E9" w14:textId="77777777">
        <w:tc>
          <w:tcPr>
            <w:tcW w:w="1760" w:type="dxa"/>
          </w:tcPr>
          <w:p w14:paraId="13C7C10B" w14:textId="77777777" w:rsidR="000E6612" w:rsidRDefault="000E6612">
            <w:pPr>
              <w:spacing w:after="0"/>
              <w:rPr>
                <w:rFonts w:eastAsia="Malgun Gothic"/>
                <w:szCs w:val="20"/>
                <w:lang w:eastAsia="ko-KR"/>
              </w:rPr>
            </w:pPr>
          </w:p>
        </w:tc>
        <w:tc>
          <w:tcPr>
            <w:tcW w:w="2687" w:type="dxa"/>
          </w:tcPr>
          <w:p w14:paraId="71457F76" w14:textId="77777777" w:rsidR="000E6612" w:rsidRDefault="000E6612">
            <w:pPr>
              <w:spacing w:after="0"/>
              <w:rPr>
                <w:rFonts w:eastAsia="Malgun Gothic"/>
                <w:szCs w:val="20"/>
                <w:lang w:eastAsia="ko-KR"/>
              </w:rPr>
            </w:pPr>
          </w:p>
        </w:tc>
        <w:tc>
          <w:tcPr>
            <w:tcW w:w="4903" w:type="dxa"/>
          </w:tcPr>
          <w:p w14:paraId="1237C21D" w14:textId="77777777" w:rsidR="000E6612" w:rsidRDefault="000E6612">
            <w:pPr>
              <w:spacing w:after="0"/>
              <w:rPr>
                <w:rFonts w:eastAsia="Malgun Gothic"/>
                <w:szCs w:val="20"/>
                <w:lang w:eastAsia="ko-KR"/>
              </w:rPr>
            </w:pPr>
          </w:p>
        </w:tc>
      </w:tr>
      <w:tr w:rsidR="000E6612" w14:paraId="65DE9281" w14:textId="77777777">
        <w:tc>
          <w:tcPr>
            <w:tcW w:w="1760" w:type="dxa"/>
          </w:tcPr>
          <w:p w14:paraId="2E9D6C0A" w14:textId="77777777" w:rsidR="000E6612" w:rsidRDefault="000E6612">
            <w:pPr>
              <w:spacing w:after="0"/>
              <w:rPr>
                <w:szCs w:val="20"/>
                <w:lang w:eastAsia="ja-JP"/>
              </w:rPr>
            </w:pPr>
          </w:p>
        </w:tc>
        <w:tc>
          <w:tcPr>
            <w:tcW w:w="2687" w:type="dxa"/>
          </w:tcPr>
          <w:p w14:paraId="68467E8B" w14:textId="77777777" w:rsidR="000E6612" w:rsidRDefault="000E6612">
            <w:pPr>
              <w:spacing w:after="0"/>
              <w:rPr>
                <w:szCs w:val="20"/>
                <w:lang w:eastAsia="zh-CN"/>
              </w:rPr>
            </w:pPr>
          </w:p>
        </w:tc>
        <w:tc>
          <w:tcPr>
            <w:tcW w:w="4903" w:type="dxa"/>
          </w:tcPr>
          <w:p w14:paraId="73718A96" w14:textId="77777777" w:rsidR="000E6612" w:rsidRDefault="000E6612">
            <w:pPr>
              <w:spacing w:after="0"/>
              <w:rPr>
                <w:szCs w:val="20"/>
                <w:lang w:eastAsia="zh-CN"/>
              </w:rPr>
            </w:pPr>
          </w:p>
        </w:tc>
      </w:tr>
    </w:tbl>
    <w:p w14:paraId="26A73C00" w14:textId="77777777" w:rsidR="000E6612" w:rsidRDefault="0023656F">
      <w:pPr>
        <w:pStyle w:val="Heading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w:t>
            </w:r>
            <w:proofErr w:type="gramStart"/>
            <w:r>
              <w:rPr>
                <w:highlight w:val="yellow"/>
                <w:lang w:val="en-US"/>
              </w:rPr>
              <w:t>e.g.</w:t>
            </w:r>
            <w:proofErr w:type="gramEnd"/>
            <w:r>
              <w:rPr>
                <w:highlight w:val="yellow"/>
                <w:lang w:val="en-US"/>
              </w:rPr>
              <w:t xml:space="preserve">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 xml:space="preserve">Option 1: SDT is only initiated when the selected feature/feature combination includes </w:t>
            </w:r>
            <w:proofErr w:type="gramStart"/>
            <w:r>
              <w:rPr>
                <w:b/>
                <w:lang w:val="en-US"/>
              </w:rPr>
              <w:t>SDT;</w:t>
            </w:r>
            <w:proofErr w:type="gramEnd"/>
          </w:p>
          <w:p w14:paraId="4779E2EE" w14:textId="77777777" w:rsidR="000E6612" w:rsidRDefault="0023656F">
            <w:pPr>
              <w:pStyle w:val="ListParagraph"/>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Fallback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ListParagraph"/>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w:t>
            </w:r>
            <w:proofErr w:type="gramStart"/>
            <w:r>
              <w:rPr>
                <w:lang w:val="en-US"/>
              </w:rPr>
              <w:t>e.g.</w:t>
            </w:r>
            <w:proofErr w:type="gramEnd"/>
            <w:r>
              <w:rPr>
                <w:lang w:val="en-US"/>
              </w:rPr>
              <w:t xml:space="preserve">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c: As a general rule, all RACH retransmissions (if any are needed, until RACH failure happens) shall be performed over the same RACH resources (and same carrier – NUL/SUL) as the one selected for initial RACH resource.  However, we can discuss fallback on a </w:t>
            </w:r>
            <w:proofErr w:type="gramStart"/>
            <w:r>
              <w:rPr>
                <w:rFonts w:ascii="Arial" w:eastAsia="Times New Roman" w:hAnsi="Arial" w:cs="Arial"/>
                <w:color w:val="000000"/>
              </w:rPr>
              <w:t>case by case</w:t>
            </w:r>
            <w:proofErr w:type="gramEnd"/>
            <w:r>
              <w:rPr>
                <w:rFonts w:ascii="Arial" w:eastAsia="Times New Roman" w:hAnsi="Arial" w:cs="Arial"/>
                <w:color w:val="000000"/>
              </w:rPr>
              <w:t xml:space="preserv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proofErr w:type="gramStart"/>
      <w:r>
        <w:rPr>
          <w:rStyle w:val="normaltextrun"/>
          <w:sz w:val="20"/>
          <w:szCs w:val="20"/>
        </w:rPr>
        <w:t>6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proofErr w:type="gramStart"/>
      <w:r>
        <w:rPr>
          <w:rStyle w:val="normaltextrun"/>
          <w:b/>
          <w:bCs/>
          <w:sz w:val="20"/>
          <w:szCs w:val="20"/>
        </w:rPr>
        <w:t>9  The</w:t>
      </w:r>
      <w:proofErr w:type="gramEnd"/>
      <w:r>
        <w:rPr>
          <w:rStyle w:val="normaltextrun"/>
          <w:b/>
          <w:bCs/>
          <w:sz w:val="20"/>
          <w:szCs w:val="20"/>
        </w:rPr>
        <w:t xml:space="preserv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 xml:space="preserve">c: As a general rule, all RACH retransmissions (if any are needed, until RACH failure happens) shall be performed over the same RACH resources (and same carrier – NUL/SUL) as the one selected for initial RACH resource.  However, we can discuss fallback on a </w:t>
            </w:r>
            <w:proofErr w:type="gramStart"/>
            <w:r>
              <w:t>case by case</w:t>
            </w:r>
            <w:proofErr w:type="gramEnd"/>
            <w:r>
              <w:t xml:space="preserve"> basis if there is a strong motivation and discuss them together in this AI.</w:t>
            </w:r>
          </w:p>
        </w:tc>
      </w:tr>
      <w:tr w:rsidR="000E6612" w14:paraId="1389BF51" w14:textId="77777777">
        <w:tc>
          <w:tcPr>
            <w:tcW w:w="1696" w:type="dxa"/>
          </w:tcPr>
          <w:p w14:paraId="105857C0" w14:textId="77777777" w:rsidR="000E6612" w:rsidRDefault="0023656F">
            <w:r>
              <w:t>Qualcomm</w:t>
            </w:r>
          </w:p>
        </w:tc>
        <w:tc>
          <w:tcPr>
            <w:tcW w:w="1134" w:type="dxa"/>
          </w:tcPr>
          <w:p w14:paraId="282B13B4" w14:textId="77777777" w:rsidR="000E6612" w:rsidRDefault="0023656F">
            <w:r>
              <w:t>Yes</w:t>
            </w:r>
          </w:p>
        </w:tc>
        <w:tc>
          <w:tcPr>
            <w:tcW w:w="7089" w:type="dxa"/>
          </w:tcPr>
          <w:p w14:paraId="179FA7A6" w14:textId="77777777" w:rsidR="000E6612" w:rsidRDefault="0023656F">
            <w:r>
              <w:t xml:space="preserve">It helps keep UE </w:t>
            </w:r>
            <w:proofErr w:type="spellStart"/>
            <w:r>
              <w:t>behavior</w:t>
            </w:r>
            <w:proofErr w:type="spellEnd"/>
            <w:r>
              <w:t xml:space="preserve"> simple and is not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r w:rsidR="00476A17" w14:paraId="1AEC9B4B" w14:textId="77777777">
        <w:tc>
          <w:tcPr>
            <w:tcW w:w="1696" w:type="dxa"/>
          </w:tcPr>
          <w:p w14:paraId="155C793E" w14:textId="1F418E01" w:rsidR="00476A17" w:rsidRDefault="00476A17">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pPr>
              <w:rPr>
                <w:rFonts w:eastAsiaTheme="minorEastAsia"/>
                <w:lang w:eastAsia="zh-CN"/>
              </w:rPr>
            </w:pPr>
            <w:r>
              <w:rPr>
                <w:rFonts w:eastAsiaTheme="minorEastAsia"/>
                <w:lang w:eastAsia="zh-CN"/>
              </w:rPr>
              <w:t>Yes</w:t>
            </w:r>
          </w:p>
        </w:tc>
        <w:tc>
          <w:tcPr>
            <w:tcW w:w="7089" w:type="dxa"/>
          </w:tcPr>
          <w:p w14:paraId="0B06B223" w14:textId="33B9F8C0" w:rsidR="00476A17" w:rsidRDefault="00476A17">
            <w:r>
              <w:t>The legacy behaviour should already allow this.</w:t>
            </w:r>
          </w:p>
        </w:tc>
      </w:tr>
    </w:tbl>
    <w:p w14:paraId="46E664C4" w14:textId="77777777" w:rsidR="000E6612" w:rsidRDefault="000E6612"/>
    <w:p w14:paraId="0FB48DCB" w14:textId="77777777" w:rsidR="000E6612" w:rsidRDefault="0023656F">
      <w:r>
        <w:t xml:space="preserve">As on whether to support fallback from 2-step feature (combination) specific RACH to common 4-step RACH after N 2-step attempts, if 4-step feature (combination) specific RACH is not </w:t>
      </w:r>
      <w:proofErr w:type="gramStart"/>
      <w:r>
        <w:t>configured,  [</w:t>
      </w:r>
      <w:proofErr w:type="gramEnd"/>
      <w:r>
        <w:t xml:space="preserve">7] and [8] think that it should not be supported, while [2] generally think so except for slicing. The reason for not supporting it is that it does not conform to what we agreed in common session and it may not work for some features such as SDT due to TB rebuilding, </w:t>
      </w:r>
      <w:proofErr w:type="spellStart"/>
      <w:r>
        <w:t>RedCap</w:t>
      </w:r>
      <w:proofErr w:type="spellEnd"/>
      <w:r>
        <w:t xml:space="preserve"> and CE. Unless such fallback is only allowed for slicing on its own, it would be good to follow </w:t>
      </w:r>
      <w:proofErr w:type="gramStart"/>
      <w:r>
        <w:t>an</w:t>
      </w:r>
      <w:proofErr w:type="gramEnd"/>
      <w:r>
        <w:t xml:space="preserve">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w:t>
      </w:r>
      <w:proofErr w:type="gramStart"/>
      <w:r>
        <w:rPr>
          <w:b/>
          <w:bCs/>
          <w:lang w:val="en-US"/>
        </w:rPr>
        <w:t>I.e.</w:t>
      </w:r>
      <w:proofErr w:type="gramEnd"/>
      <w:r>
        <w:rPr>
          <w:b/>
          <w:bCs/>
          <w:lang w:val="en-US"/>
        </w:rPr>
        <w:t xml:space="preserv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w:t>
            </w:r>
            <w:proofErr w:type="gramStart"/>
            <w:r>
              <w:rPr>
                <w:rFonts w:eastAsiaTheme="minorEastAsia"/>
                <w:lang w:eastAsia="zh-CN"/>
              </w:rPr>
              <w:t>network</w:t>
            </w:r>
            <w:proofErr w:type="gramEnd"/>
            <w:r>
              <w:rPr>
                <w:rFonts w:eastAsiaTheme="minorEastAsia"/>
                <w:lang w:eastAsia="zh-CN"/>
              </w:rPr>
              <w:t xml:space="preserve">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proofErr w:type="gramStart"/>
            <w:r>
              <w:rPr>
                <w:rFonts w:eastAsiaTheme="minorEastAsia"/>
                <w:lang w:eastAsia="zh-CN"/>
              </w:rPr>
              <w:t>i.e.</w:t>
            </w:r>
            <w:proofErr w:type="gramEnd"/>
            <w:r>
              <w:rPr>
                <w:rFonts w:eastAsiaTheme="minorEastAsia"/>
                <w:lang w:eastAsia="zh-CN"/>
              </w:rPr>
              <w:t xml:space="preserv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bl>
    <w:p w14:paraId="6B444F2E" w14:textId="77777777" w:rsidR="000E6612" w:rsidRDefault="000E6612"/>
    <w:p w14:paraId="369E7ED0" w14:textId="77777777" w:rsidR="000E6612" w:rsidRDefault="0023656F">
      <w:pPr>
        <w:pStyle w:val="Heading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lastRenderedPageBreak/>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backoff is slicing. But slicing already has prioritization enhancements which allows network to apply different backoff for slicing groups with different priorities. </w:t>
            </w:r>
            <w:proofErr w:type="gramStart"/>
            <w:r>
              <w:t>So</w:t>
            </w:r>
            <w:proofErr w:type="gramEnd"/>
            <w:r>
              <w:t xml:space="preserve">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Otherwise, backoff feature cannot really be used or the RO sharing is useless.</w:t>
            </w:r>
          </w:p>
        </w:tc>
      </w:tr>
    </w:tbl>
    <w:p w14:paraId="78C4B6B3" w14:textId="77777777" w:rsidR="000E6612" w:rsidRDefault="000E6612"/>
    <w:p w14:paraId="2DA1E76A" w14:textId="77777777" w:rsidR="000E6612" w:rsidRDefault="0023656F">
      <w:pPr>
        <w:pStyle w:val="Heading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[4] thinks that the number of required RACH partitions in the cell is preferably minimized. One way to do it is to allow an alternative way to indicate SDT (</w:t>
      </w:r>
      <w:proofErr w:type="gramStart"/>
      <w:r>
        <w:rPr>
          <w:lang w:val="en-US"/>
        </w:rPr>
        <w:t>i.e.</w:t>
      </w:r>
      <w:proofErr w:type="gramEnd"/>
      <w:r>
        <w:rPr>
          <w:lang w:val="en-US"/>
        </w:rPr>
        <w:t xml:space="preserv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RAN2 continues to progress the work based the separate RACH resources for SDT (</w:t>
            </w:r>
            <w:proofErr w:type="gramStart"/>
            <w:r>
              <w:rPr>
                <w:rFonts w:ascii="Segoe UI" w:eastAsia="Segoe UI" w:hAnsi="Segoe UI" w:cs="Segoe UI"/>
                <w:szCs w:val="20"/>
              </w:rPr>
              <w:t>i.e.</w:t>
            </w:r>
            <w:proofErr w:type="gramEnd"/>
            <w:r>
              <w:rPr>
                <w:rFonts w:ascii="Segoe UI" w:eastAsia="Segoe UI" w:hAnsi="Segoe UI" w:cs="Segoe UI"/>
                <w:szCs w:val="20"/>
              </w:rPr>
              <w:t xml:space="preserve"> explicit mechanisms to support common resources won’t be pursued unless there is sufficient support for this. However, use of common RACH resources will not be precluded if </w:t>
            </w:r>
            <w:proofErr w:type="gramStart"/>
            <w:r>
              <w:rPr>
                <w:rFonts w:ascii="Segoe UI" w:eastAsia="Segoe UI" w:hAnsi="Segoe UI" w:cs="Segoe UI"/>
                <w:szCs w:val="20"/>
              </w:rPr>
              <w:t>possible</w:t>
            </w:r>
            <w:proofErr w:type="gramEnd"/>
            <w:r>
              <w:rPr>
                <w:rFonts w:ascii="Segoe UI" w:eastAsia="Segoe UI" w:hAnsi="Segoe UI" w:cs="Segoe UI"/>
                <w:szCs w:val="20"/>
              </w:rPr>
              <w:t xml:space="preserve"> via implementation</w:t>
            </w:r>
          </w:p>
          <w:p w14:paraId="2F4E2824" w14:textId="77777777" w:rsidR="000E6612" w:rsidRDefault="0023656F">
            <w:proofErr w:type="gramStart"/>
            <w:r>
              <w:t>So</w:t>
            </w:r>
            <w:proofErr w:type="gramEnd"/>
            <w:r>
              <w:t xml:space="preserve">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 xml:space="preserve">We are fine to conclude like this. </w:t>
            </w:r>
            <w:proofErr w:type="gramStart"/>
            <w:r>
              <w:rPr>
                <w:rFonts w:eastAsiaTheme="minorEastAsia"/>
                <w:lang w:eastAsia="zh-CN"/>
              </w:rPr>
              <w:t>Otherwise</w:t>
            </w:r>
            <w:proofErr w:type="gramEnd"/>
            <w:r>
              <w:rPr>
                <w:rFonts w:eastAsiaTheme="minorEastAsia"/>
                <w:lang w:eastAsia="zh-CN"/>
              </w:rPr>
              <w:t xml:space="preserv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bookmarkEnd w:id="2"/>
    </w:tbl>
    <w:p w14:paraId="17531FA2" w14:textId="77777777" w:rsidR="000E6612" w:rsidRDefault="000E6612"/>
    <w:p w14:paraId="6AF138D4" w14:textId="77777777" w:rsidR="000E6612" w:rsidRDefault="0023656F">
      <w:pPr>
        <w:pStyle w:val="Heading1"/>
      </w:pPr>
      <w:r>
        <w:lastRenderedPageBreak/>
        <w:t>Issues carried forward from [Post116bis-e][</w:t>
      </w:r>
      <w:proofErr w:type="gramStart"/>
      <w:r>
        <w:t>514][</w:t>
      </w:r>
      <w:proofErr w:type="gramEnd"/>
      <w:r>
        <w:t>RA Part] [6]</w:t>
      </w:r>
    </w:p>
    <w:p w14:paraId="431E18F2" w14:textId="77777777" w:rsidR="000E6612" w:rsidRDefault="0023656F">
      <w:pPr>
        <w:pStyle w:val="Heading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w:t>
            </w:r>
            <w:proofErr w:type="gramStart"/>
            <w:r>
              <w:rPr>
                <w:rFonts w:ascii="Calibri" w:eastAsia="Calibri" w:hAnsi="Calibri"/>
                <w:color w:val="00B050"/>
                <w:sz w:val="20"/>
                <w:szCs w:val="20"/>
                <w:lang w:eastAsia="zh-CN"/>
              </w:rPr>
              <w:t>i.e.</w:t>
            </w:r>
            <w:proofErr w:type="gramEnd"/>
            <w:r>
              <w:rPr>
                <w:rFonts w:ascii="Calibri" w:eastAsia="Calibri" w:hAnsi="Calibri"/>
                <w:color w:val="00B050"/>
                <w:sz w:val="20"/>
                <w:szCs w:val="20"/>
                <w:lang w:eastAsia="zh-CN"/>
              </w:rPr>
              <w:t xml:space="preserv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t>
            </w:r>
            <w:proofErr w:type="gramStart"/>
            <w:r>
              <w:t>with,</w:t>
            </w:r>
            <w:proofErr w:type="gramEnd"/>
            <w:r>
              <w:t xml:space="preserve"> CE selection threshold may be different. For example, it is desirable to have higher CE thresholds when configured in a partition for </w:t>
            </w:r>
            <w:proofErr w:type="spellStart"/>
            <w:r>
              <w:t>RedCap</w:t>
            </w:r>
            <w:proofErr w:type="spellEnd"/>
            <w:r>
              <w:t xml:space="preserve">.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 xml:space="preserve">For proposal 8: we need make it clear which feature(s) is applicable. Following the discussion, it seems </w:t>
            </w:r>
            <w:proofErr w:type="gramStart"/>
            <w:r>
              <w:rPr>
                <w:rFonts w:eastAsiaTheme="minorEastAsia"/>
                <w:lang w:eastAsia="zh-CN"/>
              </w:rPr>
              <w:t>SDT</w:t>
            </w:r>
            <w:proofErr w:type="gramEnd"/>
            <w:r>
              <w:rPr>
                <w:rFonts w:eastAsiaTheme="minorEastAsia"/>
                <w:lang w:eastAsia="zh-CN"/>
              </w:rPr>
              <w:t xml:space="preserve">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w:t>
            </w:r>
            <w:proofErr w:type="gramStart"/>
            <w:r>
              <w:rPr>
                <w:rFonts w:eastAsia="SimSun" w:hint="eastAsia"/>
                <w:lang w:val="en-US" w:eastAsia="zh-CN"/>
              </w:rPr>
              <w:t>QC,  we</w:t>
            </w:r>
            <w:proofErr w:type="gramEnd"/>
            <w:r>
              <w:rPr>
                <w:rFonts w:eastAsia="SimSun" w:hint="eastAsia"/>
                <w:lang w:val="en-US" w:eastAsia="zh-CN"/>
              </w:rPr>
              <w:t xml:space="preserv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However, based on propsoal</w:t>
            </w:r>
            <w:proofErr w:type="gramStart"/>
            <w:r>
              <w:rPr>
                <w:rFonts w:eastAsia="SimSun" w:hint="eastAsia"/>
                <w:lang w:val="en-US" w:eastAsia="zh-CN"/>
              </w:rPr>
              <w:t>3,  where</w:t>
            </w:r>
            <w:proofErr w:type="gramEnd"/>
            <w:r>
              <w:rPr>
                <w:rFonts w:eastAsia="SimSun" w:hint="eastAsia"/>
                <w:lang w:val="en-US" w:eastAsia="zh-CN"/>
              </w:rPr>
              <w:t xml:space="preserv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BWP-</w:t>
            </w:r>
            <w:proofErr w:type="spellStart"/>
            <w:r>
              <w:rPr>
                <w:rFonts w:eastAsia="SimSun" w:hint="eastAsia"/>
                <w:i/>
                <w:iCs/>
                <w:lang w:val="en-US" w:eastAsia="zh-CN"/>
              </w:rPr>
              <w:t>UplinkCommon</w:t>
            </w:r>
            <w:proofErr w:type="spellEnd"/>
            <w:r>
              <w:rPr>
                <w:rFonts w:eastAsia="SimSun" w:hint="eastAsia"/>
                <w:i/>
                <w:iCs/>
                <w:lang w:val="en-US" w:eastAsia="zh-CN"/>
              </w:rPr>
              <w:t xml:space="preserve"> or RACH-</w:t>
            </w:r>
            <w:proofErr w:type="spellStart"/>
            <w:r>
              <w:rPr>
                <w:rFonts w:eastAsia="SimSun" w:hint="eastAsia"/>
                <w:i/>
                <w:iCs/>
                <w:lang w:val="en-US" w:eastAsia="zh-CN"/>
              </w:rPr>
              <w:t>ConfigCommon</w:t>
            </w:r>
            <w:proofErr w:type="spellEnd"/>
            <w:r>
              <w:rPr>
                <w:rFonts w:eastAsia="SimSun" w:hint="eastAsia"/>
                <w:i/>
                <w:iCs/>
                <w:lang w:val="en-US" w:eastAsia="zh-CN"/>
              </w:rPr>
              <w:t xml:space="preserve">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bl>
    <w:p w14:paraId="0A362D34" w14:textId="77777777" w:rsidR="000E6612" w:rsidRDefault="000E6612"/>
    <w:p w14:paraId="5B70CE13" w14:textId="77777777" w:rsidR="000E6612" w:rsidRDefault="000E6612"/>
    <w:p w14:paraId="119E92DC" w14:textId="77777777" w:rsidR="000E6612" w:rsidRDefault="0023656F">
      <w:pPr>
        <w:pStyle w:val="Heading2"/>
        <w:ind w:left="689"/>
      </w:pPr>
      <w:r>
        <w:t>Proposals where technical discussion is needed</w:t>
      </w:r>
    </w:p>
    <w:p w14:paraId="0B74C13D" w14:textId="77777777" w:rsidR="000E6612" w:rsidRDefault="000E6612"/>
    <w:p w14:paraId="1926074C" w14:textId="77777777" w:rsidR="000E6612" w:rsidRDefault="0023656F">
      <w:pPr>
        <w:pStyle w:val="Heading3"/>
      </w:pPr>
      <w:proofErr w:type="gramStart"/>
      <w:r>
        <w:lastRenderedPageBreak/>
        <w:t>Overall</w:t>
      </w:r>
      <w:proofErr w:type="gramEnd"/>
      <w:r>
        <w:t xml:space="preserve">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 xml:space="preserve">SDT, CE, </w:t>
            </w:r>
            <w:proofErr w:type="spellStart"/>
            <w:r>
              <w:t>RedCap</w:t>
            </w:r>
            <w:proofErr w:type="spellEnd"/>
            <w:r>
              <w:t xml:space="preserve">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bl>
    <w:p w14:paraId="03957194" w14:textId="77777777" w:rsidR="000E6612" w:rsidRDefault="000E6612"/>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lastRenderedPageBreak/>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 xml:space="preserve">Moreover, whether different partitions need to have separate search space is a different issue. Some feature(s) may do, </w:t>
            </w:r>
            <w:proofErr w:type="gramStart"/>
            <w:r>
              <w:t>e.g.</w:t>
            </w:r>
            <w:proofErr w:type="gramEnd"/>
            <w:r>
              <w:t xml:space="preserve">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0E6612" w14:paraId="398B1D04" w14:textId="77777777">
        <w:tc>
          <w:tcPr>
            <w:tcW w:w="1696" w:type="dxa"/>
          </w:tcPr>
          <w:p w14:paraId="559774F6" w14:textId="77777777" w:rsidR="000E6612" w:rsidRDefault="000E6612">
            <w:pPr>
              <w:rPr>
                <w:rFonts w:eastAsiaTheme="minorEastAsia"/>
                <w:lang w:eastAsia="zh-CN"/>
              </w:rPr>
            </w:pPr>
          </w:p>
        </w:tc>
        <w:tc>
          <w:tcPr>
            <w:tcW w:w="1134" w:type="dxa"/>
          </w:tcPr>
          <w:p w14:paraId="2E6EF642" w14:textId="77777777" w:rsidR="000E6612" w:rsidRDefault="000E6612">
            <w:pPr>
              <w:rPr>
                <w:rFonts w:eastAsiaTheme="minorEastAsia"/>
                <w:lang w:eastAsia="zh-CN"/>
              </w:rPr>
            </w:pPr>
          </w:p>
        </w:tc>
        <w:tc>
          <w:tcPr>
            <w:tcW w:w="7089" w:type="dxa"/>
          </w:tcPr>
          <w:p w14:paraId="71EA033D" w14:textId="77777777" w:rsidR="000E6612" w:rsidRDefault="000E6612">
            <w:pPr>
              <w:rPr>
                <w:szCs w:val="20"/>
                <w:lang w:eastAsia="zh-CN"/>
              </w:rPr>
            </w:pPr>
          </w:p>
        </w:tc>
      </w:tr>
    </w:tbl>
    <w:p w14:paraId="28E504FC" w14:textId="77777777" w:rsidR="000E6612" w:rsidRDefault="000E6612"/>
    <w:p w14:paraId="74FD0BEA" w14:textId="77777777" w:rsidR="000E6612" w:rsidRDefault="0023656F">
      <w:pPr>
        <w:pStyle w:val="Heading1"/>
      </w:pPr>
      <w:r>
        <w:lastRenderedPageBreak/>
        <w:t>Conclusion</w:t>
      </w:r>
    </w:p>
    <w:p w14:paraId="2ABEFE14" w14:textId="77777777" w:rsidR="000E6612" w:rsidRDefault="0023656F">
      <w:r>
        <w:t>To be added latter</w:t>
      </w:r>
    </w:p>
    <w:p w14:paraId="7C2618A8" w14:textId="77777777" w:rsidR="000E6612" w:rsidRDefault="0023656F">
      <w:pPr>
        <w:pStyle w:val="Heading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w:t>
      </w:r>
      <w:proofErr w:type="gramStart"/>
      <w:r>
        <w:t>514][</w:t>
      </w:r>
      <w:proofErr w:type="gramEnd"/>
      <w:r>
        <w:t>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[POST116bis-e][</w:t>
      </w:r>
      <w:proofErr w:type="gramStart"/>
      <w:r>
        <w:t>515][</w:t>
      </w:r>
      <w:proofErr w:type="gramEnd"/>
      <w:r>
        <w:t>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headerReference w:type="even" r:id="rId12"/>
      <w:headerReference w:type="default" r:id="rId13"/>
      <w:footerReference w:type="even" r:id="rId14"/>
      <w:footerReference w:type="default" r:id="rId15"/>
      <w:headerReference w:type="first" r:id="rId16"/>
      <w:footerReference w:type="first" r:id="rId17"/>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3DB5A" w14:textId="77777777" w:rsidR="005515B5" w:rsidRDefault="005515B5"/>
  </w:endnote>
  <w:endnote w:type="continuationSeparator" w:id="0">
    <w:p w14:paraId="299DA44F" w14:textId="77777777" w:rsidR="005515B5" w:rsidRDefault="0055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Microsoft YaHei"/>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DB5D" w14:textId="77777777" w:rsidR="00D852F4" w:rsidRDefault="00D8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6BA1" w14:textId="77777777" w:rsidR="000E6612" w:rsidRDefault="000E6612">
    <w:pPr>
      <w:pStyle w:val="Footer"/>
    </w:pPr>
  </w:p>
  <w:p w14:paraId="29ABDC2D" w14:textId="77777777" w:rsidR="000E6612" w:rsidRDefault="000E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804B" w14:textId="77777777" w:rsidR="00D852F4" w:rsidRDefault="00D8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82A15" w14:textId="77777777" w:rsidR="005515B5" w:rsidRDefault="005515B5">
      <w:pPr>
        <w:spacing w:after="0"/>
      </w:pPr>
    </w:p>
  </w:footnote>
  <w:footnote w:type="continuationSeparator" w:id="0">
    <w:p w14:paraId="1148B1E2" w14:textId="77777777" w:rsidR="005515B5" w:rsidRDefault="005515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6A89" w14:textId="77777777" w:rsidR="00D852F4" w:rsidRDefault="00D8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C96B" w14:textId="77777777" w:rsidR="00D852F4" w:rsidRDefault="00D8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EBAD" w14:textId="77777777" w:rsidR="00D852F4" w:rsidRDefault="00D8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2D3C5-F14F-4CC9-970C-9946B0D48692}">
  <ds:schemaRefs>
    <ds:schemaRef ds:uri="http://schemas.openxmlformats.org/officeDocument/2006/bibliography"/>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10</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Nokia - Samuli</cp:lastModifiedBy>
  <cp:revision>3</cp:revision>
  <cp:lastPrinted>2017-10-24T05:18:00Z</cp:lastPrinted>
  <dcterms:created xsi:type="dcterms:W3CDTF">2022-02-22T15:44:00Z</dcterms:created>
  <dcterms:modified xsi:type="dcterms:W3CDTF">2022-02-22T16:12:00Z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2052-11.1.0.11365</vt:lpwstr>
  </property>
  <property fmtid="{D5CDD505-2E9C-101B-9397-08002B2CF9AE}" pid="16" name="ICV">
    <vt:lpwstr>8463AF3D071A407D9DCF07B131DEF36C</vt:lpwstr>
  </property>
</Properties>
</file>