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w:t>
      </w:r>
      <w:r w:rsidR="003103FF">
        <w:rPr>
          <w:bCs/>
          <w:sz w:val="24"/>
          <w:szCs w:val="24"/>
          <w:lang w:eastAsia="zh-CN"/>
        </w:rPr>
        <w:t xml:space="preserve"> </w:t>
      </w:r>
      <w:r w:rsidR="008E1803">
        <w:rPr>
          <w:bCs/>
          <w:sz w:val="24"/>
          <w:szCs w:val="24"/>
          <w:lang w:eastAsia="zh-CN"/>
        </w:rPr>
        <w:t>February 21</w:t>
      </w:r>
      <w:r w:rsidR="003103FF">
        <w:rPr>
          <w:bCs/>
          <w:sz w:val="24"/>
          <w:szCs w:val="24"/>
          <w:lang w:eastAsia="zh-CN"/>
        </w:rPr>
        <w:t>-</w:t>
      </w:r>
      <w:r w:rsidR="008E1803">
        <w:rPr>
          <w:bCs/>
          <w:sz w:val="24"/>
          <w:szCs w:val="24"/>
          <w:lang w:eastAsia="zh-CN"/>
        </w:rPr>
        <w:t>March 3</w:t>
      </w:r>
      <w:r w:rsidR="003103FF">
        <w:rPr>
          <w:bCs/>
          <w:sz w:val="24"/>
          <w:szCs w:val="24"/>
          <w:lang w:eastAsia="zh-CN"/>
        </w:rPr>
        <w:t xml:space="preserve"> 2022</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 xml:space="preserve">Report </w:t>
      </w:r>
      <w:proofErr w:type="gramStart"/>
      <w:r w:rsidR="008E1803">
        <w:rPr>
          <w:rFonts w:ascii="Arial" w:hAnsi="Arial" w:cs="Arial"/>
          <w:b/>
          <w:bCs/>
          <w:sz w:val="24"/>
        </w:rPr>
        <w:t>on</w:t>
      </w:r>
      <w:r w:rsidR="008E1803" w:rsidRPr="008E1803">
        <w:rPr>
          <w:rFonts w:ascii="Arial" w:hAnsi="Arial" w:cs="Arial"/>
          <w:b/>
          <w:bCs/>
          <w:sz w:val="24"/>
        </w:rPr>
        <w:t>[</w:t>
      </w:r>
      <w:proofErr w:type="gramEnd"/>
      <w:r w:rsidR="008E1803" w:rsidRPr="008E1803">
        <w:rPr>
          <w:rFonts w:ascii="Arial" w:hAnsi="Arial" w:cs="Arial"/>
          <w:b/>
          <w:bCs/>
          <w:sz w:val="24"/>
        </w:rPr>
        <w:t xml:space="preserve">AT117-e][064][IoT-NTN] UE </w:t>
      </w:r>
      <w:proofErr w:type="spellStart"/>
      <w:r w:rsidR="008E1803" w:rsidRPr="008E1803">
        <w:rPr>
          <w:rFonts w:ascii="Arial" w:hAnsi="Arial" w:cs="Arial"/>
          <w:b/>
          <w:bCs/>
          <w:sz w:val="24"/>
        </w:rPr>
        <w:t>capabilites</w:t>
      </w:r>
      <w:proofErr w:type="spellEnd"/>
      <w:r w:rsidR="008E1803" w:rsidRPr="008E1803">
        <w:rPr>
          <w:rFonts w:ascii="Arial" w:hAnsi="Arial" w:cs="Arial"/>
          <w:b/>
          <w:bCs/>
          <w:sz w:val="24"/>
        </w:rPr>
        <w:t xml:space="preserve">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15320" w:rsidRPr="000A7145">
        <w:rPr>
          <w:rFonts w:ascii="Arial" w:hAnsi="Arial" w:cs="Arial"/>
          <w:b/>
          <w:bCs/>
          <w:sz w:val="24"/>
        </w:rPr>
        <w:t>LTE_NBIOT_eMTC_NTN</w:t>
      </w:r>
      <w:proofErr w:type="spellEnd"/>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w:t>
      </w:r>
      <w:proofErr w:type="gramStart"/>
      <w:r>
        <w:t>064][</w:t>
      </w:r>
      <w:proofErr w:type="gramEnd"/>
      <w:r>
        <w:t xml:space="preserve">IoT-NTN] UE </w:t>
      </w:r>
      <w:proofErr w:type="spellStart"/>
      <w:r>
        <w:t>capabilites</w:t>
      </w:r>
      <w:proofErr w:type="spellEnd"/>
      <w:r>
        <w:t xml:space="preserve">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w:t>
      </w:r>
      <w:proofErr w:type="gramStart"/>
      <w:r>
        <w:t>points</w:t>
      </w:r>
      <w:proofErr w:type="gramEnd"/>
      <w:r>
        <w:t xml:space="preserve"> and pave the way for efficient on-line CB. </w:t>
      </w:r>
    </w:p>
    <w:p w14:paraId="41FD9315" w14:textId="4C219706" w:rsidR="008E1803" w:rsidRDefault="008E1803" w:rsidP="008E1803">
      <w:pPr>
        <w:pStyle w:val="EmailDiscussion2"/>
      </w:pPr>
      <w:r>
        <w:t xml:space="preserve">      c)For OI4.4 focus for now on the need, rather than solutions, </w:t>
      </w:r>
      <w:proofErr w:type="gramStart"/>
      <w:r>
        <w:t>e.g.</w:t>
      </w:r>
      <w:proofErr w:type="gramEnd"/>
      <w:r>
        <w:t xml:space="preserve">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 xml:space="preserve">Changes to </w:t>
            </w:r>
            <w:proofErr w:type="gramStart"/>
            <w:r>
              <w:t>6.Y  (</w:t>
            </w:r>
            <w:proofErr w:type="gramEnd"/>
            <w:r>
              <w:t>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r w:rsidR="00EC6335" w14:paraId="1BED44A4" w14:textId="77777777" w:rsidTr="00543327">
        <w:tc>
          <w:tcPr>
            <w:tcW w:w="2407" w:type="dxa"/>
          </w:tcPr>
          <w:p w14:paraId="74A20212" w14:textId="77777777" w:rsidR="00EC6335" w:rsidRDefault="00EC6335" w:rsidP="00543327">
            <w:r>
              <w:t xml:space="preserve">Huawei, </w:t>
            </w:r>
            <w:proofErr w:type="spellStart"/>
            <w:r>
              <w:t>HiSilicon</w:t>
            </w:r>
            <w:proofErr w:type="spellEnd"/>
          </w:p>
        </w:tc>
        <w:tc>
          <w:tcPr>
            <w:tcW w:w="2408" w:type="dxa"/>
          </w:tcPr>
          <w:p w14:paraId="06367510" w14:textId="77777777" w:rsidR="00EC6335" w:rsidRPr="00535E81" w:rsidRDefault="00EC6335" w:rsidP="00543327">
            <w:pPr>
              <w:rPr>
                <w:u w:val="single"/>
              </w:rPr>
            </w:pPr>
            <w:r w:rsidRPr="00535E81">
              <w:rPr>
                <w:u w:val="single"/>
              </w:rPr>
              <w:t>ntn-Connectivity-EPC-r17:</w:t>
            </w:r>
          </w:p>
          <w:p w14:paraId="7235987D" w14:textId="77777777" w:rsidR="00EC6335" w:rsidRDefault="00EC6335" w:rsidP="00543327">
            <w:pPr>
              <w:rPr>
                <w:rFonts w:eastAsia="Times New Roman"/>
                <w:lang w:eastAsia="ja-JP"/>
              </w:rPr>
            </w:pPr>
            <w:r>
              <w:t xml:space="preserve">1. The </w:t>
            </w:r>
            <w:proofErr w:type="spellStart"/>
            <w:r>
              <w:t>usal</w:t>
            </w:r>
            <w:proofErr w:type="spellEnd"/>
            <w:r>
              <w:t xml:space="preserve"> wording is </w:t>
            </w:r>
            <w:proofErr w:type="gramStart"/>
            <w:r>
              <w:t xml:space="preserve">‘ </w:t>
            </w:r>
            <w:r w:rsidRPr="001429CF">
              <w:rPr>
                <w:rFonts w:eastAsia="Times New Roman"/>
                <w:lang w:eastAsia="ja-JP"/>
              </w:rPr>
              <w:t>This</w:t>
            </w:r>
            <w:proofErr w:type="gramEnd"/>
            <w:r w:rsidRPr="001429CF">
              <w:rPr>
                <w:rFonts w:eastAsia="Times New Roman"/>
                <w:lang w:eastAsia="ja-JP"/>
              </w:rPr>
              <w:t xml:space="preserve"> field is only applicable if the UE supports UE category M1 or UE category M2 or any </w:t>
            </w:r>
            <w:proofErr w:type="spellStart"/>
            <w:r w:rsidRPr="001429CF">
              <w:rPr>
                <w:rFonts w:eastAsia="Times New Roman"/>
                <w:i/>
                <w:lang w:eastAsia="ja-JP"/>
              </w:rPr>
              <w:t>ue</w:t>
            </w:r>
            <w:proofErr w:type="spellEnd"/>
            <w:r w:rsidRPr="001429CF">
              <w:rPr>
                <w:rFonts w:eastAsia="Times New Roman"/>
                <w:i/>
                <w:lang w:eastAsia="ja-JP"/>
              </w:rPr>
              <w:t>-Category-NB</w:t>
            </w:r>
            <w:r w:rsidRPr="001429CF">
              <w:rPr>
                <w:rFonts w:eastAsia="Times New Roman"/>
                <w:lang w:eastAsia="ja-JP"/>
              </w:rPr>
              <w:t>.</w:t>
            </w:r>
            <w:r>
              <w:rPr>
                <w:rFonts w:eastAsia="Times New Roman"/>
                <w:lang w:eastAsia="ja-JP"/>
              </w:rPr>
              <w:t>’</w:t>
            </w:r>
          </w:p>
          <w:p w14:paraId="0D27DDA9" w14:textId="77777777" w:rsidR="00EC6335" w:rsidRDefault="00EC6335" w:rsidP="00543327">
            <w:pPr>
              <w:rPr>
                <w:rFonts w:eastAsia="Times New Roman"/>
                <w:lang w:eastAsia="ja-JP"/>
              </w:rPr>
            </w:pPr>
            <w:r>
              <w:t>2. should we replace ‘</w:t>
            </w:r>
            <w:r>
              <w:rPr>
                <w:iCs/>
              </w:rPr>
              <w:t xml:space="preserve">If </w:t>
            </w:r>
            <w:r w:rsidRPr="001429CF">
              <w:rPr>
                <w:rFonts w:eastAsia="Times New Roman"/>
                <w:lang w:eastAsia="ja-JP"/>
              </w:rPr>
              <w:t>the UE supports UE category M1 or UE category M2</w:t>
            </w:r>
            <w:r>
              <w:rPr>
                <w:rFonts w:eastAsia="Times New Roman"/>
                <w:lang w:eastAsia="ja-JP"/>
              </w:rPr>
              <w:t>’</w:t>
            </w:r>
            <w:r>
              <w:t xml:space="preserve"> with ‘</w:t>
            </w:r>
            <w:r w:rsidRPr="0050503E">
              <w:t xml:space="preserve">if the UE supports </w:t>
            </w:r>
            <w:r w:rsidRPr="0050503E">
              <w:rPr>
                <w:i/>
              </w:rPr>
              <w:t>ce-ModeA-r13</w:t>
            </w:r>
            <w:r w:rsidRPr="0050503E">
              <w:rPr>
                <w:iCs/>
              </w:rPr>
              <w:t>,</w:t>
            </w:r>
            <w:r>
              <w:rPr>
                <w:iCs/>
              </w:rPr>
              <w:t xml:space="preserve">’ </w:t>
            </w:r>
            <w:r>
              <w:rPr>
                <w:rFonts w:eastAsia="Times New Roman"/>
                <w:lang w:eastAsia="ja-JP"/>
              </w:rPr>
              <w:t>as we have not excluded UE in CE</w:t>
            </w:r>
          </w:p>
          <w:p w14:paraId="4D6F65C0" w14:textId="77777777" w:rsidR="00EC6335" w:rsidRPr="000E7AFA" w:rsidRDefault="00EC6335" w:rsidP="00543327">
            <w:pPr>
              <w:pStyle w:val="CommentText"/>
              <w:rPr>
                <w:i/>
              </w:rPr>
            </w:pPr>
            <w:r>
              <w:rPr>
                <w:rFonts w:eastAsia="Times New Roman"/>
                <w:lang w:eastAsia="ja-JP"/>
              </w:rPr>
              <w:t>3. the usual wording is ‘</w:t>
            </w:r>
            <w:r w:rsidRPr="000E7AFA">
              <w:t xml:space="preserve">A UE that supports </w:t>
            </w:r>
            <w:r w:rsidRPr="000E7AFA">
              <w:rPr>
                <w:i/>
              </w:rPr>
              <w:t>ntn-Connectivity-EPC-r17</w:t>
            </w:r>
            <w:r>
              <w:t xml:space="preserve"> </w:t>
            </w:r>
            <w:r w:rsidRPr="000E7AFA">
              <w:t xml:space="preserve">shall also support the </w:t>
            </w:r>
            <w:proofErr w:type="spellStart"/>
            <w:r w:rsidRPr="000E7AFA">
              <w:rPr>
                <w:i/>
              </w:rPr>
              <w:t>standaloneGNSS</w:t>
            </w:r>
            <w:proofErr w:type="spellEnd"/>
            <w:r w:rsidRPr="000E7AFA">
              <w:rPr>
                <w:i/>
              </w:rPr>
              <w:t>-Location</w:t>
            </w:r>
          </w:p>
          <w:p w14:paraId="459F49EC" w14:textId="77777777" w:rsidR="00EC6335" w:rsidRPr="000E7AFA" w:rsidRDefault="00EC6335" w:rsidP="00543327">
            <w:r>
              <w:rPr>
                <w:i/>
              </w:rPr>
              <w:t xml:space="preserve">4. </w:t>
            </w:r>
            <w:r w:rsidRPr="000E7AFA">
              <w:t>the support of</w:t>
            </w:r>
            <w:r>
              <w:rPr>
                <w:i/>
              </w:rPr>
              <w:t xml:space="preserve"> </w:t>
            </w:r>
            <w:proofErr w:type="spellStart"/>
            <w:r w:rsidRPr="000E7AFA">
              <w:rPr>
                <w:i/>
              </w:rPr>
              <w:t>standaloneGNSS</w:t>
            </w:r>
            <w:proofErr w:type="spellEnd"/>
            <w:r w:rsidRPr="000E7AFA">
              <w:rPr>
                <w:i/>
              </w:rPr>
              <w:t>-Location</w:t>
            </w:r>
            <w:r>
              <w:rPr>
                <w:i/>
              </w:rPr>
              <w:t xml:space="preserve"> </w:t>
            </w:r>
            <w:r w:rsidRPr="000E7AFA">
              <w:t>shall be restricted</w:t>
            </w:r>
            <w:r>
              <w:rPr>
                <w:i/>
              </w:rPr>
              <w:t xml:space="preserve"> </w:t>
            </w:r>
            <w:r w:rsidRPr="000E7AFA">
              <w:t>to eMTC as there is no such capability in NB-IOT</w:t>
            </w:r>
          </w:p>
          <w:p w14:paraId="0AE3AE0A" w14:textId="77777777" w:rsidR="00EC6335" w:rsidRDefault="00EC6335" w:rsidP="00543327">
            <w:pPr>
              <w:rPr>
                <w:u w:val="single"/>
              </w:rPr>
            </w:pPr>
            <w:r w:rsidRPr="00535E81">
              <w:rPr>
                <w:u w:val="single"/>
              </w:rPr>
              <w:t>ntn-TA-report-r17</w:t>
            </w:r>
          </w:p>
          <w:p w14:paraId="5B987E29" w14:textId="77777777" w:rsidR="00EC6335" w:rsidRDefault="00EC6335" w:rsidP="00543327">
            <w:r w:rsidRPr="00535E81">
              <w:t xml:space="preserve">1, Suggest </w:t>
            </w:r>
            <w:proofErr w:type="gramStart"/>
            <w:r w:rsidRPr="00535E81">
              <w:t>rewording :</w:t>
            </w:r>
            <w:proofErr w:type="gramEnd"/>
            <w:r>
              <w:rPr>
                <w:u w:val="single"/>
              </w:rPr>
              <w:t xml:space="preserve"> </w:t>
            </w:r>
            <w:r w:rsidRPr="00535E81">
              <w:t xml:space="preserve">This field indicates whether UE support Timing advance reporting in NTN cell as specified in TS 36.321 </w:t>
            </w:r>
            <w:r w:rsidRPr="00535E81">
              <w:rPr>
                <w:color w:val="FF0000"/>
              </w:rPr>
              <w:t>[</w:t>
            </w:r>
            <w:r w:rsidRPr="00535E81">
              <w:rPr>
                <w:color w:val="FF0000"/>
                <w:u w:val="single"/>
              </w:rPr>
              <w:t>XX</w:t>
            </w:r>
            <w:r w:rsidRPr="00535E81">
              <w:rPr>
                <w:u w:val="single"/>
              </w:rPr>
              <w:t>]</w:t>
            </w:r>
            <w:r>
              <w:t xml:space="preserve"> </w:t>
            </w:r>
            <w:r w:rsidRPr="00535E81">
              <w:rPr>
                <w:strike/>
                <w:color w:val="FF0000"/>
              </w:rPr>
              <w:t>for adjustment of downlink timing based on UE reported Timing advance</w:t>
            </w:r>
            <w:r w:rsidRPr="00535E81">
              <w:t>.</w:t>
            </w:r>
          </w:p>
          <w:p w14:paraId="042CE482" w14:textId="77777777" w:rsidR="00EC6335" w:rsidRPr="00535E81" w:rsidRDefault="00EC6335" w:rsidP="00543327">
            <w:pPr>
              <w:rPr>
                <w:lang w:eastAsia="en-GB"/>
              </w:rPr>
            </w:pPr>
            <w:r>
              <w:t xml:space="preserve">2, should we add </w:t>
            </w:r>
            <w:proofErr w:type="gramStart"/>
            <w:r>
              <w:t>‘</w:t>
            </w:r>
            <w:r w:rsidRPr="00535E81">
              <w:rPr>
                <w:lang w:eastAsia="ja-JP"/>
              </w:rPr>
              <w:t xml:space="preserve"> </w:t>
            </w:r>
            <w:r w:rsidRPr="00535E81">
              <w:rPr>
                <w:lang w:eastAsia="en-GB"/>
              </w:rPr>
              <w:t>This</w:t>
            </w:r>
            <w:proofErr w:type="gramEnd"/>
            <w:r w:rsidRPr="00535E81">
              <w:rPr>
                <w:lang w:eastAsia="en-GB"/>
              </w:rPr>
              <w:t xml:space="preserve"> feature is only applicable if the UE supports </w:t>
            </w:r>
            <w:r w:rsidRPr="00535E81">
              <w:rPr>
                <w:lang w:eastAsia="ja-JP"/>
              </w:rPr>
              <w:t>ntn-Connectivity-EPC-r17</w:t>
            </w:r>
            <w:r>
              <w:rPr>
                <w:lang w:eastAsia="ja-JP"/>
              </w:rPr>
              <w:t>’</w:t>
            </w:r>
            <w:r w:rsidRPr="00535E81">
              <w:rPr>
                <w:lang w:eastAsia="en-GB"/>
              </w:rPr>
              <w:t>.</w:t>
            </w:r>
          </w:p>
          <w:p w14:paraId="4946FB22" w14:textId="77777777" w:rsidR="00EC6335" w:rsidRPr="00535E81" w:rsidRDefault="00EC6335" w:rsidP="00543327">
            <w:pPr>
              <w:rPr>
                <w:b/>
                <w:u w:val="single"/>
              </w:rPr>
            </w:pPr>
          </w:p>
        </w:tc>
        <w:tc>
          <w:tcPr>
            <w:tcW w:w="2408" w:type="dxa"/>
          </w:tcPr>
          <w:p w14:paraId="431D3220" w14:textId="77777777" w:rsidR="00EC6335" w:rsidRDefault="00EC6335" w:rsidP="00543327"/>
        </w:tc>
        <w:tc>
          <w:tcPr>
            <w:tcW w:w="2408" w:type="dxa"/>
          </w:tcPr>
          <w:p w14:paraId="5218C93F" w14:textId="77777777" w:rsidR="00EC6335" w:rsidRDefault="00EC6335" w:rsidP="00543327"/>
        </w:tc>
      </w:tr>
      <w:tr w:rsidR="003B75E3" w14:paraId="5BBACBD9" w14:textId="77777777" w:rsidTr="00543327">
        <w:tc>
          <w:tcPr>
            <w:tcW w:w="2407" w:type="dxa"/>
          </w:tcPr>
          <w:p w14:paraId="1B777B5B" w14:textId="7811D6B6" w:rsidR="003B75E3" w:rsidRDefault="003B75E3" w:rsidP="00543327">
            <w:r>
              <w:t>Ericsson</w:t>
            </w:r>
          </w:p>
        </w:tc>
        <w:tc>
          <w:tcPr>
            <w:tcW w:w="2408" w:type="dxa"/>
          </w:tcPr>
          <w:p w14:paraId="18D78174" w14:textId="57099533" w:rsidR="003B75E3" w:rsidRDefault="00ED2A97" w:rsidP="00543327">
            <w:r>
              <w:t xml:space="preserve">1. </w:t>
            </w:r>
            <w:r w:rsidR="00495822" w:rsidRPr="00495822">
              <w:t>The agreement</w:t>
            </w:r>
            <w:r w:rsidR="009D1B09">
              <w:t xml:space="preserve"> was to mandatorily support GNSS</w:t>
            </w:r>
            <w:r w:rsidR="00495822" w:rsidRPr="00495822">
              <w:t xml:space="preserve">. As mentioned in </w:t>
            </w:r>
            <w:r w:rsidR="00495822" w:rsidRPr="00495822">
              <w:lastRenderedPageBreak/>
              <w:t>R2-2201601</w:t>
            </w:r>
            <w:r w:rsidR="009D1B09">
              <w:t xml:space="preserve"> and by Huawei above</w:t>
            </w:r>
            <w:r w:rsidR="00495822" w:rsidRPr="00495822">
              <w:t xml:space="preserve">, </w:t>
            </w:r>
            <w:proofErr w:type="spellStart"/>
            <w:r w:rsidR="00495822" w:rsidRPr="00495822">
              <w:t>standaloneGNSS</w:t>
            </w:r>
            <w:proofErr w:type="spellEnd"/>
            <w:r w:rsidR="00495822" w:rsidRPr="00495822">
              <w:t>-location does not apply to NB-IoT and thus, for coherence, should not be used in eMTC either.</w:t>
            </w:r>
          </w:p>
          <w:p w14:paraId="4A328755" w14:textId="2C2AD1CD" w:rsidR="00B100D7" w:rsidRDefault="00ED2A97" w:rsidP="00543327">
            <w:r>
              <w:t xml:space="preserve">2. Agree with the rewording related to </w:t>
            </w:r>
            <w:proofErr w:type="spellStart"/>
            <w:r>
              <w:t>ntn</w:t>
            </w:r>
            <w:proofErr w:type="spellEnd"/>
            <w:r>
              <w:t>-TA-Report as suggested by Huawei</w:t>
            </w:r>
            <w:r w:rsidR="00A62C5C">
              <w:t xml:space="preserve">. </w:t>
            </w:r>
          </w:p>
          <w:p w14:paraId="4AC0599B" w14:textId="77777777" w:rsidR="00667674" w:rsidRDefault="00667674" w:rsidP="00543327"/>
          <w:p w14:paraId="51C40A2E" w14:textId="1E8E0E1E" w:rsidR="00667674" w:rsidRPr="00495822" w:rsidRDefault="00667674" w:rsidP="00543327"/>
        </w:tc>
        <w:tc>
          <w:tcPr>
            <w:tcW w:w="2408" w:type="dxa"/>
          </w:tcPr>
          <w:p w14:paraId="68C7626C" w14:textId="77777777" w:rsidR="003B75E3" w:rsidRDefault="003B75E3" w:rsidP="00543327"/>
        </w:tc>
        <w:tc>
          <w:tcPr>
            <w:tcW w:w="2408" w:type="dxa"/>
          </w:tcPr>
          <w:p w14:paraId="4417AFA9" w14:textId="77777777" w:rsidR="003B75E3" w:rsidRDefault="003B75E3" w:rsidP="00543327"/>
        </w:tc>
      </w:tr>
      <w:tr w:rsidR="0076120B" w14:paraId="264DDCC0" w14:textId="77777777" w:rsidTr="00543327">
        <w:tc>
          <w:tcPr>
            <w:tcW w:w="2407" w:type="dxa"/>
          </w:tcPr>
          <w:p w14:paraId="604FA0B4" w14:textId="5A777FAE" w:rsidR="0076120B" w:rsidRDefault="0076120B" w:rsidP="00543327">
            <w:r>
              <w:rPr>
                <w:rFonts w:hint="eastAsia"/>
                <w:lang w:eastAsia="zh-CN"/>
              </w:rPr>
              <w:t>Lenovo</w:t>
            </w:r>
          </w:p>
        </w:tc>
        <w:tc>
          <w:tcPr>
            <w:tcW w:w="2408" w:type="dxa"/>
          </w:tcPr>
          <w:p w14:paraId="69D50E34" w14:textId="7DC7F162" w:rsidR="0076120B" w:rsidRDefault="0076120B" w:rsidP="00543327">
            <w:pPr>
              <w:rPr>
                <w:lang w:eastAsia="zh-CN"/>
              </w:rPr>
            </w:pPr>
            <w:r>
              <w:rPr>
                <w:rFonts w:hint="eastAsia"/>
                <w:lang w:eastAsia="zh-CN"/>
              </w:rPr>
              <w:t>A</w:t>
            </w:r>
            <w:r>
              <w:rPr>
                <w:lang w:eastAsia="zh-CN"/>
              </w:rPr>
              <w:t>gree with Intel and Huawei’s suggestions.</w:t>
            </w:r>
          </w:p>
        </w:tc>
        <w:tc>
          <w:tcPr>
            <w:tcW w:w="2408" w:type="dxa"/>
          </w:tcPr>
          <w:p w14:paraId="2D8EC18D" w14:textId="77777777" w:rsidR="0076120B" w:rsidRDefault="0076120B" w:rsidP="00543327"/>
        </w:tc>
        <w:tc>
          <w:tcPr>
            <w:tcW w:w="2408" w:type="dxa"/>
          </w:tcPr>
          <w:p w14:paraId="58A3FDD6" w14:textId="77777777" w:rsidR="0076120B" w:rsidRDefault="0076120B" w:rsidP="00543327"/>
        </w:tc>
      </w:tr>
    </w:tbl>
    <w:p w14:paraId="00ACA372" w14:textId="1108BC2D" w:rsidR="008946E8" w:rsidRDefault="008946E8" w:rsidP="00CE1450"/>
    <w:p w14:paraId="5F9B966A" w14:textId="77777777" w:rsidR="00F16C2E" w:rsidRDefault="00F16C2E" w:rsidP="00CE1450">
      <w:pPr>
        <w:rPr>
          <w:b/>
          <w:bCs/>
        </w:rPr>
      </w:pPr>
      <w:r w:rsidRPr="00F16C2E">
        <w:rPr>
          <w:b/>
          <w:bCs/>
        </w:rPr>
        <w:t xml:space="preserve">Rapporteur Summary: </w:t>
      </w:r>
    </w:p>
    <w:p w14:paraId="1727D235" w14:textId="7F2F990F" w:rsidR="00F16C2E" w:rsidRDefault="00F16C2E" w:rsidP="00CE1450">
      <w:r w:rsidRPr="00F16C2E">
        <w:t>draft CR is updated for the above comments in V1.</w:t>
      </w:r>
      <w:r>
        <w:t xml:space="preserve"> As the TA reporting capability is defined in RAN2 and not expected to be different across bands, this editor note is not included. If the TA reporting is decided as per-Band capability in RAN2, further versions can be updated accordingly.</w:t>
      </w:r>
    </w:p>
    <w:p w14:paraId="600FBDDF" w14:textId="66647D1F" w:rsidR="00F16C2E" w:rsidRPr="00F16C2E" w:rsidRDefault="00F16C2E" w:rsidP="00CE1450">
      <w:pPr>
        <w:rPr>
          <w:b/>
          <w:bCs/>
        </w:rPr>
      </w:pPr>
      <w:r w:rsidRPr="00F16C2E">
        <w:rPr>
          <w:b/>
          <w:bCs/>
        </w:rPr>
        <w:t xml:space="preserve">Proposal </w:t>
      </w:r>
      <w:proofErr w:type="gramStart"/>
      <w:r>
        <w:rPr>
          <w:b/>
          <w:bCs/>
        </w:rPr>
        <w:t>0</w:t>
      </w:r>
      <w:r w:rsidRPr="00F16C2E">
        <w:rPr>
          <w:b/>
          <w:bCs/>
        </w:rPr>
        <w:t xml:space="preserve"> :</w:t>
      </w:r>
      <w:proofErr w:type="gramEnd"/>
      <w:r w:rsidRPr="00F16C2E">
        <w:rPr>
          <w:b/>
          <w:bCs/>
        </w:rPr>
        <w:t xml:space="preserve">  Updated CR in draft-CR-V1 considered as basis for further changes to running CR.</w:t>
      </w:r>
    </w:p>
    <w:p w14:paraId="596A2FF9" w14:textId="4783273D" w:rsidR="00CE1450" w:rsidRDefault="00CE1450" w:rsidP="00CE1450">
      <w:pPr>
        <w:pStyle w:val="Heading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 xml:space="preserve">Need for duplicating the capability bits of existing IoT-Features to differentiate the capability for NTN and TN access will be discussed in next section. Only the first 3 open issues from the above list </w:t>
      </w:r>
      <w:proofErr w:type="gramStart"/>
      <w:r>
        <w:t>is</w:t>
      </w:r>
      <w:proofErr w:type="gramEnd"/>
      <w:r>
        <w:t xml:space="preserve"> considered in this section for arriving at potential agreements.</w:t>
      </w:r>
    </w:p>
    <w:p w14:paraId="47AEED8D" w14:textId="6DC0F3D8" w:rsidR="008946E8" w:rsidRDefault="004B3F74" w:rsidP="008946E8">
      <w:r>
        <w:t xml:space="preserve">9 companies provided contributions related to above open point. </w:t>
      </w:r>
      <w:r w:rsidR="002A0793">
        <w:t xml:space="preserve">Based on the input contributions to this meeting the company views for the above open issues </w:t>
      </w:r>
      <w:proofErr w:type="gramStart"/>
      <w:r w:rsidR="002A0793">
        <w:t>is</w:t>
      </w:r>
      <w:proofErr w:type="gramEnd"/>
      <w:r w:rsidR="002A0793">
        <w:t xml:space="preserve">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 xml:space="preserve">[5] </w:t>
            </w:r>
            <w:proofErr w:type="spellStart"/>
            <w:r>
              <w:t>Mandaotry</w:t>
            </w:r>
            <w:proofErr w:type="spellEnd"/>
            <w:r>
              <w:t xml:space="preserve">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lastRenderedPageBreak/>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t>P2(5/6</w:t>
      </w:r>
      <w:proofErr w:type="gramStart"/>
      <w:r>
        <w:rPr>
          <w:b/>
          <w:bCs/>
        </w:rPr>
        <w:t>) :</w:t>
      </w:r>
      <w:proofErr w:type="gramEnd"/>
      <w:r>
        <w:rPr>
          <w:b/>
          <w:bCs/>
        </w:rPr>
        <w:t xml:space="preserve">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P3(4/4</w:t>
      </w:r>
      <w:proofErr w:type="gramStart"/>
      <w:r>
        <w:rPr>
          <w:b/>
          <w:bCs/>
        </w:rPr>
        <w:t>) :</w:t>
      </w:r>
      <w:proofErr w:type="gramEnd"/>
      <w:r>
        <w:rPr>
          <w:b/>
          <w:bCs/>
        </w:rPr>
        <w:t xml:space="preserve">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 xml:space="preserve">Q2: Do you agree to the above set of proposals? </w:t>
      </w:r>
      <w:proofErr w:type="gramStart"/>
      <w:r w:rsidRPr="00B32040">
        <w:rPr>
          <w:b/>
          <w:bCs/>
        </w:rPr>
        <w:t>(</w:t>
      </w:r>
      <w:r w:rsidR="00634138">
        <w:rPr>
          <w:b/>
          <w:bCs/>
        </w:rPr>
        <w:t xml:space="preserve"> </w:t>
      </w:r>
      <w:r w:rsidRPr="00B32040">
        <w:rPr>
          <w:b/>
          <w:bCs/>
        </w:rPr>
        <w:t>For</w:t>
      </w:r>
      <w:proofErr w:type="gramEnd"/>
      <w:r w:rsidRPr="00B32040">
        <w:rPr>
          <w:b/>
          <w:bCs/>
        </w:rPr>
        <w:t xml:space="preserve">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w:t>
            </w:r>
            <w:proofErr w:type="gramStart"/>
            <w:r w:rsidR="00C818ED">
              <w:t>So</w:t>
            </w:r>
            <w:proofErr w:type="gramEnd"/>
            <w:r w:rsidR="00C818ED">
              <w:t xml:space="preserve"> this may</w:t>
            </w:r>
            <w:r w:rsidR="001630BF">
              <w:t xml:space="preserve"> soon discussed probably in the next release. </w:t>
            </w:r>
            <w:proofErr w:type="gramStart"/>
            <w:r w:rsidR="001630BF">
              <w:t>So</w:t>
            </w:r>
            <w:proofErr w:type="gramEnd"/>
            <w:r w:rsidR="001630BF">
              <w:t xml:space="preserve"> it is better to keep this for future and define new one for NTN.</w:t>
            </w:r>
          </w:p>
          <w:p w14:paraId="4CBE64FA" w14:textId="2278E5D9" w:rsidR="00AB23B6" w:rsidRPr="007366B1" w:rsidRDefault="00AB23B6" w:rsidP="008946E8"/>
        </w:tc>
      </w:tr>
      <w:tr w:rsidR="00EC6335" w:rsidRPr="007366B1" w14:paraId="77621011" w14:textId="77777777" w:rsidTr="00543327">
        <w:tc>
          <w:tcPr>
            <w:tcW w:w="4815" w:type="dxa"/>
          </w:tcPr>
          <w:p w14:paraId="35B62AC1" w14:textId="77777777" w:rsidR="00EC6335" w:rsidRPr="007366B1" w:rsidRDefault="00EC6335" w:rsidP="00543327">
            <w:r>
              <w:t xml:space="preserve">Huawei, </w:t>
            </w:r>
            <w:proofErr w:type="spellStart"/>
            <w:r>
              <w:t>HiSilicon</w:t>
            </w:r>
            <w:proofErr w:type="spellEnd"/>
          </w:p>
        </w:tc>
        <w:tc>
          <w:tcPr>
            <w:tcW w:w="4816" w:type="dxa"/>
          </w:tcPr>
          <w:p w14:paraId="2892FC91" w14:textId="77777777" w:rsidR="00EC6335" w:rsidRDefault="00EC6335" w:rsidP="00543327">
            <w:r>
              <w:t>OK</w:t>
            </w:r>
          </w:p>
          <w:p w14:paraId="29F000F9" w14:textId="519118D0" w:rsidR="00EC6335" w:rsidRPr="007366B1" w:rsidRDefault="00EC6335" w:rsidP="00EC6335">
            <w:r>
              <w:t>For P2: we do not think QC proposal works as there are multiple capabilities for PUR</w:t>
            </w:r>
          </w:p>
        </w:tc>
      </w:tr>
      <w:tr w:rsidR="00A05341" w:rsidRPr="007366B1" w14:paraId="4CEDB855" w14:textId="77777777" w:rsidTr="00543327">
        <w:tc>
          <w:tcPr>
            <w:tcW w:w="4815" w:type="dxa"/>
          </w:tcPr>
          <w:p w14:paraId="3A80DABD" w14:textId="160B2811" w:rsidR="00A05341" w:rsidRDefault="00A05341" w:rsidP="00543327">
            <w:r>
              <w:t>Ericsson</w:t>
            </w:r>
          </w:p>
        </w:tc>
        <w:tc>
          <w:tcPr>
            <w:tcW w:w="4816" w:type="dxa"/>
          </w:tcPr>
          <w:p w14:paraId="15C1634D" w14:textId="77777777" w:rsidR="00A05341" w:rsidRDefault="00A05341" w:rsidP="00543327">
            <w:r>
              <w:t>OK.</w:t>
            </w:r>
          </w:p>
          <w:p w14:paraId="7C546683" w14:textId="2C2BB2EE" w:rsidR="001B5A69" w:rsidRDefault="001B5A69" w:rsidP="00543327">
            <w:r>
              <w:t>For P2 agree with Huawei.</w:t>
            </w:r>
          </w:p>
        </w:tc>
      </w:tr>
      <w:tr w:rsidR="0076120B" w:rsidRPr="007366B1" w14:paraId="731CCB37" w14:textId="77777777" w:rsidTr="00543327">
        <w:tc>
          <w:tcPr>
            <w:tcW w:w="4815" w:type="dxa"/>
          </w:tcPr>
          <w:p w14:paraId="2BB9F1E8" w14:textId="32ACE043" w:rsidR="0076120B" w:rsidRDefault="0076120B" w:rsidP="00543327">
            <w:r>
              <w:rPr>
                <w:rFonts w:hint="eastAsia"/>
                <w:lang w:eastAsia="zh-CN"/>
              </w:rPr>
              <w:t>Lenovo</w:t>
            </w:r>
          </w:p>
        </w:tc>
        <w:tc>
          <w:tcPr>
            <w:tcW w:w="4816" w:type="dxa"/>
          </w:tcPr>
          <w:p w14:paraId="17820C41" w14:textId="38E8B758" w:rsidR="0076120B" w:rsidRDefault="0076120B" w:rsidP="00543327">
            <w:pPr>
              <w:rPr>
                <w:lang w:eastAsia="zh-CN"/>
              </w:rPr>
            </w:pPr>
            <w:r>
              <w:rPr>
                <w:rFonts w:hint="eastAsia"/>
                <w:lang w:eastAsia="zh-CN"/>
              </w:rPr>
              <w:t>O</w:t>
            </w:r>
            <w:r>
              <w:rPr>
                <w:lang w:eastAsia="zh-CN"/>
              </w:rPr>
              <w:t>K to P1 and P3, agree with Huawei in P2.</w:t>
            </w:r>
          </w:p>
        </w:tc>
      </w:tr>
    </w:tbl>
    <w:p w14:paraId="49F9AB20" w14:textId="51E99B89" w:rsidR="00B32040" w:rsidRDefault="00B32040" w:rsidP="008946E8">
      <w:pPr>
        <w:rPr>
          <w:b/>
          <w:bCs/>
        </w:rPr>
      </w:pPr>
    </w:p>
    <w:p w14:paraId="59362ED0" w14:textId="77777777" w:rsidR="00F16C2E" w:rsidRDefault="00F16C2E" w:rsidP="00F16C2E">
      <w:pPr>
        <w:rPr>
          <w:b/>
          <w:bCs/>
        </w:rPr>
      </w:pPr>
      <w:r w:rsidRPr="00F16C2E">
        <w:rPr>
          <w:b/>
          <w:bCs/>
        </w:rPr>
        <w:t xml:space="preserve">Rapporteur Summary: </w:t>
      </w:r>
    </w:p>
    <w:p w14:paraId="64C1DD43" w14:textId="7F4698D5" w:rsidR="00F16C2E" w:rsidRPr="00F16C2E" w:rsidRDefault="00F16C2E" w:rsidP="00F16C2E">
      <w:pPr>
        <w:rPr>
          <w:b/>
          <w:bCs/>
        </w:rPr>
      </w:pPr>
      <w:r>
        <w:t xml:space="preserve">Additional responses related to the proposal also confirms to the base proposals except one company. </w:t>
      </w:r>
      <w:proofErr w:type="gramStart"/>
      <w:r>
        <w:t>So</w:t>
      </w:r>
      <w:proofErr w:type="gramEnd"/>
      <w:r>
        <w:t xml:space="preserve"> the proposals given for the Q1 can be considered for online agreement.</w:t>
      </w:r>
    </w:p>
    <w:p w14:paraId="0A00BBED" w14:textId="77777777" w:rsidR="00F16C2E" w:rsidRPr="00B32040" w:rsidRDefault="00F16C2E" w:rsidP="008946E8">
      <w:pPr>
        <w:rPr>
          <w:b/>
          <w:bCs/>
        </w:rPr>
      </w:pPr>
    </w:p>
    <w:p w14:paraId="3063F075" w14:textId="270F8982" w:rsidR="00CE1450" w:rsidRDefault="00CE1450" w:rsidP="00CE1450">
      <w:pPr>
        <w:pStyle w:val="Heading2"/>
      </w:pPr>
      <w:r>
        <w:lastRenderedPageBreak/>
        <w:t>2.3 Discussion on OI4.4</w:t>
      </w:r>
    </w:p>
    <w:p w14:paraId="5494831F" w14:textId="77777777" w:rsidR="00F2494D" w:rsidRDefault="00947C11" w:rsidP="00CE1450">
      <w:r>
        <w:t xml:space="preserve">One of the open </w:t>
      </w:r>
      <w:proofErr w:type="gramStart"/>
      <w:r>
        <w:t>issue</w:t>
      </w:r>
      <w:proofErr w:type="gramEnd"/>
      <w:r>
        <w:t xml:space="preserv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proofErr w:type="gramStart"/>
      <w:r w:rsidR="00DB596E">
        <w:rPr>
          <w:b/>
          <w:bCs/>
        </w:rPr>
        <w:t>are</w:t>
      </w:r>
      <w:proofErr w:type="gramEnd"/>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 xml:space="preserve">As connected mode mobility between TN and NTN is not essential for Rel-17, introduction of separate capability bits for NTN access can be considered in later releases. </w:t>
      </w:r>
      <w:proofErr w:type="gramStart"/>
      <w:r w:rsidR="0017407C">
        <w:t>So</w:t>
      </w:r>
      <w:proofErr w:type="gramEnd"/>
      <w:r w:rsidR="0017407C">
        <w:t xml:space="preserve">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w:t>
      </w:r>
      <w:proofErr w:type="gramStart"/>
      <w:r w:rsidR="0017407C">
        <w:t>does</w:t>
      </w:r>
      <w:proofErr w:type="gramEnd"/>
      <w:r w:rsidR="0017407C">
        <w:t xml:space="preserve">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w:t>
      </w:r>
      <w:proofErr w:type="gramStart"/>
      <w:r w:rsidRPr="00B32040">
        <w:rPr>
          <w:b/>
          <w:bCs/>
        </w:rPr>
        <w:t>requires</w:t>
      </w:r>
      <w:proofErr w:type="gramEnd"/>
      <w:r w:rsidRPr="00B32040">
        <w:rPr>
          <w:b/>
          <w:bCs/>
        </w:rPr>
        <w:t xml:space="preserve">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 xml:space="preserve">Proposal 4:  Capability indication of existing NB-IoT Features </w:t>
            </w:r>
            <w:proofErr w:type="gramStart"/>
            <w:r w:rsidRPr="008F071C">
              <w:rPr>
                <w:b/>
                <w:bCs/>
                <w:i/>
                <w:iCs/>
              </w:rPr>
              <w:t>are</w:t>
            </w:r>
            <w:proofErr w:type="gramEnd"/>
            <w:r w:rsidRPr="008F071C">
              <w:rPr>
                <w:b/>
                <w:bCs/>
                <w:i/>
                <w:iCs/>
              </w:rPr>
              <w:t xml:space="preserv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 xml:space="preserve">We suggest </w:t>
            </w:r>
            <w:proofErr w:type="gramStart"/>
            <w:r>
              <w:t>to clarify</w:t>
            </w:r>
            <w:proofErr w:type="gramEnd"/>
            <w:r>
              <w:t xml:space="preserve"> if P4 means “</w:t>
            </w:r>
            <w:r w:rsidRPr="00685053">
              <w:t>Existing capability signalling is used but only valid in the network type it is reported to (e.g. when UE reports to NTN network the capability refers to NTN and not TN).</w:t>
            </w:r>
            <w:r>
              <w:t xml:space="preserve">” And if this is the </w:t>
            </w:r>
            <w:r>
              <w:lastRenderedPageBreak/>
              <w:t xml:space="preserve">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lastRenderedPageBreak/>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lastRenderedPageBreak/>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eMTC,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r w:rsidR="00EC6335" w14:paraId="5D78245F" w14:textId="77777777" w:rsidTr="0017407C">
        <w:tc>
          <w:tcPr>
            <w:tcW w:w="2407" w:type="dxa"/>
          </w:tcPr>
          <w:p w14:paraId="4E84B704" w14:textId="23ABDF87" w:rsidR="00EC6335" w:rsidRDefault="00EC6335" w:rsidP="00EC6335">
            <w:r>
              <w:t xml:space="preserve">Huawei, </w:t>
            </w:r>
            <w:proofErr w:type="spellStart"/>
            <w:r>
              <w:t>HiSilicon</w:t>
            </w:r>
            <w:proofErr w:type="spellEnd"/>
          </w:p>
        </w:tc>
        <w:tc>
          <w:tcPr>
            <w:tcW w:w="2408" w:type="dxa"/>
          </w:tcPr>
          <w:p w14:paraId="13AAF81E" w14:textId="77777777" w:rsidR="00EC6335" w:rsidRDefault="00EC6335" w:rsidP="00EC6335">
            <w:pPr>
              <w:spacing w:after="0"/>
            </w:pPr>
            <w:r>
              <w:t xml:space="preserve">We are not clear about the exact meaning of P4. </w:t>
            </w:r>
          </w:p>
          <w:p w14:paraId="20FD419C" w14:textId="77777777" w:rsidR="00EC6335" w:rsidRDefault="00EC6335" w:rsidP="00EC6335">
            <w:pPr>
              <w:spacing w:after="0"/>
            </w:pPr>
            <w:r>
              <w:t>We do not agree with Intel’s clarification. We do not think it is needed from RAN2 point of view (</w:t>
            </w:r>
            <w:proofErr w:type="gramStart"/>
            <w:r>
              <w:t>i.e.</w:t>
            </w:r>
            <w:proofErr w:type="gramEnd"/>
            <w:r>
              <w:t xml:space="preserve"> we think the same capability container can apply to both TN and NTN network and there is no need to report separately). We can check with SA2/RAN3 what their assumption is.</w:t>
            </w:r>
          </w:p>
          <w:p w14:paraId="546DEBD2" w14:textId="77777777" w:rsidR="00EC6335" w:rsidRDefault="00EC6335" w:rsidP="00EC6335"/>
        </w:tc>
        <w:tc>
          <w:tcPr>
            <w:tcW w:w="2408" w:type="dxa"/>
          </w:tcPr>
          <w:p w14:paraId="17FCA930" w14:textId="2ECAC5AE" w:rsidR="00EC6335" w:rsidRDefault="00EC6335" w:rsidP="00EC6335">
            <w:r>
              <w:t>Similar comment to P4</w:t>
            </w:r>
          </w:p>
        </w:tc>
        <w:tc>
          <w:tcPr>
            <w:tcW w:w="2408" w:type="dxa"/>
          </w:tcPr>
          <w:p w14:paraId="52F35E5E" w14:textId="340E6D0B" w:rsidR="00EC6335" w:rsidRDefault="00EC6335" w:rsidP="00EC6335">
            <w:r>
              <w:t>OK</w:t>
            </w:r>
          </w:p>
        </w:tc>
      </w:tr>
      <w:tr w:rsidR="00164E0D" w14:paraId="0F1AC7AF" w14:textId="77777777" w:rsidTr="0017407C">
        <w:tc>
          <w:tcPr>
            <w:tcW w:w="2407" w:type="dxa"/>
          </w:tcPr>
          <w:p w14:paraId="58FA1692" w14:textId="7EF8C8BB" w:rsidR="00164E0D" w:rsidRDefault="00164E0D" w:rsidP="00EC6335">
            <w:r>
              <w:t>Ericsson</w:t>
            </w:r>
          </w:p>
        </w:tc>
        <w:tc>
          <w:tcPr>
            <w:tcW w:w="2408" w:type="dxa"/>
          </w:tcPr>
          <w:p w14:paraId="090A0C0B" w14:textId="48F9007A" w:rsidR="00543327" w:rsidRDefault="00543327" w:rsidP="00EC6335">
            <w:pPr>
              <w:spacing w:after="0"/>
            </w:pPr>
            <w:r>
              <w:t xml:space="preserve">Yes, no changes to capability indication framework </w:t>
            </w:r>
            <w:proofErr w:type="gramStart"/>
            <w:r>
              <w:t>is</w:t>
            </w:r>
            <w:proofErr w:type="gramEnd"/>
            <w:r>
              <w:t xml:space="preserve"> needed. For unlicensed and many other </w:t>
            </w:r>
            <w:proofErr w:type="gramStart"/>
            <w:r>
              <w:t>cases</w:t>
            </w:r>
            <w:proofErr w:type="gramEnd"/>
            <w:r>
              <w:t xml:space="preserve"> we did not duplicate capabilities. </w:t>
            </w:r>
          </w:p>
          <w:p w14:paraId="459E4C91" w14:textId="77777777" w:rsidR="00543327" w:rsidRDefault="00543327" w:rsidP="00EC6335">
            <w:pPr>
              <w:spacing w:after="0"/>
            </w:pPr>
          </w:p>
          <w:p w14:paraId="77FA645A" w14:textId="77777777" w:rsidR="00164E0D" w:rsidRDefault="00164E0D" w:rsidP="00EC6335">
            <w:pPr>
              <w:spacing w:after="0"/>
            </w:pPr>
            <w:r>
              <w:t>OK.</w:t>
            </w:r>
          </w:p>
          <w:p w14:paraId="0AFF579F" w14:textId="77777777" w:rsidR="00164E0D" w:rsidRDefault="00164E0D" w:rsidP="00EC6335">
            <w:pPr>
              <w:spacing w:after="0"/>
            </w:pPr>
          </w:p>
          <w:p w14:paraId="0D40B5CF" w14:textId="00B51368" w:rsidR="00164E0D" w:rsidRDefault="002813DF" w:rsidP="002813DF">
            <w:pPr>
              <w:spacing w:after="0"/>
            </w:pPr>
            <w:r>
              <w:t xml:space="preserve">Agree with Huawei. </w:t>
            </w:r>
            <w:r w:rsidR="001E058C">
              <w:t xml:space="preserve">In the event of HO between TN and NTN, </w:t>
            </w:r>
            <w:r w:rsidR="006A7883" w:rsidRPr="006A7883">
              <w:t xml:space="preserve">the </w:t>
            </w:r>
            <w:r w:rsidR="001E058C">
              <w:t xml:space="preserve">NTN </w:t>
            </w:r>
            <w:r w:rsidR="006A7883" w:rsidRPr="006A7883">
              <w:t xml:space="preserve">node will require the UE to report </w:t>
            </w:r>
            <w:r w:rsidR="001E058C">
              <w:t>again its</w:t>
            </w:r>
            <w:r w:rsidR="006A7883" w:rsidRPr="006A7883">
              <w:t xml:space="preserve"> UE capabilities</w:t>
            </w:r>
            <w:r w:rsidR="001E058C">
              <w:t xml:space="preserve">. Thus, there is no possibility of confusion </w:t>
            </w:r>
            <w:r w:rsidR="00FE326C">
              <w:t>(no need to indicate</w:t>
            </w:r>
            <w:r w:rsidR="00657A09">
              <w:t xml:space="preserve"> whether is TN or NTN) </w:t>
            </w:r>
            <w:r w:rsidR="001E058C">
              <w:t xml:space="preserve">nor impact </w:t>
            </w:r>
            <w:r w:rsidR="00B8352C">
              <w:t>to</w:t>
            </w:r>
            <w:r w:rsidR="006A7883" w:rsidRPr="006A7883">
              <w:t xml:space="preserve"> RAN3.</w:t>
            </w:r>
          </w:p>
        </w:tc>
        <w:tc>
          <w:tcPr>
            <w:tcW w:w="2408" w:type="dxa"/>
          </w:tcPr>
          <w:p w14:paraId="6090800A" w14:textId="77777777" w:rsidR="00164E0D" w:rsidRDefault="00164E0D" w:rsidP="00EC6335">
            <w:r>
              <w:t>OK.</w:t>
            </w:r>
          </w:p>
          <w:p w14:paraId="109C8757" w14:textId="77777777" w:rsidR="001D7B88" w:rsidRDefault="001D7B88" w:rsidP="00EC6335"/>
          <w:p w14:paraId="068B86B7" w14:textId="37800DE8" w:rsidR="001D7B88" w:rsidRDefault="00E87489" w:rsidP="00EC6335">
            <w:r>
              <w:t>As we understand, t</w:t>
            </w:r>
            <w:r w:rsidR="001D7B88">
              <w:t xml:space="preserve">he statement </w:t>
            </w:r>
            <w:r>
              <w:t>that</w:t>
            </w:r>
            <w:r w:rsidR="001D7B88" w:rsidRPr="001D7B88">
              <w:t xml:space="preserve"> connected mode mobility between TN and NTN is not essential for Rel-17</w:t>
            </w:r>
            <w:r>
              <w:t xml:space="preserve"> does not mean that it is not supported.</w:t>
            </w:r>
          </w:p>
        </w:tc>
        <w:tc>
          <w:tcPr>
            <w:tcW w:w="2408" w:type="dxa"/>
          </w:tcPr>
          <w:p w14:paraId="6618403E" w14:textId="5DB49274" w:rsidR="006C45B7" w:rsidRDefault="00E87489" w:rsidP="00EC6335">
            <w:r>
              <w:t>Not OK</w:t>
            </w:r>
            <w:r w:rsidR="00A25CEC">
              <w:t xml:space="preserve">, unless only </w:t>
            </w:r>
            <w:r w:rsidR="00A05341">
              <w:t xml:space="preserve">just </w:t>
            </w:r>
            <w:r w:rsidR="00A25CEC">
              <w:t xml:space="preserve">a few capabilities are identified. Otherwise, </w:t>
            </w:r>
            <w:r w:rsidR="000A0598">
              <w:t>it would double the size for capability signalling without a clear gain.</w:t>
            </w:r>
          </w:p>
          <w:p w14:paraId="31BBDD05" w14:textId="46F8D29D" w:rsidR="006C45B7" w:rsidRDefault="006C45B7" w:rsidP="00EC6335"/>
        </w:tc>
      </w:tr>
      <w:tr w:rsidR="00E14C93" w14:paraId="6B355355" w14:textId="77777777" w:rsidTr="0017407C">
        <w:tc>
          <w:tcPr>
            <w:tcW w:w="2407" w:type="dxa"/>
          </w:tcPr>
          <w:p w14:paraId="7AB6EED5" w14:textId="5CDF240F" w:rsidR="00E14C93" w:rsidRDefault="00E14C93" w:rsidP="00EC6335">
            <w:r>
              <w:lastRenderedPageBreak/>
              <w:t>Nokia</w:t>
            </w:r>
          </w:p>
        </w:tc>
        <w:tc>
          <w:tcPr>
            <w:tcW w:w="2408" w:type="dxa"/>
          </w:tcPr>
          <w:p w14:paraId="56F554FE" w14:textId="143ADE93" w:rsidR="00E14C93" w:rsidRPr="00F17043" w:rsidRDefault="00E14C93" w:rsidP="00EC6335">
            <w:pPr>
              <w:spacing w:after="0"/>
              <w:rPr>
                <w:lang w:val="en-IN"/>
              </w:rPr>
            </w:pPr>
            <w:r>
              <w:t>OK. Same container can be used. Contents can differ depending on accessed network</w:t>
            </w:r>
            <w:r w:rsidR="00F17043">
              <w:t>. As network obtain capability information in each access independently we don’t see spec impact here.</w:t>
            </w:r>
          </w:p>
        </w:tc>
        <w:tc>
          <w:tcPr>
            <w:tcW w:w="2408" w:type="dxa"/>
          </w:tcPr>
          <w:p w14:paraId="1CCA789B" w14:textId="338516A1" w:rsidR="00E14C93" w:rsidRDefault="00F17043" w:rsidP="00EC6335">
            <w:r>
              <w:t>OK. For Rel-17 this is sufficient.</w:t>
            </w:r>
          </w:p>
        </w:tc>
        <w:tc>
          <w:tcPr>
            <w:tcW w:w="2408" w:type="dxa"/>
          </w:tcPr>
          <w:p w14:paraId="1E818E1B" w14:textId="77777777" w:rsidR="00E14C93" w:rsidRDefault="00E14C93" w:rsidP="00EC6335"/>
        </w:tc>
      </w:tr>
    </w:tbl>
    <w:p w14:paraId="1E7293E8" w14:textId="77777777" w:rsidR="00B32040" w:rsidRPr="00B32040" w:rsidRDefault="00B32040" w:rsidP="00F2494D"/>
    <w:p w14:paraId="70D7BC59" w14:textId="77777777" w:rsidR="00F16C2E" w:rsidRDefault="00F16C2E" w:rsidP="00F16C2E">
      <w:pPr>
        <w:rPr>
          <w:b/>
          <w:bCs/>
        </w:rPr>
      </w:pPr>
      <w:r w:rsidRPr="00F16C2E">
        <w:rPr>
          <w:b/>
          <w:bCs/>
        </w:rPr>
        <w:t xml:space="preserve">Rapporteur Summary: </w:t>
      </w:r>
    </w:p>
    <w:p w14:paraId="1F61A8FB" w14:textId="7FCC0F37" w:rsidR="00F16C2E" w:rsidRDefault="00F16C2E" w:rsidP="00F16C2E">
      <w:r>
        <w:t xml:space="preserve">For NB-IoT, all companies agreed to reuse capability indication of existing features for NTN access. One company suggests that UE should be allowed use different capability indication of existing features across TN and NTN access. But </w:t>
      </w:r>
      <w:r w:rsidR="00BF23B0">
        <w:t xml:space="preserve">companies have different views on whether specification changes needed to enable the same. 2 companies think RAN3/SA2 impacts to be checked. 3 companies indicate that specification changes are not </w:t>
      </w:r>
      <w:proofErr w:type="gramStart"/>
      <w:r w:rsidR="00BF23B0">
        <w:t>needed</w:t>
      </w:r>
      <w:proofErr w:type="gramEnd"/>
      <w:r w:rsidR="00BF23B0">
        <w:t xml:space="preserve"> and UE can use same container for TN and NTN access with different values.  </w:t>
      </w:r>
      <w:proofErr w:type="gramStart"/>
      <w:r w:rsidR="00BF23B0">
        <w:t>Hence</w:t>
      </w:r>
      <w:proofErr w:type="gramEnd"/>
      <w:r w:rsidR="00BF23B0">
        <w:t xml:space="preserve"> we propose the following for NB-IoT UE capability indication for existing features. </w:t>
      </w:r>
    </w:p>
    <w:p w14:paraId="452B0DC6" w14:textId="4E0EE1AE" w:rsidR="00BF23B0" w:rsidRPr="00BF23B0" w:rsidRDefault="00BF23B0" w:rsidP="00BF23B0">
      <w:pPr>
        <w:pStyle w:val="ListParagraph"/>
        <w:numPr>
          <w:ilvl w:val="0"/>
          <w:numId w:val="25"/>
        </w:numPr>
        <w:rPr>
          <w:b/>
          <w:bCs/>
          <w:i/>
          <w:iCs/>
        </w:rPr>
      </w:pPr>
      <w:r w:rsidRPr="00BF23B0">
        <w:rPr>
          <w:b/>
          <w:bCs/>
          <w:i/>
          <w:iCs/>
        </w:rPr>
        <w:t>Proposal 4:  Capability indication</w:t>
      </w:r>
      <w:r w:rsidR="008F00AF">
        <w:rPr>
          <w:b/>
          <w:bCs/>
          <w:i/>
          <w:iCs/>
        </w:rPr>
        <w:t>s</w:t>
      </w:r>
      <w:r w:rsidRPr="00BF23B0">
        <w:rPr>
          <w:b/>
          <w:bCs/>
          <w:i/>
          <w:iCs/>
        </w:rPr>
        <w:t xml:space="preserve"> of existing NB-IoT Features are reused for NB-IoT-NTN.</w:t>
      </w:r>
    </w:p>
    <w:p w14:paraId="4A519F13" w14:textId="77777777" w:rsidR="004C71AA" w:rsidRPr="004C71AA" w:rsidRDefault="004C71AA" w:rsidP="004C71AA">
      <w:pPr>
        <w:pStyle w:val="ListParagraph"/>
        <w:numPr>
          <w:ilvl w:val="0"/>
          <w:numId w:val="25"/>
        </w:numPr>
        <w:rPr>
          <w:b/>
          <w:bCs/>
          <w:i/>
          <w:iCs/>
        </w:rPr>
      </w:pPr>
      <w:r w:rsidRPr="004C71AA">
        <w:rPr>
          <w:b/>
          <w:bCs/>
          <w:i/>
          <w:iCs/>
        </w:rPr>
        <w:t xml:space="preserve">Proposal 4A:RAN2 to discuss whether UE can use different values for the capability-indication values based on the network it </w:t>
      </w:r>
      <w:proofErr w:type="gramStart"/>
      <w:r w:rsidRPr="004C71AA">
        <w:rPr>
          <w:b/>
          <w:bCs/>
          <w:i/>
          <w:iCs/>
        </w:rPr>
        <w:t>access</w:t>
      </w:r>
      <w:proofErr w:type="gramEnd"/>
      <w:r w:rsidRPr="004C71AA">
        <w:rPr>
          <w:b/>
          <w:bCs/>
          <w:i/>
          <w:iCs/>
        </w:rPr>
        <w:t xml:space="preserve"> (TN or NTN). If allowed, whether specification changes are needed for the same.</w:t>
      </w:r>
    </w:p>
    <w:p w14:paraId="52709C5A" w14:textId="67A3BB8C" w:rsidR="00BF23B0" w:rsidRPr="00BF23B0" w:rsidRDefault="00BF23B0" w:rsidP="008F00AF">
      <w:pPr>
        <w:pStyle w:val="ListParagraph"/>
        <w:rPr>
          <w:i/>
          <w:iCs/>
        </w:rPr>
      </w:pPr>
    </w:p>
    <w:p w14:paraId="7A3098BA" w14:textId="5B258E58" w:rsidR="00F2494D" w:rsidRDefault="00BF23B0" w:rsidP="00CE1450">
      <w:r>
        <w:t xml:space="preserve">For eMTC one company indicated the need for having different capability container for NTN access as it will be required to differentiate the capabilities of UE during TN-NTN handover scenario. </w:t>
      </w:r>
      <w:proofErr w:type="gramStart"/>
      <w:r>
        <w:t>So</w:t>
      </w:r>
      <w:proofErr w:type="gramEnd"/>
      <w:r>
        <w:t xml:space="preserve"> two proposals are considered in the e-mail discussion. As there is split of views for these two options, we suggest the following proposal for online discussion.</w:t>
      </w:r>
      <w:r w:rsidR="0058176C">
        <w:t xml:space="preserve">  All the companies except one recommend not to duplicate the complete capability container of TN to NTN in different name.  Features which requires some modification for NTN access needs to be identified and separate capability bits can be introduced only for them.</w:t>
      </w:r>
    </w:p>
    <w:p w14:paraId="78C5C110" w14:textId="11295C41" w:rsidR="00BF23B0" w:rsidRPr="00BF23B0" w:rsidRDefault="00BF23B0" w:rsidP="00BF23B0">
      <w:pPr>
        <w:pStyle w:val="ListParagraph"/>
        <w:numPr>
          <w:ilvl w:val="0"/>
          <w:numId w:val="25"/>
        </w:numPr>
        <w:rPr>
          <w:b/>
          <w:bCs/>
          <w:i/>
          <w:iCs/>
        </w:rPr>
      </w:pPr>
      <w:r w:rsidRPr="00BF23B0">
        <w:rPr>
          <w:b/>
          <w:bCs/>
          <w:i/>
          <w:iCs/>
        </w:rPr>
        <w:t xml:space="preserve">Proposal 5:  For Capability Indication </w:t>
      </w:r>
      <w:r w:rsidR="008F00AF">
        <w:rPr>
          <w:b/>
          <w:bCs/>
          <w:i/>
          <w:iCs/>
        </w:rPr>
        <w:t>of</w:t>
      </w:r>
      <w:r w:rsidRPr="00BF23B0">
        <w:rPr>
          <w:b/>
          <w:bCs/>
          <w:i/>
          <w:iCs/>
        </w:rPr>
        <w:t xml:space="preserve"> eMTC</w:t>
      </w:r>
      <w:r w:rsidR="008F00AF">
        <w:rPr>
          <w:b/>
          <w:bCs/>
          <w:i/>
          <w:iCs/>
        </w:rPr>
        <w:t xml:space="preserve"> Features for eMTC-NTN</w:t>
      </w:r>
      <w:r w:rsidRPr="00BF23B0">
        <w:rPr>
          <w:b/>
          <w:bCs/>
          <w:i/>
          <w:iCs/>
        </w:rPr>
        <w:t>, RAN2 to decide between following options.</w:t>
      </w:r>
    </w:p>
    <w:p w14:paraId="558C6C03" w14:textId="7BEC88EC" w:rsidR="00BF23B0" w:rsidRPr="00BF23B0" w:rsidRDefault="00BF23B0" w:rsidP="00BF23B0">
      <w:pPr>
        <w:pStyle w:val="ListParagraph"/>
        <w:numPr>
          <w:ilvl w:val="1"/>
          <w:numId w:val="25"/>
        </w:numPr>
        <w:rPr>
          <w:b/>
          <w:bCs/>
          <w:i/>
          <w:iCs/>
        </w:rPr>
      </w:pPr>
      <w:r w:rsidRPr="00BF23B0">
        <w:rPr>
          <w:b/>
          <w:bCs/>
          <w:i/>
          <w:iCs/>
        </w:rPr>
        <w:t>O1: All the existing capability indications of eMTC features are re-used for eMTC-NTN.</w:t>
      </w:r>
    </w:p>
    <w:p w14:paraId="071889D5" w14:textId="10C1F54F" w:rsidR="00BF23B0" w:rsidRPr="00BF23B0" w:rsidRDefault="00BF23B0" w:rsidP="00BF23B0">
      <w:pPr>
        <w:pStyle w:val="ListParagraph"/>
        <w:numPr>
          <w:ilvl w:val="1"/>
          <w:numId w:val="25"/>
        </w:numPr>
        <w:rPr>
          <w:i/>
          <w:iCs/>
        </w:rPr>
      </w:pPr>
      <w:r w:rsidRPr="00BF23B0">
        <w:rPr>
          <w:b/>
          <w:bCs/>
          <w:i/>
          <w:iCs/>
        </w:rPr>
        <w:t xml:space="preserve">O2: Reuse of existing capability indication for eMTC for eMTC-NTN is considered as basis. </w:t>
      </w:r>
      <w:r w:rsidR="002B305B" w:rsidRPr="002B305B">
        <w:rPr>
          <w:b/>
          <w:bCs/>
          <w:i/>
          <w:iCs/>
          <w:u w:val="single"/>
        </w:rPr>
        <w:t>Only for the features which may need some changes for NTN access</w:t>
      </w:r>
      <w:r w:rsidR="002B305B" w:rsidRPr="00BF23B0">
        <w:rPr>
          <w:b/>
          <w:bCs/>
          <w:i/>
          <w:iCs/>
        </w:rPr>
        <w:t xml:space="preserve"> </w:t>
      </w:r>
      <w:r w:rsidR="002B305B">
        <w:rPr>
          <w:b/>
          <w:bCs/>
          <w:i/>
          <w:iCs/>
        </w:rPr>
        <w:t xml:space="preserve">separate capability </w:t>
      </w:r>
      <w:r w:rsidRPr="00BF23B0">
        <w:rPr>
          <w:b/>
          <w:bCs/>
          <w:i/>
          <w:iCs/>
        </w:rPr>
        <w:t>indication for Rel-17 is discussed and agreed explicitly.</w:t>
      </w:r>
    </w:p>
    <w:p w14:paraId="271C03AD" w14:textId="77777777" w:rsidR="00BF23B0" w:rsidRPr="00BF23B0" w:rsidRDefault="00BF23B0" w:rsidP="00CE1450"/>
    <w:p w14:paraId="3B72627C" w14:textId="20B14E45" w:rsidR="00DA1F23" w:rsidRDefault="00DA1F23" w:rsidP="004F73A7"/>
    <w:p w14:paraId="63AF72C4" w14:textId="70EF71B3" w:rsidR="00285BDB" w:rsidRDefault="00285BDB" w:rsidP="00F54D75">
      <w:pPr>
        <w:pStyle w:val="Heading1"/>
      </w:pPr>
      <w:r>
        <w:t>3  Summary</w:t>
      </w:r>
    </w:p>
    <w:p w14:paraId="016B8F94" w14:textId="4CF23A71" w:rsidR="004C71AA" w:rsidRDefault="004C71AA" w:rsidP="001E4E3D">
      <w:r>
        <w:t>Based on the offline discussion, we make the following proposals.</w:t>
      </w:r>
    </w:p>
    <w:p w14:paraId="2ED73834" w14:textId="3850737F" w:rsidR="00BF23B0" w:rsidRPr="004C71AA" w:rsidRDefault="00BF23B0" w:rsidP="001E4E3D">
      <w:pPr>
        <w:rPr>
          <w:u w:val="single"/>
        </w:rPr>
      </w:pPr>
      <w:r w:rsidRPr="004C71AA">
        <w:rPr>
          <w:u w:val="single"/>
        </w:rPr>
        <w:t>For draft CR</w:t>
      </w:r>
    </w:p>
    <w:p w14:paraId="399520DB" w14:textId="4B5E1353" w:rsidR="00BF23B0" w:rsidRPr="004C71AA" w:rsidRDefault="00BF23B0" w:rsidP="004C71AA">
      <w:pPr>
        <w:pStyle w:val="ListParagraph"/>
        <w:numPr>
          <w:ilvl w:val="0"/>
          <w:numId w:val="25"/>
        </w:numPr>
        <w:rPr>
          <w:b/>
          <w:bCs/>
        </w:rPr>
      </w:pPr>
      <w:r w:rsidRPr="004C71AA">
        <w:rPr>
          <w:b/>
          <w:bCs/>
        </w:rPr>
        <w:t>Proposal 0:  Updated CR in draft-CR-V1 considered as basis for further changes to running CR.</w:t>
      </w:r>
    </w:p>
    <w:p w14:paraId="45B56D47" w14:textId="19E5B236" w:rsidR="001E4E3D" w:rsidRPr="004C71AA" w:rsidRDefault="004C71AA" w:rsidP="001E4E3D">
      <w:pPr>
        <w:rPr>
          <w:u w:val="single"/>
        </w:rPr>
      </w:pPr>
      <w:r w:rsidRPr="004C71AA">
        <w:rPr>
          <w:u w:val="single"/>
        </w:rPr>
        <w:t>For Optionality of NTN specific features</w:t>
      </w:r>
      <w:r w:rsidR="001E4E3D" w:rsidRPr="004C71AA">
        <w:rPr>
          <w:u w:val="single"/>
        </w:rPr>
        <w:t>.</w:t>
      </w:r>
    </w:p>
    <w:p w14:paraId="5C2E04F3" w14:textId="30A378DF" w:rsidR="001E4E3D" w:rsidRDefault="001E4E3D" w:rsidP="001E4E3D">
      <w:pPr>
        <w:pStyle w:val="ListParagraph"/>
        <w:numPr>
          <w:ilvl w:val="0"/>
          <w:numId w:val="23"/>
        </w:numPr>
        <w:rPr>
          <w:b/>
          <w:bCs/>
        </w:rPr>
      </w:pPr>
      <w:r w:rsidRPr="004B3F74">
        <w:rPr>
          <w:b/>
          <w:bCs/>
        </w:rPr>
        <w:t xml:space="preserve">P1: Support for reception of multiple tracking areas in system information and updating the TA list to NAS is considered as mandatory capability for NTN access. </w:t>
      </w:r>
    </w:p>
    <w:p w14:paraId="6C80B50B" w14:textId="04865625" w:rsidR="001E4E3D" w:rsidRDefault="001E4E3D" w:rsidP="001E4E3D">
      <w:pPr>
        <w:pStyle w:val="ListParagraph"/>
        <w:numPr>
          <w:ilvl w:val="0"/>
          <w:numId w:val="23"/>
        </w:numPr>
        <w:rPr>
          <w:b/>
          <w:bCs/>
        </w:rPr>
      </w:pPr>
      <w:r>
        <w:rPr>
          <w:b/>
          <w:bCs/>
        </w:rPr>
        <w:t>P2: Timer modification for PUR operation for NTN is optional UE capability with separate UE capability indication.</w:t>
      </w:r>
    </w:p>
    <w:p w14:paraId="20AE4DE0" w14:textId="0A60DC08" w:rsidR="001E4E3D" w:rsidRPr="004B3F74" w:rsidRDefault="001E4E3D" w:rsidP="001E4E3D">
      <w:pPr>
        <w:pStyle w:val="ListParagraph"/>
        <w:numPr>
          <w:ilvl w:val="0"/>
          <w:numId w:val="23"/>
        </w:numPr>
        <w:rPr>
          <w:b/>
          <w:bCs/>
        </w:rPr>
      </w:pPr>
      <w:r>
        <w:rPr>
          <w:b/>
          <w:bCs/>
        </w:rPr>
        <w:t>P3:</w:t>
      </w:r>
      <w:r w:rsidR="0058176C">
        <w:rPr>
          <w:b/>
          <w:bCs/>
        </w:rPr>
        <w:t xml:space="preserve"> </w:t>
      </w:r>
      <w:r>
        <w:rPr>
          <w:b/>
          <w:bCs/>
        </w:rPr>
        <w:t xml:space="preserve">CHO capability for eMTC-NTN is indicated by the existing LTE CHO capability indication. </w:t>
      </w:r>
    </w:p>
    <w:p w14:paraId="59EE4CFC" w14:textId="77777777" w:rsidR="001E4E3D" w:rsidRPr="004C71AA" w:rsidRDefault="001E4E3D" w:rsidP="001E4E3D">
      <w:pPr>
        <w:rPr>
          <w:u w:val="single"/>
        </w:rPr>
      </w:pPr>
      <w:r w:rsidRPr="004C71AA">
        <w:rPr>
          <w:u w:val="single"/>
        </w:rPr>
        <w:t xml:space="preserve">For Open Issue 4.4 </w:t>
      </w:r>
    </w:p>
    <w:p w14:paraId="260C4BBF" w14:textId="77777777" w:rsidR="001E4E3D" w:rsidRPr="00E65BA1" w:rsidRDefault="001E4E3D" w:rsidP="001E4E3D">
      <w:pPr>
        <w:pStyle w:val="ListParagraph"/>
        <w:numPr>
          <w:ilvl w:val="0"/>
          <w:numId w:val="25"/>
        </w:numPr>
        <w:rPr>
          <w:b/>
          <w:bCs/>
        </w:rPr>
      </w:pPr>
      <w:r w:rsidRPr="00E65BA1">
        <w:rPr>
          <w:b/>
          <w:bCs/>
        </w:rPr>
        <w:t>Proposal 4:  Capability indication of existing NB-IoT Features are reused for NB-IoT-NTN.</w:t>
      </w:r>
    </w:p>
    <w:p w14:paraId="40C29CF4" w14:textId="034C0C0D" w:rsidR="001E4E3D" w:rsidRPr="00E65BA1" w:rsidRDefault="001E4E3D" w:rsidP="001E4E3D">
      <w:pPr>
        <w:pStyle w:val="ListParagraph"/>
        <w:numPr>
          <w:ilvl w:val="0"/>
          <w:numId w:val="25"/>
        </w:numPr>
        <w:rPr>
          <w:b/>
          <w:bCs/>
        </w:rPr>
      </w:pPr>
      <w:r w:rsidRPr="00E65BA1">
        <w:rPr>
          <w:b/>
          <w:bCs/>
        </w:rPr>
        <w:lastRenderedPageBreak/>
        <w:t>Proposal 4A:</w:t>
      </w:r>
      <w:r w:rsidR="008F00AF">
        <w:rPr>
          <w:b/>
          <w:bCs/>
        </w:rPr>
        <w:t xml:space="preserve">RAN2 to discuss whether UE </w:t>
      </w:r>
      <w:r w:rsidR="004C71AA">
        <w:rPr>
          <w:b/>
          <w:bCs/>
        </w:rPr>
        <w:t>can</w:t>
      </w:r>
      <w:r w:rsidR="008F00AF">
        <w:rPr>
          <w:b/>
          <w:bCs/>
        </w:rPr>
        <w:t xml:space="preserve"> use different values for the capability-indication values based on the network it </w:t>
      </w:r>
      <w:proofErr w:type="gramStart"/>
      <w:r w:rsidR="008F00AF">
        <w:rPr>
          <w:b/>
          <w:bCs/>
        </w:rPr>
        <w:t>access</w:t>
      </w:r>
      <w:proofErr w:type="gramEnd"/>
      <w:r w:rsidR="008F00AF">
        <w:rPr>
          <w:b/>
          <w:bCs/>
        </w:rPr>
        <w:t xml:space="preserve"> (TN or NTN). If allowed, whether specification changes are needed </w:t>
      </w:r>
      <w:r w:rsidR="004C71AA">
        <w:rPr>
          <w:b/>
          <w:bCs/>
        </w:rPr>
        <w:t>for the same.</w:t>
      </w:r>
    </w:p>
    <w:p w14:paraId="498E53A3" w14:textId="77777777" w:rsidR="008F00AF" w:rsidRPr="008F00AF" w:rsidRDefault="008F00AF" w:rsidP="008F00AF">
      <w:pPr>
        <w:pStyle w:val="ListParagraph"/>
        <w:numPr>
          <w:ilvl w:val="0"/>
          <w:numId w:val="25"/>
        </w:numPr>
        <w:rPr>
          <w:b/>
          <w:bCs/>
        </w:rPr>
      </w:pPr>
      <w:r w:rsidRPr="008F00AF">
        <w:rPr>
          <w:b/>
          <w:bCs/>
        </w:rPr>
        <w:t>Proposal 5:  For Capability Indication of eMTC Features for eMTC-NTN, RAN2 to decide between following options.</w:t>
      </w:r>
    </w:p>
    <w:p w14:paraId="742B7A57" w14:textId="77777777" w:rsidR="008F00AF" w:rsidRPr="008F00AF" w:rsidRDefault="008F00AF" w:rsidP="008F00AF">
      <w:pPr>
        <w:pStyle w:val="ListParagraph"/>
        <w:numPr>
          <w:ilvl w:val="1"/>
          <w:numId w:val="25"/>
        </w:numPr>
        <w:rPr>
          <w:b/>
          <w:bCs/>
        </w:rPr>
      </w:pPr>
      <w:r w:rsidRPr="008F00AF">
        <w:rPr>
          <w:b/>
          <w:bCs/>
        </w:rPr>
        <w:t>O1: All the existing capability indications of eMTC features are re-used for eMTC-NTN.</w:t>
      </w:r>
    </w:p>
    <w:p w14:paraId="43014B8C" w14:textId="77777777" w:rsidR="008F00AF" w:rsidRPr="008F00AF" w:rsidRDefault="008F00AF" w:rsidP="008F00AF">
      <w:pPr>
        <w:pStyle w:val="ListParagraph"/>
        <w:numPr>
          <w:ilvl w:val="1"/>
          <w:numId w:val="25"/>
        </w:numPr>
      </w:pPr>
      <w:r w:rsidRPr="008F00AF">
        <w:rPr>
          <w:b/>
          <w:bCs/>
        </w:rPr>
        <w:t xml:space="preserve">O2: Reuse of existing capability indication for eMTC for eMTC-NTN is considered as basis. </w:t>
      </w:r>
      <w:r w:rsidRPr="008F00AF">
        <w:rPr>
          <w:b/>
          <w:bCs/>
          <w:u w:val="single"/>
        </w:rPr>
        <w:t>Only for the features which may need some changes for NTN access</w:t>
      </w:r>
      <w:r w:rsidRPr="008F00AF">
        <w:rPr>
          <w:b/>
          <w:bCs/>
        </w:rPr>
        <w:t xml:space="preserve"> separate capability indication for Rel-17 is discussed and agreed explicitly.</w:t>
      </w:r>
    </w:p>
    <w:p w14:paraId="32FC404A" w14:textId="77777777" w:rsidR="00F17043" w:rsidRPr="00285BDB" w:rsidRDefault="00F17043"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w:t>
      </w:r>
      <w:proofErr w:type="gramStart"/>
      <w:r>
        <w:t>2]Open</w:t>
      </w:r>
      <w:proofErr w:type="gramEnd"/>
      <w:r>
        <w:t xml:space="preserve">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w:t>
      </w:r>
      <w:proofErr w:type="gramStart"/>
      <w:r>
        <w:t>4]Further</w:t>
      </w:r>
      <w:proofErr w:type="gramEnd"/>
      <w:r>
        <w:t xml:space="preserve"> analysis on  remaining open issues  for IoT-NTN Capabilities</w:t>
      </w:r>
      <w:r>
        <w:tab/>
        <w:t>Nokia, Nokia Shanghai Bells</w:t>
      </w:r>
    </w:p>
    <w:p w14:paraId="4B90A026" w14:textId="77777777" w:rsidR="0094527B" w:rsidRDefault="0094527B" w:rsidP="0094527B">
      <w:r>
        <w:t>[</w:t>
      </w:r>
      <w:proofErr w:type="gramStart"/>
      <w:r>
        <w:t>5]Discussion</w:t>
      </w:r>
      <w:proofErr w:type="gramEnd"/>
      <w:r>
        <w:t xml:space="preserve"> on UE capabilities</w:t>
      </w:r>
      <w:r>
        <w:tab/>
        <w:t>Xiaomi</w:t>
      </w:r>
    </w:p>
    <w:p w14:paraId="065CBF47" w14:textId="77777777" w:rsidR="0094527B" w:rsidRDefault="0094527B" w:rsidP="0094527B">
      <w:r>
        <w:t>[</w:t>
      </w:r>
      <w:proofErr w:type="gramStart"/>
      <w:r>
        <w:t>6]Discussion</w:t>
      </w:r>
      <w:proofErr w:type="gramEnd"/>
      <w:r>
        <w:t xml:space="preserve"> on IoT NTN UE capabilities</w:t>
      </w:r>
      <w:r>
        <w:tab/>
        <w:t>OPPO</w:t>
      </w:r>
    </w:p>
    <w:p w14:paraId="2F22C8BB" w14:textId="77777777" w:rsidR="0094527B" w:rsidRDefault="0094527B" w:rsidP="0094527B">
      <w:r>
        <w:t>[</w:t>
      </w:r>
      <w:proofErr w:type="gramStart"/>
      <w:r>
        <w:t>7]OI</w:t>
      </w:r>
      <w:proofErr w:type="gramEnd"/>
      <w:r>
        <w:t xml:space="preserve"> 4.1 and OI 4.2: UE capabilities open issues</w:t>
      </w:r>
      <w:r>
        <w:tab/>
        <w:t xml:space="preserve">Huawei, </w:t>
      </w:r>
      <w:proofErr w:type="spellStart"/>
      <w:r>
        <w:t>HiSilicon</w:t>
      </w:r>
      <w:proofErr w:type="spellEnd"/>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D20E" w14:textId="77777777" w:rsidR="00EA4831" w:rsidRDefault="00EA4831">
      <w:r>
        <w:separator/>
      </w:r>
    </w:p>
  </w:endnote>
  <w:endnote w:type="continuationSeparator" w:id="0">
    <w:p w14:paraId="2BDFEBEA" w14:textId="77777777" w:rsidR="00EA4831" w:rsidRDefault="00EA4831">
      <w:r>
        <w:continuationSeparator/>
      </w:r>
    </w:p>
  </w:endnote>
  <w:endnote w:type="continuationNotice" w:id="1">
    <w:p w14:paraId="2FAB867F" w14:textId="77777777" w:rsidR="00EA4831" w:rsidRDefault="00EA4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6A7DA" w14:textId="77777777" w:rsidR="00EA4831" w:rsidRDefault="00EA4831">
      <w:r>
        <w:separator/>
      </w:r>
    </w:p>
  </w:footnote>
  <w:footnote w:type="continuationSeparator" w:id="0">
    <w:p w14:paraId="77423A8D" w14:textId="77777777" w:rsidR="00EA4831" w:rsidRDefault="00EA4831">
      <w:r>
        <w:continuationSeparator/>
      </w:r>
    </w:p>
  </w:footnote>
  <w:footnote w:type="continuationNotice" w:id="1">
    <w:p w14:paraId="534F2462" w14:textId="77777777" w:rsidR="00EA4831" w:rsidRDefault="00EA4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C137E6"/>
    <w:multiLevelType w:val="hybridMultilevel"/>
    <w:tmpl w:val="673E2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7D52"/>
    <w:multiLevelType w:val="hybridMultilevel"/>
    <w:tmpl w:val="31E20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18"/>
  </w:num>
  <w:num w:numId="7">
    <w:abstractNumId w:val="19"/>
  </w:num>
  <w:num w:numId="8">
    <w:abstractNumId w:val="4"/>
  </w:num>
  <w:num w:numId="9">
    <w:abstractNumId w:val="21"/>
  </w:num>
  <w:num w:numId="10">
    <w:abstractNumId w:val="1"/>
  </w:num>
  <w:num w:numId="11">
    <w:abstractNumId w:val="10"/>
  </w:num>
  <w:num w:numId="12">
    <w:abstractNumId w:val="5"/>
  </w:num>
  <w:num w:numId="13">
    <w:abstractNumId w:val="6"/>
  </w:num>
  <w:num w:numId="14">
    <w:abstractNumId w:val="8"/>
  </w:num>
  <w:num w:numId="15">
    <w:abstractNumId w:val="14"/>
  </w:num>
  <w:num w:numId="16">
    <w:abstractNumId w:val="1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22"/>
  </w:num>
  <w:num w:numId="21">
    <w:abstractNumId w:val="20"/>
  </w:num>
  <w:num w:numId="22">
    <w:abstractNumId w:val="20"/>
  </w:num>
  <w:num w:numId="23">
    <w:abstractNumId w:val="3"/>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A0598"/>
    <w:rsid w:val="000B7BCF"/>
    <w:rsid w:val="000C522B"/>
    <w:rsid w:val="000D58AB"/>
    <w:rsid w:val="000E148C"/>
    <w:rsid w:val="000F0049"/>
    <w:rsid w:val="00112F1A"/>
    <w:rsid w:val="00117C62"/>
    <w:rsid w:val="00117FBB"/>
    <w:rsid w:val="00133068"/>
    <w:rsid w:val="00145075"/>
    <w:rsid w:val="001630BF"/>
    <w:rsid w:val="00164E0D"/>
    <w:rsid w:val="001656EB"/>
    <w:rsid w:val="0017407C"/>
    <w:rsid w:val="001741A0"/>
    <w:rsid w:val="00175FA0"/>
    <w:rsid w:val="00194CD0"/>
    <w:rsid w:val="001A2661"/>
    <w:rsid w:val="001B49C9"/>
    <w:rsid w:val="001B5A69"/>
    <w:rsid w:val="001C23F4"/>
    <w:rsid w:val="001C4F79"/>
    <w:rsid w:val="001D7B88"/>
    <w:rsid w:val="001E058C"/>
    <w:rsid w:val="001E4E3D"/>
    <w:rsid w:val="001F168B"/>
    <w:rsid w:val="001F7831"/>
    <w:rsid w:val="00204045"/>
    <w:rsid w:val="0020712B"/>
    <w:rsid w:val="00217FEB"/>
    <w:rsid w:val="0022606D"/>
    <w:rsid w:val="00231728"/>
    <w:rsid w:val="00244A05"/>
    <w:rsid w:val="00250404"/>
    <w:rsid w:val="002610D8"/>
    <w:rsid w:val="0026365A"/>
    <w:rsid w:val="002747EC"/>
    <w:rsid w:val="002813DF"/>
    <w:rsid w:val="002855BF"/>
    <w:rsid w:val="00285BDB"/>
    <w:rsid w:val="002900A4"/>
    <w:rsid w:val="002A0793"/>
    <w:rsid w:val="002B305B"/>
    <w:rsid w:val="002C20C3"/>
    <w:rsid w:val="002D55FF"/>
    <w:rsid w:val="002E1A60"/>
    <w:rsid w:val="002E4374"/>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B75E3"/>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4DDE"/>
    <w:rsid w:val="00475707"/>
    <w:rsid w:val="00477455"/>
    <w:rsid w:val="00490004"/>
    <w:rsid w:val="00494FDB"/>
    <w:rsid w:val="00495822"/>
    <w:rsid w:val="004A1F7B"/>
    <w:rsid w:val="004B0E95"/>
    <w:rsid w:val="004B3F74"/>
    <w:rsid w:val="004B47F2"/>
    <w:rsid w:val="004C44D2"/>
    <w:rsid w:val="004C71AA"/>
    <w:rsid w:val="004D3578"/>
    <w:rsid w:val="004D380D"/>
    <w:rsid w:val="004E213A"/>
    <w:rsid w:val="004E37AB"/>
    <w:rsid w:val="004E4372"/>
    <w:rsid w:val="004F4540"/>
    <w:rsid w:val="004F71AA"/>
    <w:rsid w:val="004F73A7"/>
    <w:rsid w:val="00503171"/>
    <w:rsid w:val="00506C28"/>
    <w:rsid w:val="00506E6E"/>
    <w:rsid w:val="005139AB"/>
    <w:rsid w:val="00524B53"/>
    <w:rsid w:val="0053296D"/>
    <w:rsid w:val="00534DA0"/>
    <w:rsid w:val="00536BCC"/>
    <w:rsid w:val="00543327"/>
    <w:rsid w:val="00543E6C"/>
    <w:rsid w:val="00552336"/>
    <w:rsid w:val="00565087"/>
    <w:rsid w:val="0056573F"/>
    <w:rsid w:val="00571279"/>
    <w:rsid w:val="00576C6A"/>
    <w:rsid w:val="0058176C"/>
    <w:rsid w:val="00583A3D"/>
    <w:rsid w:val="005A0B4B"/>
    <w:rsid w:val="005A49C6"/>
    <w:rsid w:val="005C275B"/>
    <w:rsid w:val="005C5F11"/>
    <w:rsid w:val="005D5CB8"/>
    <w:rsid w:val="005F59F6"/>
    <w:rsid w:val="00611566"/>
    <w:rsid w:val="00625EC5"/>
    <w:rsid w:val="00634138"/>
    <w:rsid w:val="00635F90"/>
    <w:rsid w:val="006453A5"/>
    <w:rsid w:val="00646D99"/>
    <w:rsid w:val="0065258F"/>
    <w:rsid w:val="00656910"/>
    <w:rsid w:val="006574C0"/>
    <w:rsid w:val="00657A09"/>
    <w:rsid w:val="00667674"/>
    <w:rsid w:val="00685053"/>
    <w:rsid w:val="00696821"/>
    <w:rsid w:val="00697897"/>
    <w:rsid w:val="006A7883"/>
    <w:rsid w:val="006C45B7"/>
    <w:rsid w:val="006C66D8"/>
    <w:rsid w:val="006C7042"/>
    <w:rsid w:val="006D1E24"/>
    <w:rsid w:val="006D35DE"/>
    <w:rsid w:val="006E1057"/>
    <w:rsid w:val="006E1417"/>
    <w:rsid w:val="006F47DD"/>
    <w:rsid w:val="006F6A2C"/>
    <w:rsid w:val="00704645"/>
    <w:rsid w:val="0070508F"/>
    <w:rsid w:val="007069DC"/>
    <w:rsid w:val="00710201"/>
    <w:rsid w:val="00713B14"/>
    <w:rsid w:val="0072073A"/>
    <w:rsid w:val="007342B5"/>
    <w:rsid w:val="00734A5B"/>
    <w:rsid w:val="0073533C"/>
    <w:rsid w:val="007359CB"/>
    <w:rsid w:val="007366B1"/>
    <w:rsid w:val="00744E76"/>
    <w:rsid w:val="00757980"/>
    <w:rsid w:val="00757D40"/>
    <w:rsid w:val="0076120B"/>
    <w:rsid w:val="00765690"/>
    <w:rsid w:val="007662B5"/>
    <w:rsid w:val="00781F0F"/>
    <w:rsid w:val="0078346C"/>
    <w:rsid w:val="00784577"/>
    <w:rsid w:val="0078727C"/>
    <w:rsid w:val="0079049D"/>
    <w:rsid w:val="00793DC5"/>
    <w:rsid w:val="00796823"/>
    <w:rsid w:val="007A08AC"/>
    <w:rsid w:val="007A2E55"/>
    <w:rsid w:val="007A76BE"/>
    <w:rsid w:val="007B0711"/>
    <w:rsid w:val="007B18D8"/>
    <w:rsid w:val="007C095F"/>
    <w:rsid w:val="007C2DD0"/>
    <w:rsid w:val="007E3B40"/>
    <w:rsid w:val="007F2E08"/>
    <w:rsid w:val="007F70A1"/>
    <w:rsid w:val="008028A4"/>
    <w:rsid w:val="00811C19"/>
    <w:rsid w:val="00813245"/>
    <w:rsid w:val="00815031"/>
    <w:rsid w:val="00822B48"/>
    <w:rsid w:val="00831B16"/>
    <w:rsid w:val="00835CB6"/>
    <w:rsid w:val="00840C27"/>
    <w:rsid w:val="00840DE0"/>
    <w:rsid w:val="00842B78"/>
    <w:rsid w:val="008607A8"/>
    <w:rsid w:val="0086354A"/>
    <w:rsid w:val="008768CA"/>
    <w:rsid w:val="00877EF9"/>
    <w:rsid w:val="00880559"/>
    <w:rsid w:val="00880903"/>
    <w:rsid w:val="00886131"/>
    <w:rsid w:val="008864F5"/>
    <w:rsid w:val="008946E8"/>
    <w:rsid w:val="008A4F4E"/>
    <w:rsid w:val="008B4289"/>
    <w:rsid w:val="008B5306"/>
    <w:rsid w:val="008C022F"/>
    <w:rsid w:val="008C2E2A"/>
    <w:rsid w:val="008C3057"/>
    <w:rsid w:val="008C77A8"/>
    <w:rsid w:val="008D2E4D"/>
    <w:rsid w:val="008E1803"/>
    <w:rsid w:val="008E3D66"/>
    <w:rsid w:val="008F00AF"/>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6A8"/>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1B09"/>
    <w:rsid w:val="009D5637"/>
    <w:rsid w:val="009D74A6"/>
    <w:rsid w:val="009E0E87"/>
    <w:rsid w:val="009E3511"/>
    <w:rsid w:val="00A011BB"/>
    <w:rsid w:val="00A05341"/>
    <w:rsid w:val="00A10F02"/>
    <w:rsid w:val="00A12D9A"/>
    <w:rsid w:val="00A204CA"/>
    <w:rsid w:val="00A209D6"/>
    <w:rsid w:val="00A20E84"/>
    <w:rsid w:val="00A22738"/>
    <w:rsid w:val="00A25CEC"/>
    <w:rsid w:val="00A430EC"/>
    <w:rsid w:val="00A53724"/>
    <w:rsid w:val="00A54B2B"/>
    <w:rsid w:val="00A62C5C"/>
    <w:rsid w:val="00A636D6"/>
    <w:rsid w:val="00A73355"/>
    <w:rsid w:val="00A73B3F"/>
    <w:rsid w:val="00A82346"/>
    <w:rsid w:val="00A9671C"/>
    <w:rsid w:val="00AA1553"/>
    <w:rsid w:val="00AB23B6"/>
    <w:rsid w:val="00AB385B"/>
    <w:rsid w:val="00AC2F07"/>
    <w:rsid w:val="00AE04EE"/>
    <w:rsid w:val="00B05380"/>
    <w:rsid w:val="00B05962"/>
    <w:rsid w:val="00B05DD0"/>
    <w:rsid w:val="00B100D7"/>
    <w:rsid w:val="00B1131B"/>
    <w:rsid w:val="00B15449"/>
    <w:rsid w:val="00B16C2F"/>
    <w:rsid w:val="00B17679"/>
    <w:rsid w:val="00B22C6A"/>
    <w:rsid w:val="00B27303"/>
    <w:rsid w:val="00B30353"/>
    <w:rsid w:val="00B32040"/>
    <w:rsid w:val="00B45616"/>
    <w:rsid w:val="00B45E88"/>
    <w:rsid w:val="00B47FD1"/>
    <w:rsid w:val="00B516BB"/>
    <w:rsid w:val="00B53AF8"/>
    <w:rsid w:val="00B606E6"/>
    <w:rsid w:val="00B72274"/>
    <w:rsid w:val="00B7538C"/>
    <w:rsid w:val="00B82C3A"/>
    <w:rsid w:val="00B8352C"/>
    <w:rsid w:val="00B84DB2"/>
    <w:rsid w:val="00BA5752"/>
    <w:rsid w:val="00BC3555"/>
    <w:rsid w:val="00BD42E3"/>
    <w:rsid w:val="00BD6597"/>
    <w:rsid w:val="00BD68A5"/>
    <w:rsid w:val="00BE2CB2"/>
    <w:rsid w:val="00BF23B0"/>
    <w:rsid w:val="00C12B51"/>
    <w:rsid w:val="00C24650"/>
    <w:rsid w:val="00C25465"/>
    <w:rsid w:val="00C33079"/>
    <w:rsid w:val="00C34375"/>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4C93"/>
    <w:rsid w:val="00E15320"/>
    <w:rsid w:val="00E422EE"/>
    <w:rsid w:val="00E46C08"/>
    <w:rsid w:val="00E471CF"/>
    <w:rsid w:val="00E62835"/>
    <w:rsid w:val="00E63ED1"/>
    <w:rsid w:val="00E65BA1"/>
    <w:rsid w:val="00E77093"/>
    <w:rsid w:val="00E77645"/>
    <w:rsid w:val="00E83697"/>
    <w:rsid w:val="00E859B6"/>
    <w:rsid w:val="00E87489"/>
    <w:rsid w:val="00EA40B4"/>
    <w:rsid w:val="00EA4831"/>
    <w:rsid w:val="00EA66C9"/>
    <w:rsid w:val="00EA73FF"/>
    <w:rsid w:val="00EC4A25"/>
    <w:rsid w:val="00EC6335"/>
    <w:rsid w:val="00ED1760"/>
    <w:rsid w:val="00ED2A97"/>
    <w:rsid w:val="00ED5893"/>
    <w:rsid w:val="00EF612C"/>
    <w:rsid w:val="00F025A2"/>
    <w:rsid w:val="00F036E9"/>
    <w:rsid w:val="00F07388"/>
    <w:rsid w:val="00F101DE"/>
    <w:rsid w:val="00F1125E"/>
    <w:rsid w:val="00F16C2E"/>
    <w:rsid w:val="00F17043"/>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326C"/>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1FA6CDB-C89E-4BDD-B746-74958E0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E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41818-279E-46BC-B5B4-B6E9C083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9B3E491-287C-4B0A-9551-78482246556A}">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RAN2-117e</cp:lastModifiedBy>
  <cp:revision>7</cp:revision>
  <dcterms:created xsi:type="dcterms:W3CDTF">2022-03-01T04:13:00Z</dcterms:created>
  <dcterms:modified xsi:type="dcterms:W3CDTF">2022-03-01T09:34:00Z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f3f01c7a-f068-4ace-9485-0a8f8dfd456c</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1645768363</vt:lpwstr>
  </property>
  <property fmtid="{D5CDD505-2E9C-101B-9397-08002B2CF9AE}" pid="7" name="ContentTypeId">
    <vt:lpwstr>0x01010054371E7EC0F13943B87F9D9F2BE005B3</vt:lpwstr>
  </property>
</Properties>
</file>