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BB9B" w14:textId="77777777" w:rsidR="006F33DD" w:rsidRDefault="00B062EA">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Header"/>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Header"/>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Heading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[AT117-e][059][NR17]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Intended outcome: Report, Agreed CRs (CRs with certain early impl.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[AT117-e][059][NR17]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Intended outcome: Report, Agreed CRs (CRs with certain early impl.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14:paraId="2C82B565" w14:textId="77777777" w:rsidR="006F33DD" w:rsidRDefault="00B062EA">
      <w:pPr>
        <w:pStyle w:val="Doc-title"/>
      </w:pPr>
      <w:r>
        <w:t>[2] R2-2202904</w:t>
      </w:r>
      <w:r>
        <w:tab/>
        <w:t>Consideration on the FR2 CA bandwidth classes</w:t>
      </w:r>
      <w:r>
        <w:tab/>
        <w:t>ZTE Corporation, Sanechips</w:t>
      </w:r>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Huawei, HiSilicon</w:t>
      </w:r>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Huawei, HiSilicon</w:t>
      </w:r>
      <w:r>
        <w:tab/>
        <w:t>draftCR</w:t>
      </w:r>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Huawei, HiSilicon</w:t>
      </w:r>
      <w:r>
        <w:tab/>
        <w:t>draftCR</w:t>
      </w:r>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ZTE Corporation, Sanechips</w:t>
      </w:r>
      <w:r>
        <w:tab/>
        <w:t>discussion</w:t>
      </w:r>
      <w:r>
        <w:tab/>
        <w:t>Rel-17</w:t>
      </w:r>
      <w:r>
        <w:tab/>
        <w:t>NR_RF_FR2_req_enh2-Core</w:t>
      </w:r>
    </w:p>
    <w:p w14:paraId="4BBC9117" w14:textId="77777777" w:rsidR="006F33DD" w:rsidRDefault="00B062EA">
      <w:pPr>
        <w:pStyle w:val="Doc-title"/>
      </w:pPr>
      <w:r>
        <w:t>[10] 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Heading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24FFE885" w:rsidR="006F33DD" w:rsidRDefault="00421550" w:rsidP="00421550">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B6351" w14:textId="0F3D51E2" w:rsidR="006F33DD" w:rsidRDefault="00421550">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3EDF132" w14:textId="135D695E" w:rsidR="006F33DD" w:rsidRDefault="00421550">
            <w:pPr>
              <w:pStyle w:val="TAC"/>
              <w:spacing w:before="20" w:after="20"/>
              <w:ind w:left="57" w:right="57"/>
              <w:jc w:val="left"/>
              <w:rPr>
                <w:lang w:eastAsia="zh-CN"/>
              </w:rPr>
            </w:pPr>
            <w:r>
              <w:rPr>
                <w:lang w:eastAsia="zh-CN"/>
              </w:rPr>
              <w:t>hakan.l.palm@ericsson.com</w:t>
            </w:r>
          </w:p>
        </w:tc>
      </w:tr>
      <w:tr w:rsidR="00F415B7"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285FC5EE" w:rsidR="00F415B7" w:rsidRDefault="00F415B7">
            <w:pPr>
              <w:pStyle w:val="TAC"/>
              <w:spacing w:before="20" w:after="20"/>
              <w:ind w:left="57" w:right="57"/>
              <w:jc w:val="left"/>
              <w:rPr>
                <w:lang w:eastAsia="zh-CN"/>
              </w:rPr>
            </w:pPr>
            <w:r>
              <w:rPr>
                <w:rFonts w:hint="eastAsia"/>
                <w:lang w:eastAsia="zh-CN"/>
              </w:rPr>
              <w:t>C</w:t>
            </w:r>
            <w:r>
              <w:rPr>
                <w:lang w:eastAsia="zh-CN"/>
              </w:rPr>
              <w:t>ATT</w:t>
            </w:r>
          </w:p>
        </w:tc>
        <w:tc>
          <w:tcPr>
            <w:tcW w:w="3118" w:type="dxa"/>
            <w:tcBorders>
              <w:top w:val="single" w:sz="4" w:space="0" w:color="auto"/>
              <w:left w:val="single" w:sz="4" w:space="0" w:color="auto"/>
              <w:bottom w:val="single" w:sz="4" w:space="0" w:color="auto"/>
              <w:right w:val="single" w:sz="4" w:space="0" w:color="auto"/>
            </w:tcBorders>
          </w:tcPr>
          <w:p w14:paraId="3D7B489E" w14:textId="7D38FB5F" w:rsidR="00F415B7" w:rsidRDefault="00F415B7">
            <w:pPr>
              <w:pStyle w:val="TAC"/>
              <w:spacing w:before="20" w:after="20"/>
              <w:ind w:left="57" w:right="57"/>
              <w:jc w:val="left"/>
              <w:rPr>
                <w:lang w:eastAsia="zh-CN"/>
              </w:rPr>
            </w:pPr>
            <w:r>
              <w:rPr>
                <w:rFonts w:hint="eastAsia"/>
                <w:lang w:eastAsia="zh-CN"/>
              </w:rPr>
              <w:t>J</w:t>
            </w:r>
            <w:r>
              <w:rPr>
                <w:lang w:eastAsia="zh-CN"/>
              </w:rPr>
              <w:t>ie Shi</w:t>
            </w:r>
          </w:p>
        </w:tc>
        <w:tc>
          <w:tcPr>
            <w:tcW w:w="4391" w:type="dxa"/>
            <w:tcBorders>
              <w:top w:val="single" w:sz="4" w:space="0" w:color="auto"/>
              <w:left w:val="single" w:sz="4" w:space="0" w:color="auto"/>
              <w:bottom w:val="single" w:sz="4" w:space="0" w:color="auto"/>
              <w:right w:val="single" w:sz="4" w:space="0" w:color="auto"/>
            </w:tcBorders>
          </w:tcPr>
          <w:p w14:paraId="3D9D9816" w14:textId="0E106965" w:rsidR="00F415B7" w:rsidRDefault="00F415B7">
            <w:pPr>
              <w:pStyle w:val="TAC"/>
              <w:spacing w:before="20" w:after="20"/>
              <w:ind w:left="57" w:right="57"/>
              <w:jc w:val="left"/>
              <w:rPr>
                <w:lang w:eastAsia="zh-CN"/>
              </w:rPr>
            </w:pPr>
            <w:r>
              <w:rPr>
                <w:rFonts w:hint="eastAsia"/>
                <w:lang w:eastAsia="zh-CN"/>
              </w:rPr>
              <w:t>s</w:t>
            </w:r>
            <w:r>
              <w:rPr>
                <w:lang w:eastAsia="zh-CN"/>
              </w:rPr>
              <w:t>hijie@catt.cn</w:t>
            </w: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04AA5D14" w:rsidR="006F33DD" w:rsidRDefault="007441D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538124" w14:textId="1748EB3C" w:rsidR="006F33DD" w:rsidRDefault="007441D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D8DF58E" w14:textId="09E839B4" w:rsidR="006F33DD" w:rsidRDefault="007441D3">
            <w:pPr>
              <w:pStyle w:val="TAC"/>
              <w:spacing w:before="20" w:after="20"/>
              <w:ind w:left="57" w:right="57"/>
              <w:jc w:val="left"/>
              <w:rPr>
                <w:lang w:eastAsia="zh-CN"/>
              </w:rPr>
            </w:pPr>
            <w:r>
              <w:rPr>
                <w:lang w:eastAsia="zh-CN"/>
              </w:rPr>
              <w:t>wuyumin@xiaomi.com</w:t>
            </w: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Heading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TableGrid"/>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B66FB2">
            <w:pPr>
              <w:pStyle w:val="Doc-title"/>
              <w:rPr>
                <w:lang w:eastAsia="en-US"/>
              </w:rPr>
            </w:pPr>
            <w:hyperlink r:id="rId11" w:tooltip="D:Documents3GPPtsg_ranWG2TSGR2_116bis-eDocsR2-2201928.zip" w:history="1">
              <w:r w:rsidR="00B062EA">
                <w:rPr>
                  <w:rStyle w:val="Hyperlink"/>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lastRenderedPageBreak/>
              <w:t>[037] FFS if RAN2 aims to harmonize solution to also include  “dual bandwidth class across FBG” which is under discussion in RAN4</w:t>
            </w:r>
          </w:p>
          <w:p w14:paraId="6590FD9A" w14:textId="77777777" w:rsidR="006F33DD" w:rsidRDefault="00B062EA">
            <w:pPr>
              <w:pStyle w:val="Agreement"/>
            </w:pPr>
            <w:r>
              <w:t>[037] Introduce CBM-only capability from Rel-17 (allowing early implementation from Rel-16) and dummify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r>
        <w:rPr>
          <w:b/>
          <w:bCs/>
        </w:rPr>
        <w:t>Aggregatedbandwidth</w:t>
      </w:r>
      <w:r>
        <w:rPr>
          <w:rFonts w:hint="eastAsia"/>
          <w:b/>
          <w:bCs/>
        </w:rPr>
        <w:t xml:space="preserve"> </w:t>
      </w:r>
      <w:r>
        <w:rPr>
          <w:b/>
        </w:rPr>
        <w:t>(maxBandwidthRequestedDL/UL)</w:t>
      </w:r>
      <w:r>
        <w:rPr>
          <w:rFonts w:hint="eastAsia"/>
          <w:b/>
        </w:rPr>
        <w:t xml:space="preserve">, the network can set the </w:t>
      </w:r>
      <w:r>
        <w:rPr>
          <w:b/>
        </w:rPr>
        <w:t>maxBandwidthRequestedDL</w:t>
      </w:r>
      <w:r>
        <w:rPr>
          <w:rFonts w:hint="eastAsia"/>
          <w:b/>
        </w:rPr>
        <w:t xml:space="preserve">/UL as absent and meanwhile limit the </w:t>
      </w:r>
      <w:r>
        <w:rPr>
          <w:b/>
        </w:rPr>
        <w:t>maxCarriersRequestedDL</w:t>
      </w:r>
      <w:r>
        <w:rPr>
          <w:rFonts w:hint="eastAsia"/>
          <w:b/>
        </w:rPr>
        <w:t>/</w:t>
      </w:r>
      <w:r>
        <w:rPr>
          <w:b/>
        </w:rPr>
        <w:t xml:space="preserve"> maxCarriersRequestedUL</w:t>
      </w:r>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(i.e.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(i.e.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Proposal 1: To ensure backward compatibility, it is suggested to consider select one of the solution below:</w:t>
      </w:r>
    </w:p>
    <w:p w14:paraId="5ECE3C87" w14:textId="77777777"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70868FAE" w14:textId="77777777" w:rsidR="006F33DD" w:rsidRDefault="00B062EA">
      <w:pPr>
        <w:pStyle w:val="ListParagraph"/>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14:paraId="7542FF11" w14:textId="77777777" w:rsidR="006F33DD" w:rsidRDefault="00B062EA">
      <w:pPr>
        <w:pStyle w:val="ListParagraph"/>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t should be clarified that the UE shall include at least as many FeatureSetDownlinkPerCC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lthough we fine with the intention to use separate field for old/new gNB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r w:rsidR="004D6B95">
              <w:rPr>
                <w:lang w:eastAsia="zh-CN"/>
              </w:rPr>
              <w:t>is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the UE must support the BC of xF-yF</w:t>
            </w:r>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and if BC of xF-yF is a fallback BC of xU-yU, UE report the old BWC of F</w:t>
            </w:r>
          </w:p>
          <w:p w14:paraId="05282B37" w14:textId="77777777" w:rsidR="004D6B95" w:rsidRDefault="004D6B95" w:rsidP="004D6B95">
            <w:pPr>
              <w:pStyle w:val="TAC"/>
              <w:spacing w:before="20" w:after="20"/>
              <w:ind w:left="57" w:right="57"/>
              <w:jc w:val="left"/>
              <w:rPr>
                <w:lang w:eastAsia="zh-CN"/>
              </w:rPr>
            </w:pPr>
            <w:r>
              <w:rPr>
                <w:lang w:eastAsia="zh-CN"/>
              </w:rPr>
              <w:t xml:space="preserve">There is a difference between 1 and 2 since currently UE does not necessarily support 1 (R2 previously discussed this, i.e., </w:t>
            </w:r>
            <w:r w:rsidRPr="009169E2">
              <w:rPr>
                <w:highlight w:val="yellow"/>
                <w:lang w:eastAsia="zh-CN"/>
              </w:rPr>
              <w:t>we understand a BC with lower BWC does not necessarily to be a fallback of a BC with higher BWC</w:t>
            </w:r>
            <w:r>
              <w:rPr>
                <w:lang w:eastAsia="zh-CN"/>
              </w:rPr>
              <w:t>)</w:t>
            </w:r>
            <w:r>
              <w:rPr>
                <w:rFonts w:hint="eastAsia"/>
                <w:lang w:eastAsia="zh-CN"/>
              </w:rPr>
              <w:t>.</w:t>
            </w:r>
            <w:r>
              <w:rPr>
                <w:lang w:eastAsia="zh-CN"/>
              </w:rPr>
              <w:t xml:space="preserve"> So the Q1 is only fine if the interpretation-2 is the thinking behind.</w:t>
            </w:r>
          </w:p>
          <w:p w14:paraId="599FE974" w14:textId="77777777" w:rsidR="00BA6FF3" w:rsidRDefault="00BA6FF3" w:rsidP="004D6B95">
            <w:pPr>
              <w:pStyle w:val="TAC"/>
              <w:spacing w:before="20" w:after="20"/>
              <w:ind w:left="57" w:right="57"/>
              <w:jc w:val="left"/>
              <w:rPr>
                <w:lang w:eastAsia="zh-CN"/>
              </w:rPr>
            </w:pPr>
          </w:p>
          <w:p w14:paraId="26B0A7BA" w14:textId="77777777" w:rsidR="00BA6FF3" w:rsidRDefault="00BA6FF3" w:rsidP="004D6B95">
            <w:pPr>
              <w:pStyle w:val="TAC"/>
              <w:spacing w:before="20" w:after="20"/>
              <w:ind w:left="57" w:right="57"/>
              <w:jc w:val="left"/>
              <w:rPr>
                <w:lang w:eastAsia="zh-CN"/>
              </w:rPr>
            </w:pPr>
            <w:r>
              <w:rPr>
                <w:rFonts w:hint="eastAsia"/>
                <w:lang w:eastAsia="zh-CN"/>
              </w:rPr>
              <w:t>[</w:t>
            </w:r>
            <w:r>
              <w:rPr>
                <w:lang w:eastAsia="zh-CN"/>
              </w:rPr>
              <w:t>OPPO] to further clarify, i.e., our doubt on interpretation-1 comes from the same root-reason as commented by Ericsson below, i.e., a BC with lower BWC does not necessarily support less BW combination than the BC with higher BWC.</w:t>
            </w:r>
          </w:p>
          <w:p w14:paraId="5D10C3CD" w14:textId="77777777" w:rsidR="00BA6FF3" w:rsidRDefault="00BA6FF3" w:rsidP="004D6B95">
            <w:pPr>
              <w:pStyle w:val="TAC"/>
              <w:spacing w:before="20" w:after="20"/>
              <w:ind w:left="57" w:right="57"/>
              <w:jc w:val="left"/>
              <w:rPr>
                <w:lang w:eastAsia="zh-CN"/>
              </w:rPr>
            </w:pPr>
            <w:r>
              <w:rPr>
                <w:lang w:eastAsia="zh-CN"/>
              </w:rPr>
              <w:t>So if one goes for interpretation-1, the question is why not simply use two BC entries to do that as in legacy (especially considering the case when the BC with lower BWC may have more BW combination than the BC with higher BWC, so it is not a fallback case of the latter.</w:t>
            </w:r>
          </w:p>
          <w:p w14:paraId="67953AFE" w14:textId="4942467B" w:rsidR="00BA6FF3" w:rsidRDefault="00BA6FF3" w:rsidP="004D6B95">
            <w:pPr>
              <w:pStyle w:val="TAC"/>
              <w:spacing w:before="20" w:after="20"/>
              <w:ind w:left="57" w:right="57"/>
              <w:jc w:val="left"/>
              <w:rPr>
                <w:lang w:eastAsia="zh-CN"/>
              </w:rPr>
            </w:pPr>
            <w:r>
              <w:rPr>
                <w:rFonts w:hint="eastAsia"/>
                <w:lang w:eastAsia="zh-CN"/>
              </w:rPr>
              <w:t>B</w:t>
            </w:r>
            <w:r>
              <w:rPr>
                <w:lang w:eastAsia="zh-CN"/>
              </w:rPr>
              <w:t>esides, we understand the two-BWC report has nothing to do with the “</w:t>
            </w:r>
            <w:r>
              <w:rPr>
                <w:rFonts w:hint="eastAsia"/>
                <w:b/>
                <w:bCs/>
              </w:rPr>
              <w:t>dual bandwidth class</w:t>
            </w:r>
            <w:r>
              <w:rPr>
                <w:lang w:eastAsia="zh-CN"/>
              </w:rPr>
              <w:t>” issue being discussed in R4, which focuses on cross-FBG case, yet here we are talking about two BWC in the same FBG.</w:t>
            </w:r>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421550" w14:paraId="18333BA0"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87AF0" w14:textId="77777777" w:rsidR="00421550" w:rsidRDefault="0042155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211C35" w14:textId="77777777" w:rsidR="00421550" w:rsidRDefault="00421550" w:rsidP="00415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400FB" w14:textId="77777777" w:rsidR="00421550" w:rsidRDefault="00421550" w:rsidP="0041575C">
            <w:pPr>
              <w:pStyle w:val="TAC"/>
              <w:spacing w:before="20" w:after="20"/>
              <w:ind w:left="57" w:right="57"/>
              <w:jc w:val="left"/>
              <w:rPr>
                <w:lang w:eastAsia="zh-CN"/>
              </w:rPr>
            </w:pPr>
            <w:r>
              <w:rPr>
                <w:lang w:eastAsia="zh-CN"/>
              </w:rPr>
              <w:t xml:space="preserve">First of all, we believe that RAN2 should </w:t>
            </w:r>
            <w:r w:rsidRPr="005D26B3">
              <w:rPr>
                <w:b/>
                <w:bCs/>
                <w:lang w:eastAsia="zh-CN"/>
              </w:rPr>
              <w:t>postpone</w:t>
            </w:r>
            <w:r>
              <w:rPr>
                <w:lang w:eastAsia="zh-CN"/>
              </w:rPr>
              <w:t xml:space="preserve"> the introduction of the new BWC values/fields until RAN4 has settled their still ongoing discussion (beyond R, S, T, U). Otherwise, we might need yet another extension one quarter later. </w:t>
            </w:r>
          </w:p>
          <w:p w14:paraId="34E69452" w14:textId="77777777" w:rsidR="00421550" w:rsidRDefault="00421550" w:rsidP="0041575C">
            <w:pPr>
              <w:pStyle w:val="TAC"/>
              <w:spacing w:before="20" w:after="20"/>
              <w:ind w:left="57" w:right="57"/>
              <w:jc w:val="left"/>
              <w:rPr>
                <w:lang w:eastAsia="zh-CN"/>
              </w:rPr>
            </w:pPr>
          </w:p>
          <w:p w14:paraId="0CD4E070" w14:textId="77777777" w:rsidR="00421550" w:rsidRDefault="00421550" w:rsidP="0041575C">
            <w:pPr>
              <w:pStyle w:val="TAC"/>
              <w:spacing w:before="20" w:after="20"/>
              <w:ind w:left="57" w:right="57"/>
              <w:jc w:val="left"/>
              <w:rPr>
                <w:lang w:eastAsia="zh-CN"/>
              </w:rPr>
            </w:pPr>
            <w:r>
              <w:rPr>
                <w:lang w:eastAsia="zh-CN"/>
              </w:rPr>
              <w:t xml:space="preserve">As said earlier, it is </w:t>
            </w:r>
            <w:r w:rsidRPr="005D26B3">
              <w:rPr>
                <w:b/>
                <w:bCs/>
                <w:lang w:eastAsia="zh-CN"/>
              </w:rPr>
              <w:t>not necessary to introduce a second BWC field</w:t>
            </w:r>
            <w:r>
              <w:rPr>
                <w:lang w:eastAsia="zh-CN"/>
              </w:rPr>
              <w:t xml:space="preserve"> since RAN4’s early Rel-15 decision to define BCs and BCSs in table format anyway requires frequent updates of the corresponding gNB code. </w:t>
            </w:r>
            <w:r>
              <w:rPr>
                <w:lang w:eastAsia="zh-CN"/>
              </w:rPr>
              <w:br/>
              <w:t xml:space="preserve">Furthermore, if the gNB cannot comprehended a new BWC value this will not lead to a reconfiguration failure of the UE. The only consequence is that the gNB cannot configure CA based on the given BC. The same is true since Rel-15 for any new BC/BCS that RAN4 introduces in their tables and for which the gNB hasn’t been upgraded yet. And like for such unknown BC/BCS entries, the gNB may still use a BC with non-comprehended BWC values to configure the UE according to the BC’s single-carrier fallback combinations. </w:t>
            </w:r>
          </w:p>
          <w:p w14:paraId="5DB2E993" w14:textId="77777777" w:rsidR="00421550" w:rsidRDefault="00421550" w:rsidP="0041575C">
            <w:pPr>
              <w:pStyle w:val="TAC"/>
              <w:spacing w:before="20" w:after="20"/>
              <w:ind w:left="57" w:right="57"/>
              <w:jc w:val="left"/>
              <w:rPr>
                <w:lang w:eastAsia="zh-CN"/>
              </w:rPr>
            </w:pPr>
          </w:p>
          <w:p w14:paraId="33B791C8" w14:textId="77777777" w:rsidR="00421550" w:rsidRDefault="00421550" w:rsidP="0041575C">
            <w:pPr>
              <w:pStyle w:val="TAC"/>
              <w:spacing w:before="20" w:after="20"/>
              <w:ind w:left="57" w:right="57"/>
              <w:jc w:val="left"/>
              <w:rPr>
                <w:lang w:eastAsia="zh-CN"/>
              </w:rPr>
            </w:pPr>
            <w:r>
              <w:rPr>
                <w:lang w:eastAsia="zh-CN"/>
              </w:rPr>
              <w:t xml:space="preserve">Secondly, the addition of a second BWC field can have far reaching consequences for UE and for NW: As RAN2 observed earlier, RAN4 did not specify the BCSs of </w:t>
            </w:r>
            <w:r>
              <w:rPr>
                <w:lang w:eastAsia="zh-CN"/>
              </w:rPr>
              <w:lastRenderedPageBreak/>
              <w:t>parent BCs and their fallback BCs consistently. Sometimes the parent BC supports more carrier bandwidths than its fallback BCs... and sometimes it is the other way around. If this happens in RAN4 for a parent BC that uses a new BWC value (sent in a new BWC field) and a fallback BC that uses the legacy BWC value (sent in the legacy BWC field), the UE must ensure that it supports the union of the carrier bandwidths enabled by the parent BC and the fallback BCs (of course only when configured with a number of carriers that is supported by the fallback BC). The reason is that an upgraded network may pick carrier bandwidths which are allowed according to the parent BC whereas (at least) a legacy network may choose carrier bandwidths allowed according to the fallback BC.</w:t>
            </w:r>
          </w:p>
          <w:p w14:paraId="24607648" w14:textId="77777777" w:rsidR="00421550" w:rsidRDefault="00421550" w:rsidP="0041575C">
            <w:pPr>
              <w:pStyle w:val="TAC"/>
              <w:spacing w:before="20" w:after="20"/>
              <w:ind w:left="57" w:right="57"/>
              <w:jc w:val="left"/>
              <w:rPr>
                <w:lang w:eastAsia="zh-CN"/>
              </w:rPr>
            </w:pPr>
            <w:r>
              <w:rPr>
                <w:lang w:eastAsia="zh-CN"/>
              </w:rPr>
              <w:t xml:space="preserve">While this is somewhat difficult to keep track of in a UE, it can become very challenging for a network: If an upgraded gNB obtains a BC that contains both BWC fields in a BandParameter, it would in principle have to validate the intended UE configuration against both BCS-rows in the RAN4 tables. And while this might be OK’ish in a BC with a single such BandParameter, the search space grows considerably when there are multiple such BandParameters. </w:t>
            </w:r>
          </w:p>
          <w:p w14:paraId="23A66CB8" w14:textId="77777777" w:rsidR="00421550" w:rsidRDefault="00421550" w:rsidP="0041575C">
            <w:pPr>
              <w:pStyle w:val="TAC"/>
              <w:spacing w:before="20" w:after="20"/>
              <w:ind w:left="57" w:right="57"/>
              <w:jc w:val="left"/>
              <w:rPr>
                <w:lang w:eastAsia="zh-CN"/>
              </w:rPr>
            </w:pPr>
            <w:r>
              <w:rPr>
                <w:lang w:eastAsia="zh-CN"/>
              </w:rPr>
              <w:t>For example, if a UE offers something like CA_n258F/R-n261F/U (where F:s are in the legacy field and R and U are in the new BWC fields), the UE actually promises to support...</w:t>
            </w:r>
          </w:p>
          <w:p w14:paraId="42A58A0A" w14:textId="77777777" w:rsidR="00421550" w:rsidRDefault="00421550" w:rsidP="0041575C">
            <w:pPr>
              <w:pStyle w:val="TAC"/>
              <w:spacing w:before="20" w:after="20"/>
              <w:ind w:left="57" w:right="57"/>
              <w:jc w:val="left"/>
              <w:rPr>
                <w:lang w:eastAsia="zh-CN"/>
              </w:rPr>
            </w:pPr>
            <w:r>
              <w:rPr>
                <w:lang w:eastAsia="zh-CN"/>
              </w:rPr>
              <w:t>CA_n258F-n261F</w:t>
            </w:r>
          </w:p>
          <w:p w14:paraId="63AD6823" w14:textId="77777777" w:rsidR="00421550" w:rsidRDefault="00421550" w:rsidP="0041575C">
            <w:pPr>
              <w:pStyle w:val="TAC"/>
              <w:spacing w:before="20" w:after="20"/>
              <w:ind w:left="57" w:right="57"/>
              <w:jc w:val="left"/>
              <w:rPr>
                <w:lang w:eastAsia="zh-CN"/>
              </w:rPr>
            </w:pPr>
            <w:r>
              <w:rPr>
                <w:lang w:eastAsia="zh-CN"/>
              </w:rPr>
              <w:t>CA_n258F-n261U</w:t>
            </w:r>
          </w:p>
          <w:p w14:paraId="0E810400" w14:textId="77777777" w:rsidR="00421550" w:rsidRDefault="00421550" w:rsidP="0041575C">
            <w:pPr>
              <w:pStyle w:val="TAC"/>
              <w:spacing w:before="20" w:after="20"/>
              <w:ind w:left="57" w:right="57"/>
              <w:jc w:val="left"/>
              <w:rPr>
                <w:lang w:eastAsia="zh-CN"/>
              </w:rPr>
            </w:pPr>
            <w:r>
              <w:rPr>
                <w:lang w:eastAsia="zh-CN"/>
              </w:rPr>
              <w:t>CA_n258R-n261F</w:t>
            </w:r>
          </w:p>
          <w:p w14:paraId="06831C17" w14:textId="77777777" w:rsidR="00421550" w:rsidRDefault="00421550" w:rsidP="0041575C">
            <w:pPr>
              <w:pStyle w:val="TAC"/>
              <w:spacing w:before="20" w:after="20"/>
              <w:ind w:left="57" w:right="57"/>
              <w:jc w:val="left"/>
              <w:rPr>
                <w:lang w:eastAsia="zh-CN"/>
              </w:rPr>
            </w:pPr>
            <w:r>
              <w:rPr>
                <w:lang w:eastAsia="zh-CN"/>
              </w:rPr>
              <w:t>CA_n258R-n261U</w:t>
            </w:r>
          </w:p>
          <w:p w14:paraId="6ED958A6" w14:textId="77777777" w:rsidR="00421550" w:rsidRDefault="00421550" w:rsidP="0041575C">
            <w:pPr>
              <w:pStyle w:val="TAC"/>
              <w:spacing w:before="20" w:after="20"/>
              <w:ind w:left="57" w:right="57"/>
              <w:jc w:val="left"/>
              <w:rPr>
                <w:lang w:eastAsia="zh-CN"/>
              </w:rPr>
            </w:pPr>
            <w:r>
              <w:rPr>
                <w:lang w:eastAsia="zh-CN"/>
              </w:rPr>
              <w:t>... which could all be defined with non-consistent carrier bandwidths in the RAN4 specs. Hence, a network that comprehends all BCs/BCSs could be expected to check configuration against all those BCs.</w:t>
            </w:r>
          </w:p>
          <w:p w14:paraId="232ABE49" w14:textId="3BCF4540" w:rsidR="00421550" w:rsidRDefault="00421550" w:rsidP="0041575C">
            <w:pPr>
              <w:pStyle w:val="TAC"/>
              <w:spacing w:before="20" w:after="20"/>
              <w:ind w:left="57" w:right="57"/>
              <w:jc w:val="left"/>
              <w:rPr>
                <w:lang w:eastAsia="zh-CN"/>
              </w:rPr>
            </w:pPr>
            <w:r>
              <w:rPr>
                <w:lang w:eastAsia="zh-CN"/>
              </w:rPr>
              <w:t xml:space="preserve">And if RAN2 intends to make it a general principle that new BWC values are always added as an additional field in the BandParameters, one may soon end up with BCs like CA_n1D/Q-n258F/R-n261F/U/X ... which unfolds into 12 BCs... which may or may not be defined consistently. But to cater for potentially occurring inconsistencies in the RAN4 tables, a network </w:t>
            </w:r>
            <w:r w:rsidR="00774BE4">
              <w:rPr>
                <w:lang w:eastAsia="zh-CN"/>
              </w:rPr>
              <w:t>may</w:t>
            </w:r>
            <w:r>
              <w:rPr>
                <w:lang w:eastAsia="zh-CN"/>
              </w:rPr>
              <w:t xml:space="preserve"> be expected to do a substantial amount of additional processing. </w:t>
            </w:r>
          </w:p>
          <w:p w14:paraId="39D2B23D" w14:textId="77777777" w:rsidR="00421550" w:rsidRDefault="00421550" w:rsidP="0041575C">
            <w:pPr>
              <w:pStyle w:val="TAC"/>
              <w:spacing w:before="20" w:after="20"/>
              <w:ind w:left="57" w:right="57"/>
              <w:jc w:val="left"/>
              <w:rPr>
                <w:lang w:eastAsia="zh-CN"/>
              </w:rPr>
            </w:pPr>
          </w:p>
          <w:p w14:paraId="630C9F15" w14:textId="77777777" w:rsidR="00421550" w:rsidRDefault="00421550" w:rsidP="0041575C">
            <w:pPr>
              <w:pStyle w:val="TAC"/>
              <w:spacing w:before="20" w:after="20"/>
              <w:ind w:left="57" w:right="57"/>
              <w:jc w:val="left"/>
              <w:rPr>
                <w:lang w:eastAsia="zh-CN"/>
              </w:rPr>
            </w:pPr>
            <w:r>
              <w:rPr>
                <w:lang w:eastAsia="zh-CN"/>
              </w:rPr>
              <w:t>Hence</w:t>
            </w:r>
            <w:r w:rsidRPr="00741891">
              <w:rPr>
                <w:lang w:eastAsia="zh-CN"/>
              </w:rPr>
              <w:t xml:space="preserve">, we still </w:t>
            </w:r>
            <w:r w:rsidRPr="00741891">
              <w:rPr>
                <w:b/>
                <w:bCs/>
                <w:lang w:eastAsia="zh-CN"/>
              </w:rPr>
              <w:t>prefer to add the new BWC values to the extensible “ca-BandwidthClassDL-NR”</w:t>
            </w:r>
          </w:p>
          <w:p w14:paraId="763FC90F" w14:textId="77777777" w:rsidR="00421550" w:rsidRDefault="00421550" w:rsidP="0041575C">
            <w:pPr>
              <w:pStyle w:val="TAC"/>
              <w:spacing w:before="20" w:after="20"/>
              <w:ind w:left="57" w:right="57"/>
              <w:jc w:val="left"/>
              <w:rPr>
                <w:lang w:eastAsia="zh-CN"/>
              </w:rPr>
            </w:pPr>
          </w:p>
          <w:p w14:paraId="08113BE3" w14:textId="4EBF0C24" w:rsidR="00421550" w:rsidRDefault="00421550" w:rsidP="0041575C">
            <w:pPr>
              <w:pStyle w:val="TAC"/>
              <w:spacing w:before="20" w:after="20"/>
              <w:ind w:left="57" w:right="57"/>
              <w:jc w:val="left"/>
              <w:rPr>
                <w:lang w:eastAsia="zh-CN"/>
              </w:rPr>
            </w:pPr>
            <w:r>
              <w:rPr>
                <w:lang w:eastAsia="zh-CN"/>
              </w:rPr>
              <w:t xml:space="preserve">If RAN2 anyway prefers adding a second </w:t>
            </w:r>
            <w:r w:rsidRPr="00741891">
              <w:rPr>
                <w:lang w:eastAsia="zh-CN"/>
              </w:rPr>
              <w:t>BWC field in the BandParameter IE</w:t>
            </w:r>
            <w:r>
              <w:rPr>
                <w:lang w:eastAsia="zh-CN"/>
              </w:rPr>
              <w:t xml:space="preserve">, we could accept this in principle. But we cannot accept the additional parsing and processing effort that this could require to cater for potential bugs in the RAN4 tables. Therefore, we </w:t>
            </w:r>
            <w:r w:rsidRPr="00741891">
              <w:rPr>
                <w:b/>
                <w:bCs/>
                <w:lang w:eastAsia="zh-CN"/>
              </w:rPr>
              <w:t>require at least a statement in the field description of the BWC fields: “</w:t>
            </w:r>
            <w:r w:rsidRPr="00741891">
              <w:rPr>
                <w:b/>
                <w:bCs/>
                <w:i/>
                <w:iCs/>
                <w:lang w:eastAsia="zh-CN"/>
              </w:rPr>
              <w:t xml:space="preserve">If </w:t>
            </w:r>
            <w:r w:rsidRPr="00741891">
              <w:rPr>
                <w:b/>
                <w:bCs/>
                <w:i/>
                <w:iCs/>
              </w:rPr>
              <w:t>ca-BandwidthClassDL-NR-r17</w:t>
            </w:r>
            <w:r w:rsidRPr="00741891">
              <w:rPr>
                <w:b/>
                <w:bCs/>
                <w:i/>
                <w:iCs/>
                <w:lang w:eastAsia="zh-CN"/>
              </w:rPr>
              <w:t xml:space="preserve"> is present, </w:t>
            </w:r>
            <w:r>
              <w:rPr>
                <w:b/>
                <w:bCs/>
                <w:i/>
                <w:iCs/>
                <w:lang w:eastAsia="zh-CN"/>
              </w:rPr>
              <w:t>a</w:t>
            </w:r>
            <w:r w:rsidRPr="00741891">
              <w:rPr>
                <w:b/>
                <w:bCs/>
                <w:i/>
                <w:iCs/>
                <w:lang w:eastAsia="zh-CN"/>
              </w:rPr>
              <w:t xml:space="preserve"> network </w:t>
            </w:r>
            <w:r>
              <w:rPr>
                <w:b/>
                <w:bCs/>
                <w:i/>
                <w:iCs/>
                <w:lang w:eastAsia="zh-CN"/>
              </w:rPr>
              <w:t xml:space="preserve">comprehending this field </w:t>
            </w:r>
            <w:r w:rsidRPr="00741891">
              <w:rPr>
                <w:b/>
                <w:bCs/>
                <w:i/>
                <w:iCs/>
                <w:lang w:eastAsia="zh-CN"/>
              </w:rPr>
              <w:t xml:space="preserve">disregards </w:t>
            </w:r>
            <w:r>
              <w:rPr>
                <w:b/>
                <w:bCs/>
                <w:i/>
                <w:iCs/>
                <w:lang w:eastAsia="zh-CN"/>
              </w:rPr>
              <w:t xml:space="preserve">the </w:t>
            </w:r>
            <w:r w:rsidRPr="00741891">
              <w:rPr>
                <w:b/>
                <w:bCs/>
                <w:i/>
                <w:iCs/>
                <w:lang w:eastAsia="zh-CN"/>
              </w:rPr>
              <w:t>ca-BandwidthClassDL-NR</w:t>
            </w:r>
            <w:r w:rsidR="00774BE4">
              <w:rPr>
                <w:b/>
                <w:bCs/>
                <w:i/>
                <w:iCs/>
                <w:lang w:eastAsia="zh-CN"/>
              </w:rPr>
              <w:t xml:space="preserve"> (without suffix)</w:t>
            </w:r>
            <w:r w:rsidRPr="00741891">
              <w:rPr>
                <w:b/>
                <w:bCs/>
                <w:lang w:eastAsia="zh-CN"/>
              </w:rPr>
              <w:t>”</w:t>
            </w:r>
            <w:r>
              <w:rPr>
                <w:lang w:eastAsia="zh-CN"/>
              </w:rPr>
              <w:t xml:space="preserve">. </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540C4FB0" w:rsidR="006F33DD" w:rsidRDefault="009169E2">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CD9EA" w14:textId="395F37B5" w:rsidR="006F33DD" w:rsidRDefault="00386088">
            <w:pPr>
              <w:pStyle w:val="TAC"/>
              <w:spacing w:before="20" w:after="20"/>
              <w:ind w:left="57" w:right="57"/>
              <w:jc w:val="left"/>
              <w:rPr>
                <w:lang w:eastAsia="zh-CN"/>
              </w:rPr>
            </w:pPr>
            <w:r>
              <w:rPr>
                <w:lang w:eastAsia="zh-CN"/>
              </w:rPr>
              <w:t>According to</w:t>
            </w:r>
            <w:r w:rsidR="00E76F02">
              <w:rPr>
                <w:lang w:eastAsia="zh-CN"/>
              </w:rPr>
              <w:t xml:space="preserve"> the comments from Qualcomm, OPPO and </w:t>
            </w:r>
            <w:r w:rsidR="009169E2">
              <w:rPr>
                <w:lang w:eastAsia="zh-CN"/>
              </w:rPr>
              <w:t xml:space="preserve">Ericsson, we share our </w:t>
            </w:r>
            <w:r>
              <w:rPr>
                <w:lang w:eastAsia="zh-CN"/>
              </w:rPr>
              <w:t>further analysis at this version.</w:t>
            </w:r>
          </w:p>
          <w:p w14:paraId="14E8E503" w14:textId="77777777" w:rsidR="00E76F02" w:rsidRDefault="00E76F02">
            <w:pPr>
              <w:pStyle w:val="TAC"/>
              <w:spacing w:before="20" w:after="20"/>
              <w:ind w:left="57" w:right="57"/>
              <w:jc w:val="left"/>
              <w:rPr>
                <w:lang w:eastAsia="zh-CN"/>
              </w:rPr>
            </w:pPr>
          </w:p>
          <w:p w14:paraId="1B3A932D" w14:textId="78AC6DDD" w:rsidR="00E76F02" w:rsidRDefault="00E76F02">
            <w:pPr>
              <w:pStyle w:val="TAC"/>
              <w:spacing w:before="20" w:after="20"/>
              <w:ind w:left="57" w:right="57"/>
              <w:jc w:val="left"/>
              <w:rPr>
                <w:lang w:eastAsia="zh-CN"/>
              </w:rPr>
            </w:pPr>
            <w:r>
              <w:rPr>
                <w:rFonts w:hint="eastAsia"/>
                <w:lang w:eastAsia="zh-CN"/>
              </w:rPr>
              <w:t>W</w:t>
            </w:r>
            <w:r>
              <w:rPr>
                <w:lang w:eastAsia="zh-CN"/>
              </w:rPr>
              <w:t xml:space="preserve">e agree with Qualcomm that for a band with the legacy and the new BWCs reported at the same time, the UE shall include the </w:t>
            </w:r>
            <w:r w:rsidRPr="00E76F02">
              <w:rPr>
                <w:lang w:eastAsia="zh-CN"/>
              </w:rPr>
              <w:t>FeatureSetDownlinkPerCC</w:t>
            </w:r>
            <w:r>
              <w:rPr>
                <w:lang w:eastAsia="zh-CN"/>
              </w:rPr>
              <w:t xml:space="preserve">s according to the new BWC. As analysed in our paper R2-2203024, </w:t>
            </w:r>
            <w:r>
              <w:rPr>
                <w:rFonts w:eastAsiaTheme="minorEastAsia"/>
                <w:lang w:eastAsia="zh-CN"/>
              </w:rPr>
              <w:t>in this case, a legacy gNB can use any supported number of CCs indicated for the band according to its own capability, this is already allowed in the current specification. For example, for a BWC-R band with 5 CCs which indicated as BWC-F in the legacy field at the same time, a legacy gNB supporting only 4 CCs can use any 4 out of the 5CCs reported by UE.</w:t>
            </w:r>
          </w:p>
          <w:p w14:paraId="45A66341" w14:textId="77777777" w:rsidR="00E76F02" w:rsidRDefault="00E76F02">
            <w:pPr>
              <w:pStyle w:val="TAC"/>
              <w:spacing w:before="20" w:after="20"/>
              <w:ind w:left="57" w:right="57"/>
              <w:jc w:val="left"/>
              <w:rPr>
                <w:lang w:eastAsia="zh-CN"/>
              </w:rPr>
            </w:pPr>
          </w:p>
          <w:p w14:paraId="6845A670" w14:textId="1B090D3E" w:rsidR="00E76F02" w:rsidRDefault="00E76F02" w:rsidP="00386088">
            <w:pPr>
              <w:pStyle w:val="TAC"/>
              <w:spacing w:before="20" w:after="20"/>
              <w:ind w:left="57" w:right="57"/>
              <w:jc w:val="left"/>
              <w:rPr>
                <w:lang w:eastAsia="zh-CN"/>
              </w:rPr>
            </w:pPr>
            <w:r>
              <w:rPr>
                <w:lang w:eastAsia="zh-CN"/>
              </w:rPr>
              <w:t>F</w:t>
            </w:r>
            <w:r w:rsidR="00386088">
              <w:rPr>
                <w:lang w:eastAsia="zh-CN"/>
              </w:rPr>
              <w:t xml:space="preserve">or the two interpretations raised by OPPO, we understand the interpretation1 is correct (i.e. </w:t>
            </w:r>
            <w:r w:rsidR="00386088" w:rsidRPr="00386088">
              <w:rPr>
                <w:lang w:eastAsia="zh-CN"/>
              </w:rPr>
              <w:t>If UE support</w:t>
            </w:r>
            <w:r w:rsidR="00386088">
              <w:rPr>
                <w:lang w:eastAsia="zh-CN"/>
              </w:rPr>
              <w:t>s</w:t>
            </w:r>
            <w:r w:rsidR="00386088" w:rsidRPr="00386088">
              <w:rPr>
                <w:lang w:eastAsia="zh-CN"/>
              </w:rPr>
              <w:t xml:space="preserve"> a BC of band x and band y, e.g., xU-yU, the UE must support the BC of xF-yF</w:t>
            </w:r>
            <w:r w:rsidR="00386088">
              <w:rPr>
                <w:lang w:eastAsia="zh-CN"/>
              </w:rPr>
              <w:t>). When we talk about the BWC</w:t>
            </w:r>
            <w:r>
              <w:rPr>
                <w:lang w:eastAsia="zh-CN"/>
              </w:rPr>
              <w:t>s</w:t>
            </w:r>
            <w:r w:rsidR="00386088">
              <w:rPr>
                <w:lang w:eastAsia="zh-CN"/>
              </w:rPr>
              <w:t xml:space="preserve"> in the same fallback group, we consider </w:t>
            </w:r>
            <w:r>
              <w:rPr>
                <w:lang w:eastAsia="zh-CN"/>
              </w:rPr>
              <w:t xml:space="preserve">the </w:t>
            </w:r>
            <w:r w:rsidRPr="00BB5113">
              <w:rPr>
                <w:highlight w:val="green"/>
                <w:lang w:eastAsia="zh-CN"/>
              </w:rPr>
              <w:t>BC with lower order BWC shall be a fallback of the BC with higher order BWC</w:t>
            </w:r>
            <w:r>
              <w:rPr>
                <w:lang w:eastAsia="zh-CN"/>
              </w:rPr>
              <w:t>, and that is reflected in the 38.101 as below. We think the principle is a common understanding both in RAN2 and in RAN4.</w:t>
            </w:r>
          </w:p>
          <w:p w14:paraId="1CD034DA" w14:textId="77777777" w:rsidR="00E76F02" w:rsidRDefault="00E76F02" w:rsidP="00386088">
            <w:pPr>
              <w:pStyle w:val="TAC"/>
              <w:spacing w:before="20" w:after="20"/>
              <w:ind w:left="57" w:right="57"/>
              <w:jc w:val="left"/>
              <w:rPr>
                <w:lang w:eastAsia="zh-CN"/>
              </w:rPr>
            </w:pPr>
          </w:p>
          <w:p w14:paraId="2DCF88CB" w14:textId="77777777" w:rsidR="00E76F02" w:rsidRPr="00E76F02" w:rsidRDefault="00E76F02" w:rsidP="00E76F02">
            <w:pPr>
              <w:keepNext/>
              <w:keepLines/>
              <w:spacing w:after="0" w:line="240" w:lineRule="auto"/>
              <w:ind w:left="851" w:hanging="851"/>
              <w:jc w:val="left"/>
              <w:rPr>
                <w:rFonts w:ascii="Arial" w:eastAsia="等线" w:hAnsi="Arial"/>
                <w:sz w:val="18"/>
              </w:rPr>
            </w:pPr>
            <w:r w:rsidRPr="00E76F02">
              <w:rPr>
                <w:rFonts w:ascii="Arial" w:eastAsia="等线" w:hAnsi="Arial"/>
                <w:sz w:val="18"/>
              </w:rPr>
              <w:t>NOTE 2:</w:t>
            </w:r>
            <w:r w:rsidRPr="00E76F02">
              <w:rPr>
                <w:rFonts w:ascii="Arial" w:eastAsia="等线" w:hAnsi="Arial"/>
                <w:sz w:val="18"/>
              </w:rPr>
              <w:tab/>
            </w:r>
            <w:r w:rsidRPr="00E76F02">
              <w:rPr>
                <w:rFonts w:ascii="Arial" w:eastAsia="等线" w:hAnsi="Arial"/>
                <w:sz w:val="18"/>
                <w:highlight w:val="yellow"/>
              </w:rPr>
              <w:t xml:space="preserve">It is mandatory for a UE to be able to fallback to lower order NR CA </w:t>
            </w:r>
            <w:r w:rsidRPr="00E76F02">
              <w:rPr>
                <w:rFonts w:ascii="Arial" w:eastAsia="等线" w:hAnsi="Arial"/>
                <w:sz w:val="18"/>
                <w:highlight w:val="yellow"/>
              </w:rPr>
              <w:lastRenderedPageBreak/>
              <w:t>bandwidth class configuration within a fallback group.</w:t>
            </w:r>
            <w:r w:rsidRPr="00E76F02">
              <w:rPr>
                <w:rFonts w:ascii="Arial" w:eastAsia="等线" w:hAnsi="Arial"/>
                <w:sz w:val="18"/>
              </w:rPr>
              <w:t xml:space="preserve"> It is not mandatory for a UE to be able to fallback to lower order NR CA bandwidth class configuration that belong to a different fallback group.</w:t>
            </w:r>
          </w:p>
          <w:p w14:paraId="5366762B" w14:textId="77777777" w:rsidR="00386088" w:rsidRDefault="00386088" w:rsidP="00386088">
            <w:pPr>
              <w:pStyle w:val="TAC"/>
              <w:spacing w:before="20" w:after="20"/>
              <w:ind w:left="57" w:right="57"/>
              <w:jc w:val="left"/>
              <w:rPr>
                <w:lang w:eastAsia="zh-CN"/>
              </w:rPr>
            </w:pPr>
          </w:p>
          <w:p w14:paraId="466DF81E" w14:textId="77777777" w:rsidR="00E76F02" w:rsidRDefault="00E76F02" w:rsidP="00E76F02">
            <w:pPr>
              <w:pStyle w:val="TAC"/>
              <w:spacing w:before="20" w:after="20"/>
              <w:ind w:left="57" w:right="57"/>
              <w:jc w:val="left"/>
              <w:rPr>
                <w:lang w:eastAsia="zh-CN"/>
              </w:rPr>
            </w:pPr>
            <w:r>
              <w:rPr>
                <w:lang w:eastAsia="zh-CN"/>
              </w:rPr>
              <w:t xml:space="preserve">We want to clarify again that the original intention to introduce new FR2 BWCs in separate signalling is to avoid inter-operability issue with legacy network. Considering the two BWCs are reported for the same band, the legacy field </w:t>
            </w:r>
            <w:r w:rsidR="0035236C">
              <w:rPr>
                <w:lang w:eastAsia="zh-CN"/>
              </w:rPr>
              <w:t>is only used by a</w:t>
            </w:r>
            <w:r>
              <w:rPr>
                <w:lang w:eastAsia="zh-CN"/>
              </w:rPr>
              <w:t xml:space="preserve"> legacy network. An updated network shall understand </w:t>
            </w:r>
            <w:r w:rsidR="0035236C">
              <w:rPr>
                <w:lang w:eastAsia="zh-CN"/>
              </w:rPr>
              <w:t>the new BWC</w:t>
            </w:r>
            <w:r>
              <w:rPr>
                <w:lang w:eastAsia="zh-CN"/>
              </w:rPr>
              <w:t xml:space="preserve"> for the band, and disregard t</w:t>
            </w:r>
            <w:r w:rsidR="0035236C">
              <w:rPr>
                <w:lang w:eastAsia="zh-CN"/>
              </w:rPr>
              <w:t>he legacy one</w:t>
            </w:r>
            <w:r>
              <w:rPr>
                <w:lang w:eastAsia="zh-CN"/>
              </w:rPr>
              <w:t>. In our view, the proposal by Ericsson is just aligned with the original intention</w:t>
            </w:r>
            <w:r w:rsidR="0035236C">
              <w:rPr>
                <w:lang w:eastAsia="zh-CN"/>
              </w:rPr>
              <w:t xml:space="preserve"> of this solution</w:t>
            </w:r>
            <w:r>
              <w:rPr>
                <w:lang w:eastAsia="zh-CN"/>
              </w:rPr>
              <w:t>.</w:t>
            </w:r>
            <w:r w:rsidR="0035236C">
              <w:rPr>
                <w:rFonts w:hint="eastAsia"/>
                <w:lang w:eastAsia="zh-CN"/>
              </w:rPr>
              <w:t xml:space="preserve"> </w:t>
            </w:r>
            <w:r w:rsidR="0035236C">
              <w:rPr>
                <w:lang w:eastAsia="zh-CN"/>
              </w:rPr>
              <w:t>We are fine to add such clarification if that is majority view.</w:t>
            </w:r>
          </w:p>
          <w:p w14:paraId="073AFCBE" w14:textId="77777777" w:rsidR="00BB5113" w:rsidRDefault="00BB5113" w:rsidP="00E76F02">
            <w:pPr>
              <w:pStyle w:val="TAC"/>
              <w:spacing w:before="20" w:after="20"/>
              <w:ind w:left="57" w:right="57"/>
              <w:jc w:val="left"/>
              <w:rPr>
                <w:lang w:eastAsia="zh-CN"/>
              </w:rPr>
            </w:pPr>
          </w:p>
          <w:p w14:paraId="4C186C83" w14:textId="51C66522" w:rsidR="00BB5113" w:rsidRDefault="00BB5113" w:rsidP="00E76F02">
            <w:pPr>
              <w:pStyle w:val="TAC"/>
              <w:spacing w:before="20" w:after="20"/>
              <w:ind w:left="57" w:right="57"/>
              <w:jc w:val="left"/>
              <w:rPr>
                <w:lang w:eastAsia="zh-CN"/>
              </w:rPr>
            </w:pPr>
            <w:r>
              <w:rPr>
                <w:rFonts w:hint="eastAsia"/>
                <w:lang w:eastAsia="zh-CN"/>
              </w:rPr>
              <w:t>[</w:t>
            </w:r>
            <w:r>
              <w:rPr>
                <w:lang w:eastAsia="zh-CN"/>
              </w:rPr>
              <w:t xml:space="preserve">OPPO] I think the </w:t>
            </w:r>
            <w:r w:rsidRPr="00BB5113">
              <w:rPr>
                <w:highlight w:val="green"/>
                <w:lang w:eastAsia="zh-CN"/>
              </w:rPr>
              <w:t>above</w:t>
            </w:r>
            <w:r>
              <w:rPr>
                <w:lang w:eastAsia="zh-CN"/>
              </w:rPr>
              <w:t xml:space="preserve"> is the gap. Just to clarify my understanding </w:t>
            </w:r>
          </w:p>
          <w:p w14:paraId="40C301B7" w14:textId="64954A6A" w:rsidR="00BB5113" w:rsidRDefault="00BB5113" w:rsidP="00BB5113">
            <w:pPr>
              <w:pStyle w:val="TAC"/>
              <w:spacing w:before="20" w:after="20"/>
              <w:ind w:left="57" w:right="57"/>
              <w:jc w:val="left"/>
              <w:rPr>
                <w:lang w:eastAsia="zh-CN"/>
              </w:rPr>
            </w:pPr>
            <w:r>
              <w:rPr>
                <w:lang w:eastAsia="zh-CN"/>
              </w:rPr>
              <w:t>For BC-1 of CA_nxR-nyU and BC-2 of CA_nxF-nyF</w:t>
            </w:r>
            <w:r>
              <w:rPr>
                <w:rFonts w:hint="eastAsia"/>
                <w:lang w:eastAsia="zh-CN"/>
              </w:rPr>
              <w:t>,</w:t>
            </w:r>
            <w:r>
              <w:rPr>
                <w:lang w:eastAsia="zh-CN"/>
              </w:rPr>
              <w:t xml:space="preserve"> </w:t>
            </w:r>
          </w:p>
          <w:p w14:paraId="16EDAFD2" w14:textId="676DA7A5" w:rsidR="00BB5113" w:rsidRDefault="00BB5113" w:rsidP="00BB5113">
            <w:pPr>
              <w:pStyle w:val="TAC"/>
              <w:spacing w:before="20" w:after="20"/>
              <w:ind w:left="57" w:right="57"/>
              <w:jc w:val="left"/>
              <w:rPr>
                <w:lang w:eastAsia="zh-CN"/>
              </w:rPr>
            </w:pPr>
            <w:r>
              <w:rPr>
                <w:rFonts w:hint="eastAsia"/>
                <w:lang w:eastAsia="zh-CN"/>
              </w:rPr>
              <w:t>O</w:t>
            </w:r>
            <w:r>
              <w:rPr>
                <w:lang w:eastAsia="zh-CN"/>
              </w:rPr>
              <w:t>PPO understanding: the BW combination of BC-2 is not always a fallback case of BW combination of BC-1</w:t>
            </w:r>
          </w:p>
          <w:p w14:paraId="7C1EB9A6" w14:textId="165B7520" w:rsidR="00BB5113" w:rsidRDefault="00BB5113" w:rsidP="00BB5113">
            <w:pPr>
              <w:pStyle w:val="TAC"/>
              <w:spacing w:before="20" w:after="20"/>
              <w:ind w:left="57" w:right="57"/>
              <w:jc w:val="left"/>
              <w:rPr>
                <w:lang w:eastAsia="zh-CN"/>
              </w:rPr>
            </w:pPr>
            <w:r>
              <w:rPr>
                <w:lang w:eastAsia="zh-CN"/>
              </w:rPr>
              <w:t>Huawei understanding: the BW combination of BC-2 is always a fallback case of BW combination of BC-1</w:t>
            </w:r>
          </w:p>
          <w:p w14:paraId="0C643A56" w14:textId="4451C042" w:rsidR="00BB5113" w:rsidRDefault="00BB5113" w:rsidP="00BB5113">
            <w:pPr>
              <w:pStyle w:val="TAC"/>
              <w:spacing w:before="20" w:after="20"/>
              <w:ind w:left="57" w:right="57"/>
              <w:jc w:val="left"/>
              <w:rPr>
                <w:lang w:eastAsia="zh-CN"/>
              </w:rPr>
            </w:pPr>
            <w:r>
              <w:rPr>
                <w:rFonts w:hint="eastAsia"/>
                <w:lang w:eastAsia="zh-CN"/>
              </w:rPr>
              <w:t>W</w:t>
            </w:r>
            <w:r>
              <w:rPr>
                <w:lang w:eastAsia="zh-CN"/>
              </w:rPr>
              <w:t>e expect R2 to give an clear statement here before concluding on this issue, because</w:t>
            </w:r>
          </w:p>
          <w:p w14:paraId="3BCF8A77" w14:textId="6036C0EE" w:rsidR="00BB5113" w:rsidRDefault="00BB5113" w:rsidP="00BB5113">
            <w:pPr>
              <w:pStyle w:val="TAC"/>
              <w:numPr>
                <w:ilvl w:val="0"/>
                <w:numId w:val="7"/>
              </w:numPr>
              <w:spacing w:before="20" w:after="20"/>
              <w:ind w:right="57"/>
              <w:jc w:val="left"/>
              <w:rPr>
                <w:lang w:eastAsia="zh-CN"/>
              </w:rPr>
            </w:pPr>
            <w:r>
              <w:rPr>
                <w:lang w:eastAsia="zh-CN"/>
              </w:rPr>
              <w:t>We are not sure if it is the common understanding as said by Huawei by reading Ericsson comment that “As RAN2 observed earlier, RAN4 did not specify the BCSs of parent BCs and their fallback BCs consistently. Sometimes the parent BC supports more carrier bandwidths than its fallback BCs... and sometimes it is the other way around.”</w:t>
            </w:r>
          </w:p>
          <w:p w14:paraId="2F944739" w14:textId="505BBB3B" w:rsidR="00BB5113" w:rsidRDefault="00BB5113" w:rsidP="00BB5113">
            <w:pPr>
              <w:pStyle w:val="TAC"/>
              <w:numPr>
                <w:ilvl w:val="0"/>
                <w:numId w:val="7"/>
              </w:numPr>
              <w:spacing w:before="20" w:after="20"/>
              <w:ind w:right="57"/>
              <w:jc w:val="left"/>
              <w:rPr>
                <w:lang w:eastAsia="zh-CN"/>
              </w:rPr>
            </w:pPr>
            <w:r>
              <w:rPr>
                <w:lang w:eastAsia="zh-CN"/>
              </w:rPr>
              <w:t>Our understanding of the FBG is that its fallback requirement is limited to single-CC case but not for CA case.</w:t>
            </w:r>
          </w:p>
          <w:p w14:paraId="34FA5599" w14:textId="77777777" w:rsidR="00BB5113" w:rsidRPr="00BB5113" w:rsidRDefault="00BB5113" w:rsidP="00BB5113">
            <w:pPr>
              <w:pStyle w:val="TAC"/>
              <w:spacing w:before="20" w:after="20"/>
              <w:ind w:left="57" w:right="57"/>
              <w:jc w:val="left"/>
              <w:rPr>
                <w:lang w:eastAsia="zh-CN"/>
              </w:rPr>
            </w:pPr>
          </w:p>
          <w:p w14:paraId="39C029DE" w14:textId="3148ACC2" w:rsidR="00BB5113" w:rsidRPr="00BB5113" w:rsidRDefault="00BB5113" w:rsidP="00BB5113">
            <w:pPr>
              <w:pStyle w:val="TAC"/>
              <w:spacing w:before="20" w:after="20"/>
              <w:ind w:left="57" w:right="57"/>
              <w:jc w:val="left"/>
              <w:rPr>
                <w:lang w:eastAsia="zh-CN"/>
              </w:rPr>
            </w:pPr>
          </w:p>
        </w:tc>
      </w:tr>
      <w:tr w:rsidR="00F415B7"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3E0E66B5" w:rsidR="00F415B7" w:rsidRDefault="00F415B7">
            <w:pPr>
              <w:pStyle w:val="TAC"/>
              <w:spacing w:before="20" w:after="20"/>
              <w:ind w:left="57" w:right="57"/>
              <w:jc w:val="left"/>
              <w:rPr>
                <w:lang w:eastAsia="zh-CN"/>
              </w:rPr>
            </w:pPr>
            <w:r>
              <w:rPr>
                <w:rFonts w:hint="eastAsia"/>
                <w:lang w:eastAsia="zh-CN"/>
              </w:rPr>
              <w:lastRenderedPageBreak/>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647A8E71" w14:textId="4986F0F7" w:rsidR="00F415B7" w:rsidRDefault="00F415B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B77358" w14:textId="58D70AF2" w:rsidR="00F415B7" w:rsidRDefault="00F415B7">
            <w:pPr>
              <w:pStyle w:val="TAC"/>
              <w:spacing w:before="20" w:after="20"/>
              <w:ind w:left="57" w:right="57"/>
              <w:jc w:val="left"/>
              <w:rPr>
                <w:lang w:eastAsia="zh-CN"/>
              </w:rPr>
            </w:pPr>
            <w:r>
              <w:rPr>
                <w:rFonts w:hint="eastAsia"/>
                <w:lang w:eastAsia="zh-CN"/>
              </w:rPr>
              <w:t>O</w:t>
            </w:r>
            <w:r>
              <w:rPr>
                <w:lang w:eastAsia="zh-CN"/>
              </w:rPr>
              <w:t>k with the general way.</w:t>
            </w: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EE5889A" w:rsidR="006F33DD" w:rsidRDefault="0072412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31BD6A" w14:textId="4D88AA15" w:rsidR="006F33DD" w:rsidRDefault="0072412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4703F3" w14:textId="77777777" w:rsidR="00C42FEB" w:rsidRDefault="00C42FEB">
            <w:pPr>
              <w:pStyle w:val="TAC"/>
              <w:spacing w:before="20" w:after="20"/>
              <w:ind w:left="57" w:right="57"/>
              <w:jc w:val="left"/>
              <w:rPr>
                <w:lang w:eastAsia="zh-CN"/>
              </w:rPr>
            </w:pPr>
            <w:r>
              <w:rPr>
                <w:lang w:eastAsia="zh-CN"/>
              </w:rPr>
              <w:t xml:space="preserve">We think this principle reflects the current status to ensure the backward compatibility for the legacy gNB. </w:t>
            </w:r>
          </w:p>
          <w:p w14:paraId="493C2E93" w14:textId="3235CAAC" w:rsidR="006F33DD" w:rsidRDefault="00C42FEB" w:rsidP="00C42FEB">
            <w:pPr>
              <w:pStyle w:val="TAC"/>
              <w:spacing w:before="20" w:after="20"/>
              <w:ind w:left="57" w:right="57"/>
              <w:jc w:val="left"/>
              <w:rPr>
                <w:lang w:eastAsia="zh-CN"/>
              </w:rPr>
            </w:pPr>
            <w:r>
              <w:rPr>
                <w:lang w:eastAsia="zh-CN"/>
              </w:rPr>
              <w:t>Regarding Ericsson’s comments on the on-going discussion for more new BWC in RAN4, we think that the backward compatibility issue for the legacy gNB is the same as BWC (</w:t>
            </w:r>
            <w:r>
              <w:rPr>
                <w:lang w:eastAsia="zh-CN"/>
              </w:rPr>
              <w:t>R, S, T, U</w:t>
            </w:r>
            <w:r>
              <w:rPr>
                <w:lang w:eastAsia="zh-CN"/>
              </w:rPr>
              <w:t>). The same principle should also be applied.</w:t>
            </w: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Question 2: From a network perspective is it sufficient to just use the maxCarriersRequestedDL/ maxCarriersRequestedUL to enable UE to report the new bandwidth class (i.e. no further updates to Aggregatedbandwidth (maxBandwidthRequestedDL/UL))?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r>
              <w:rPr>
                <w:b/>
                <w:bCs/>
                <w:i/>
                <w:iCs/>
              </w:rPr>
              <w:t xml:space="preserve">Aggregatedbandwidth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AggregatedBandwidth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r>
              <w:rPr>
                <w:lang w:eastAsia="zh-CN"/>
              </w:rPr>
              <w:t xml:space="preserve">maxCarriersRequestedDL/UL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Extension of Aggregatedbandwidth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We think the key issue is whether we need to extend the Aggregatedbandwidth in the UE capability filter or just use the maxCarriersRequestedDL/ maxCarriersRequestedUL to achieve the similar result. </w:t>
            </w:r>
          </w:p>
          <w:p w14:paraId="011230BC" w14:textId="77777777" w:rsidR="006F33DD" w:rsidRDefault="006F33DD">
            <w:pPr>
              <w:pStyle w:val="Doc-text2"/>
              <w:ind w:left="0" w:firstLine="0"/>
              <w:rPr>
                <w:rFonts w:eastAsia="宋体"/>
                <w:color w:val="0070C0"/>
                <w:lang w:val="en-US" w:eastAsia="zh-CN"/>
              </w:rPr>
            </w:pPr>
          </w:p>
          <w:p w14:paraId="31E4540B"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In the last meeting, we raised the question about whether to extend the Aggregatedbandwidth in the UE capability filter for that the legacy maximum Aggregatedbandwidth is 800M (and absence of Aggregatedbandwidth  means 1200M ) , while the Aggregatedbandwidth  of  R/S/T/U are larger than it (e.g. 1000M/1200M/1400M/1600M). However after further thinking, we also find that there are several issues  to be solved if we extend the Aggregatedbandwidth in the UE capability filter:</w:t>
            </w:r>
          </w:p>
          <w:p w14:paraId="1F79093C" w14:textId="77777777" w:rsidR="006F33DD" w:rsidRDefault="006F33DD">
            <w:pPr>
              <w:pStyle w:val="Doc-text2"/>
              <w:ind w:left="0" w:firstLine="0"/>
              <w:rPr>
                <w:rFonts w:eastAsia="宋体"/>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宋体"/>
                <w:color w:val="0070C0"/>
                <w:lang w:val="en-US" w:eastAsia="zh-CN"/>
              </w:rPr>
            </w:pPr>
          </w:p>
          <w:p w14:paraId="0FEA3FAE" w14:textId="77777777" w:rsidR="006F33DD" w:rsidRDefault="00B062EA">
            <w:pPr>
              <w:pStyle w:val="Doc-text2"/>
              <w:numPr>
                <w:ilvl w:val="0"/>
                <w:numId w:val="4"/>
              </w:numPr>
              <w:rPr>
                <w:rFonts w:eastAsia="宋体"/>
                <w:color w:val="FF0000"/>
                <w:lang w:val="en-US" w:eastAsia="zh-CN"/>
              </w:rPr>
            </w:pPr>
            <w:r>
              <w:rPr>
                <w:rFonts w:eastAsia="宋体" w:hint="eastAsia"/>
                <w:color w:val="0070C0"/>
                <w:lang w:val="en-US" w:eastAsia="zh-CN"/>
              </w:rPr>
              <w:t>For the legacy filter, absent means the UE can report 1200Mhz, then we need to clarify</w:t>
            </w:r>
            <w:r>
              <w:rPr>
                <w:rFonts w:eastAsia="宋体" w:hint="eastAsia"/>
                <w:color w:val="FF0000"/>
                <w:lang w:val="en-US" w:eastAsia="zh-CN"/>
              </w:rPr>
              <w:t xml:space="preserve"> how to set the legacy field when the the newly extended </w:t>
            </w:r>
            <w:r>
              <w:rPr>
                <w:rFonts w:eastAsia="宋体" w:hint="eastAsia"/>
                <w:color w:val="FF0000"/>
                <w:lang w:val="en-US"/>
              </w:rPr>
              <w:t xml:space="preserve">AggregatedBandwidth-r17 </w:t>
            </w:r>
            <w:r>
              <w:rPr>
                <w:rFonts w:eastAsia="宋体" w:hint="eastAsia"/>
                <w:color w:val="FF0000"/>
                <w:lang w:val="en-US" w:eastAsia="zh-CN"/>
              </w:rPr>
              <w:t>was set to 1000Mhz.</w:t>
            </w:r>
          </w:p>
          <w:p w14:paraId="2899BA8C" w14:textId="77777777" w:rsidR="006F33DD" w:rsidRDefault="006F33DD">
            <w:pPr>
              <w:pStyle w:val="Doc-text2"/>
              <w:ind w:left="0" w:firstLine="0"/>
              <w:rPr>
                <w:rFonts w:eastAsia="宋体"/>
                <w:color w:val="0070C0"/>
                <w:lang w:val="en-US" w:eastAsia="zh-CN"/>
              </w:rPr>
            </w:pPr>
          </w:p>
          <w:p w14:paraId="2C965983"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1: Set the legacy field to be 800mhz</w:t>
            </w:r>
            <w:r>
              <w:rPr>
                <w:rFonts w:eastAsia="宋体" w:hint="eastAsia"/>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宋体"/>
                <w:color w:val="0070C0"/>
                <w:lang w:val="en-US" w:eastAsia="zh-CN"/>
              </w:rPr>
            </w:pPr>
          </w:p>
          <w:p w14:paraId="2FE189A9"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2: Set the legacy field to be absent-</w:t>
            </w:r>
            <w:r>
              <w:rPr>
                <w:rFonts w:eastAsia="宋体" w:hint="eastAsia"/>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eastAsia="宋体" w:hint="eastAsia"/>
                <w:color w:val="FF0000"/>
                <w:lang w:val="en-US"/>
              </w:rPr>
              <w:t xml:space="preserve">AggregatedBandwidth-r17 </w:t>
            </w:r>
            <w:r>
              <w:rPr>
                <w:rFonts w:eastAsia="宋体" w:hint="eastAsia"/>
                <w:color w:val="FF0000"/>
                <w:lang w:val="en-US" w:eastAsia="zh-CN"/>
              </w:rPr>
              <w:t>was set to 1000Mhz</w:t>
            </w:r>
          </w:p>
          <w:p w14:paraId="7A6AF168" w14:textId="77777777" w:rsidR="006F33DD" w:rsidRDefault="006F33DD">
            <w:pPr>
              <w:pStyle w:val="Doc-text2"/>
              <w:ind w:left="0" w:firstLine="0"/>
              <w:rPr>
                <w:rFonts w:eastAsia="宋体"/>
                <w:color w:val="0070C0"/>
                <w:lang w:val="en-US" w:eastAsia="zh-CN"/>
              </w:rPr>
            </w:pPr>
          </w:p>
          <w:p w14:paraId="73BC1AE3"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The extend aggregated bandwidth shall also be included in the UE capability information as the legacy FreqBandlist (as below) has done</w:t>
            </w:r>
          </w:p>
          <w:p w14:paraId="12607D44" w14:textId="77777777" w:rsidR="006F33DD" w:rsidRDefault="00B062EA">
            <w:pPr>
              <w:pStyle w:val="Doc-text2"/>
              <w:ind w:left="0" w:firstLine="0"/>
              <w:rPr>
                <w:color w:val="0070C0"/>
              </w:rPr>
            </w:pPr>
            <w:r>
              <w:rPr>
                <w:color w:val="0070C0"/>
              </w:rPr>
              <w:t>appliedFreqBandListFilter              FreqBandList     OPTIONAL,</w:t>
            </w:r>
          </w:p>
          <w:p w14:paraId="1AB2447D" w14:textId="77777777" w:rsidR="006F33DD" w:rsidRDefault="006F33DD">
            <w:pPr>
              <w:pStyle w:val="Doc-text2"/>
              <w:ind w:left="0" w:firstLine="0"/>
              <w:rPr>
                <w:rFonts w:eastAsia="宋体"/>
                <w:color w:val="0070C0"/>
                <w:lang w:val="en-US" w:eastAsia="zh-CN"/>
              </w:rPr>
            </w:pPr>
          </w:p>
          <w:p w14:paraId="43FA3E62" w14:textId="77777777" w:rsidR="006F33DD" w:rsidRDefault="006F33DD">
            <w:pPr>
              <w:pStyle w:val="Doc-text2"/>
              <w:ind w:left="0" w:firstLine="0"/>
              <w:rPr>
                <w:rFonts w:eastAsia="宋体"/>
                <w:color w:val="0070C0"/>
                <w:lang w:val="en-US" w:eastAsia="zh-CN"/>
              </w:rPr>
            </w:pPr>
          </w:p>
          <w:p w14:paraId="723820AC"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Based on the above 3 issues, and also considering that </w:t>
            </w:r>
            <w:r>
              <w:rPr>
                <w:color w:val="0070C0"/>
              </w:rPr>
              <w:t>maxCarriersRequestedDL</w:t>
            </w:r>
            <w:r>
              <w:rPr>
                <w:rFonts w:hint="eastAsia"/>
                <w:color w:val="0070C0"/>
              </w:rPr>
              <w:t>/</w:t>
            </w:r>
            <w:r>
              <w:rPr>
                <w:color w:val="0070C0"/>
              </w:rPr>
              <w:t xml:space="preserve"> maxCarriersRequestedUL</w:t>
            </w:r>
            <w:r>
              <w:rPr>
                <w:rFonts w:hint="eastAsia"/>
                <w:color w:val="0070C0"/>
              </w:rPr>
              <w:t xml:space="preserve"> </w:t>
            </w:r>
            <w:r>
              <w:rPr>
                <w:rFonts w:eastAsia="宋体" w:hint="eastAsia"/>
                <w:color w:val="0070C0"/>
                <w:lang w:val="en-US" w:eastAsia="zh-CN"/>
              </w:rPr>
              <w:t xml:space="preserve">can be used to achieve the similar result ( as analyzed in [2] that when the aggregated bandwidth was </w:t>
            </w:r>
            <w:r>
              <w:rPr>
                <w:rFonts w:eastAsia="宋体" w:hint="eastAsia"/>
                <w:color w:val="0070C0"/>
                <w:lang w:val="en-US" w:eastAsia="zh-CN"/>
              </w:rPr>
              <w:lastRenderedPageBreak/>
              <w:t>increased, the number of carriers are also increased), we prefer not to extend the legacy aggregated bandwidth.</w:t>
            </w:r>
          </w:p>
          <w:p w14:paraId="6E4A55FA" w14:textId="77777777" w:rsidR="006F33DD" w:rsidRDefault="006F33DD">
            <w:pPr>
              <w:pStyle w:val="Doc-text2"/>
              <w:ind w:left="0" w:firstLine="0"/>
              <w:rPr>
                <w:rFonts w:eastAsia="宋体"/>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Extension of Aggregatedbandwidth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If this is not clear enough in the specification, the approach of maxCarriersRequestedDL/UL method is better than Extension of Aggregatedbandwidt</w:t>
            </w:r>
            <w:r w:rsidR="00B062EA">
              <w:rPr>
                <w:lang w:eastAsia="zh-CN"/>
              </w:rPr>
              <w:t>h</w:t>
            </w:r>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16915107" w:rsidR="00B56B69" w:rsidRDefault="00982CC6" w:rsidP="00B56B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0E240B" w14:textId="59637409" w:rsidR="00B56B69" w:rsidRDefault="00982CC6"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F415B7"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09516E14" w:rsidR="00F415B7" w:rsidRDefault="00F415B7" w:rsidP="00B56B69">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6B93161D" w14:textId="13F8BBA0" w:rsidR="00F415B7" w:rsidRDefault="00F415B7" w:rsidP="00B56B69">
            <w:pPr>
              <w:pStyle w:val="TAC"/>
              <w:spacing w:before="20" w:after="20"/>
              <w:ind w:left="57" w:right="57"/>
              <w:jc w:val="left"/>
              <w:rPr>
                <w:lang w:eastAsia="zh-CN"/>
              </w:rPr>
            </w:pPr>
            <w:r>
              <w:rPr>
                <w:lang w:eastAsia="zh-CN"/>
              </w:rPr>
              <w:t xml:space="preserve"> </w:t>
            </w: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4C44FFF" w14:textId="4842B21B" w:rsidR="00F415B7" w:rsidRDefault="00F415B7" w:rsidP="00B56B69">
            <w:pPr>
              <w:pStyle w:val="TAC"/>
              <w:spacing w:before="20" w:after="20"/>
              <w:ind w:left="57" w:right="57"/>
              <w:jc w:val="left"/>
              <w:rPr>
                <w:lang w:eastAsia="zh-CN"/>
              </w:rPr>
            </w:pPr>
            <w:r>
              <w:rPr>
                <w:rFonts w:hint="eastAsia"/>
                <w:lang w:eastAsia="zh-CN"/>
              </w:rPr>
              <w:t xml:space="preserve">We slightly prefer to extend the </w:t>
            </w:r>
            <w:r>
              <w:rPr>
                <w:lang w:eastAsia="zh-CN"/>
              </w:rPr>
              <w:t xml:space="preserve">AggregatedBandwidth filter to support the new bandwidth classes, and how to use the filter is </w:t>
            </w:r>
            <w:r>
              <w:rPr>
                <w:rFonts w:hint="eastAsia"/>
                <w:lang w:eastAsia="zh-CN"/>
              </w:rPr>
              <w:t xml:space="preserve">considered as </w:t>
            </w:r>
            <w:r>
              <w:rPr>
                <w:lang w:eastAsia="zh-CN"/>
              </w:rPr>
              <w:t>network</w:t>
            </w:r>
            <w:r>
              <w:rPr>
                <w:rFonts w:hint="eastAsia"/>
                <w:lang w:eastAsia="zh-CN"/>
              </w:rPr>
              <w:t xml:space="preserve"> implementation.</w:t>
            </w: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27BB5D54" w:rsidR="00B56B69" w:rsidRDefault="0061448A" w:rsidP="00B56B6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0FFCCEE" w14:textId="31D7995F" w:rsidR="00B56B69" w:rsidRDefault="0061448A"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ListParagraph"/>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Based on the contributions in [5] and the rapporteur company’s understanding as well there seems to be no need to distinguish DL from UL and also CRs in [10], [11] and [14], [15] implement the decision from the last meeting.</w:t>
      </w:r>
    </w:p>
    <w:p w14:paraId="5056EE6B" w14:textId="77777777" w:rsidR="006F33DD" w:rsidRDefault="00B062EA">
      <w:pPr>
        <w:pStyle w:val="ListParagraph"/>
        <w:numPr>
          <w:ilvl w:val="0"/>
          <w:numId w:val="3"/>
        </w:numPr>
      </w:pPr>
      <w:r>
        <w:t>Introduce CBM-only capability from Rel-17 (allowing early implementation from Rel-16) and dummify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the network determine the DL/UL CBM/IBM supporting based on the beam correspondence</w:t>
            </w:r>
            <w:r>
              <w:rPr>
                <w:rFonts w:hint="eastAsia"/>
                <w:lang w:val="en-US" w:eastAsia="zh-CN"/>
              </w:rPr>
              <w:t xml:space="preserve"> as defined below</w:t>
            </w:r>
          </w:p>
          <w:tbl>
            <w:tblPr>
              <w:tblStyle w:val="TableGrid"/>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TableGrid"/>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et we need to clarify that there is still difference between UL and DL, e.g,, it can be that DL supports CBM, but UL does not support. The only point is that by limited to 2-band case, R4 further ruled out the combination of IBM for DL and CBM for UL (or vice versa), so a single indiation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Similar to Rel-16, we could just avoid mentioning DL and UL. </w:t>
            </w:r>
          </w:p>
        </w:tc>
      </w:tr>
      <w:tr w:rsidR="00F415B7"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2F287851" w:rsidR="00F415B7" w:rsidRDefault="00F415B7">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984F137" w14:textId="3E9C7CD7" w:rsidR="00F415B7" w:rsidRDefault="00F415B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F415B7" w:rsidRDefault="00F415B7">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38E74D81" w:rsidR="006F33DD" w:rsidRDefault="00816B8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8AC7A0A" w14:textId="01102A0F" w:rsidR="006F33DD" w:rsidRDefault="00816B86">
            <w:pPr>
              <w:pStyle w:val="TAC"/>
              <w:spacing w:before="20" w:after="20"/>
              <w:ind w:left="57" w:right="57"/>
              <w:jc w:val="left"/>
              <w:rPr>
                <w:lang w:eastAsia="zh-CN"/>
              </w:rPr>
            </w:pPr>
            <w:r>
              <w:rPr>
                <w:lang w:eastAsia="zh-CN"/>
              </w:rPr>
              <w:t>Yes</w:t>
            </w:r>
            <w:bookmarkStart w:id="1" w:name="_GoBack"/>
            <w:bookmarkEnd w:id="1"/>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Heading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2D76" w14:textId="77777777" w:rsidR="00B66FB2" w:rsidRDefault="00B66FB2" w:rsidP="000D7B24">
      <w:pPr>
        <w:spacing w:after="0" w:line="240" w:lineRule="auto"/>
      </w:pPr>
      <w:r>
        <w:separator/>
      </w:r>
    </w:p>
  </w:endnote>
  <w:endnote w:type="continuationSeparator" w:id="0">
    <w:p w14:paraId="6A78F2E1" w14:textId="77777777" w:rsidR="00B66FB2" w:rsidRDefault="00B66FB2"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C98D" w14:textId="77777777" w:rsidR="00B66FB2" w:rsidRDefault="00B66FB2" w:rsidP="000D7B24">
      <w:pPr>
        <w:spacing w:after="0" w:line="240" w:lineRule="auto"/>
      </w:pPr>
      <w:r>
        <w:separator/>
      </w:r>
    </w:p>
  </w:footnote>
  <w:footnote w:type="continuationSeparator" w:id="0">
    <w:p w14:paraId="78CF97ED" w14:textId="77777777" w:rsidR="00B66FB2" w:rsidRDefault="00B66FB2"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ED942FD"/>
    <w:multiLevelType w:val="hybridMultilevel"/>
    <w:tmpl w:val="8954F2F8"/>
    <w:lvl w:ilvl="0" w:tplc="23A013D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236C"/>
    <w:rsid w:val="0035462D"/>
    <w:rsid w:val="0036459E"/>
    <w:rsid w:val="00364B41"/>
    <w:rsid w:val="003775A5"/>
    <w:rsid w:val="00383096"/>
    <w:rsid w:val="00386088"/>
    <w:rsid w:val="0039346C"/>
    <w:rsid w:val="003A41EF"/>
    <w:rsid w:val="003B40AD"/>
    <w:rsid w:val="003C4E37"/>
    <w:rsid w:val="003C7362"/>
    <w:rsid w:val="003D6EEE"/>
    <w:rsid w:val="003E16BE"/>
    <w:rsid w:val="003E7137"/>
    <w:rsid w:val="003F4E28"/>
    <w:rsid w:val="004006E8"/>
    <w:rsid w:val="00401855"/>
    <w:rsid w:val="00421550"/>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5D7C93"/>
    <w:rsid w:val="00603698"/>
    <w:rsid w:val="00611566"/>
    <w:rsid w:val="0061448A"/>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24123"/>
    <w:rsid w:val="007342B5"/>
    <w:rsid w:val="00734A5B"/>
    <w:rsid w:val="007441D3"/>
    <w:rsid w:val="00744E76"/>
    <w:rsid w:val="00751FCC"/>
    <w:rsid w:val="00757D40"/>
    <w:rsid w:val="007662B5"/>
    <w:rsid w:val="00774BE4"/>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16B86"/>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169E2"/>
    <w:rsid w:val="00923655"/>
    <w:rsid w:val="00936071"/>
    <w:rsid w:val="009376CD"/>
    <w:rsid w:val="00940212"/>
    <w:rsid w:val="00942EC2"/>
    <w:rsid w:val="00961B32"/>
    <w:rsid w:val="00962509"/>
    <w:rsid w:val="00970DB3"/>
    <w:rsid w:val="00974BB0"/>
    <w:rsid w:val="00975BCD"/>
    <w:rsid w:val="00982CC6"/>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66FB2"/>
    <w:rsid w:val="00B8403B"/>
    <w:rsid w:val="00B84DB2"/>
    <w:rsid w:val="00BA6FF3"/>
    <w:rsid w:val="00BB5113"/>
    <w:rsid w:val="00BC1A92"/>
    <w:rsid w:val="00BC3555"/>
    <w:rsid w:val="00BC62A6"/>
    <w:rsid w:val="00C12B51"/>
    <w:rsid w:val="00C24650"/>
    <w:rsid w:val="00C25465"/>
    <w:rsid w:val="00C33079"/>
    <w:rsid w:val="00C42FEB"/>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6F02"/>
    <w:rsid w:val="00E77321"/>
    <w:rsid w:val="00E77645"/>
    <w:rsid w:val="00E83697"/>
    <w:rsid w:val="00E86664"/>
    <w:rsid w:val="00E976B3"/>
    <w:rsid w:val="00EA4E7F"/>
    <w:rsid w:val="00EA66C9"/>
    <w:rsid w:val="00EC4A25"/>
    <w:rsid w:val="00EE024C"/>
    <w:rsid w:val="00EF612C"/>
    <w:rsid w:val="00F025A2"/>
    <w:rsid w:val="00F036E9"/>
    <w:rsid w:val="00F0725C"/>
    <w:rsid w:val="00F07388"/>
    <w:rsid w:val="00F2026E"/>
    <w:rsid w:val="00F2210A"/>
    <w:rsid w:val="00F37743"/>
    <w:rsid w:val="00F415B7"/>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0C38"/>
  <w15:docId w15:val="{DBD7AB54-755D-4F38-B027-DABAB47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bis-e\Docs\R2-22019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5BAE27-3D1E-458F-AF46-76EF401D6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6</cp:revision>
  <cp:lastPrinted>2022-02-23T07:01:00Z</cp:lastPrinted>
  <dcterms:created xsi:type="dcterms:W3CDTF">2022-02-24T07:12:00Z</dcterms:created>
  <dcterms:modified xsi:type="dcterms:W3CDTF">2022-02-24T10:39:00Z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y fmtid="{D5CDD505-2E9C-101B-9397-08002B2CF9AE}" pid="4"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5"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y fmtid="{D5CDD505-2E9C-101B-9397-08002B2CF9AE}" pid="11" name="CWM5eb3868c53f547e4bebfd853d8dd6520">
    <vt:lpwstr>CWM4Ckl9Y14PPbu0wf5F7qAZH2O3r2i8E7cD8Tx61s5dV7hPbRhvo6JRciw0swS90kCjAf1NxpyY+37cBJ5ybuUIA==</vt:lpwstr>
  </property>
</Properties>
</file>