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33F89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w:t>
      </w:r>
      <w:proofErr w:type="gramEnd"/>
      <w:r w:rsidR="00D065F4" w:rsidRPr="00455793">
        <w:rPr>
          <w:rFonts w:cs="Arial"/>
          <w:b/>
          <w:bCs/>
          <w:sz w:val="24"/>
        </w:rPr>
        <w:t xml:space="preserv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A56681"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A56681"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A56681"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A56681"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bookmarkStart w:id="1" w:name="_GoBack"/>
      <w:bookmarkEnd w:id="1"/>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5009A05A" w:rsidR="00721091" w:rsidRDefault="008127B0" w:rsidP="00A249A2">
            <w:pPr>
              <w:rPr>
                <w:rFonts w:cs="Arial"/>
                <w:lang w:eastAsia="zh-CN"/>
              </w:rPr>
            </w:pPr>
            <w:r>
              <w:rPr>
                <w:rFonts w:cs="Arial" w:hint="eastAsia"/>
                <w:lang w:eastAsia="zh-CN"/>
              </w:rPr>
              <w:t>TCL Communication Ltd.</w:t>
            </w:r>
          </w:p>
        </w:tc>
        <w:tc>
          <w:tcPr>
            <w:tcW w:w="1701" w:type="dxa"/>
          </w:tcPr>
          <w:p w14:paraId="333E5C32" w14:textId="543FD4F0" w:rsidR="00721091" w:rsidRDefault="008127B0" w:rsidP="00A249A2">
            <w:pPr>
              <w:rPr>
                <w:rFonts w:cs="Arial"/>
                <w:lang w:eastAsia="zh-CN"/>
              </w:rPr>
            </w:pPr>
            <w:r>
              <w:rPr>
                <w:rFonts w:cs="Arial" w:hint="eastAsia"/>
                <w:lang w:eastAsia="zh-CN"/>
              </w:rPr>
              <w:t>Ahmed</w:t>
            </w:r>
            <w:r>
              <w:rPr>
                <w:rFonts w:cs="Arial"/>
                <w:lang w:eastAsia="zh-CN"/>
              </w:rPr>
              <w:t xml:space="preserve"> </w:t>
            </w:r>
            <w:proofErr w:type="spellStart"/>
            <w:r>
              <w:rPr>
                <w:rFonts w:cs="Arial"/>
                <w:lang w:eastAsia="zh-CN"/>
              </w:rPr>
              <w:t>Mikaeil</w:t>
            </w:r>
            <w:proofErr w:type="spellEnd"/>
          </w:p>
        </w:tc>
        <w:tc>
          <w:tcPr>
            <w:tcW w:w="5950" w:type="dxa"/>
          </w:tcPr>
          <w:p w14:paraId="7A63C3B3" w14:textId="12D7D90B" w:rsidR="00721091" w:rsidRDefault="008127B0" w:rsidP="00A249A2">
            <w:pPr>
              <w:rPr>
                <w:rFonts w:cs="Arial"/>
                <w:lang w:eastAsia="zh-CN"/>
              </w:rPr>
            </w:pPr>
            <w:r>
              <w:rPr>
                <w:rFonts w:cs="Arial"/>
                <w:lang w:eastAsia="zh-CN"/>
              </w:rPr>
              <w:t>ahmed.mikaeil@tcl.com</w:t>
            </w: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A56681"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xml:space="preserve">: Using a common RRC structure for UEs introduces overhead in some scenarios, e.g. CFR configuration is the same as UEs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2AD877CD" w14:textId="1E4D2665" w:rsidR="00AC1004" w:rsidRDefault="007A33FD" w:rsidP="00C24FD8">
      <w:r>
        <w:t>Support common:</w:t>
      </w:r>
    </w:p>
    <w:p w14:paraId="45F4DC32" w14:textId="77777777" w:rsidR="00EC6CAB" w:rsidRPr="00EC425F" w:rsidRDefault="00A56681"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lastRenderedPageBreak/>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606"/>
        <w:gridCol w:w="1191"/>
        <w:gridCol w:w="6834"/>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 xml:space="preserve">Same view as Huawei. Additionally different UEs may join Multicast at different times and CU has to provide Multicast bearer configuration for these UEs at different times. This can’t reduce any F1/E1 signalling </w:t>
            </w:r>
            <w:r>
              <w:rPr>
                <w:rFonts w:cs="Arial"/>
              </w:rPr>
              <w:lastRenderedPageBreak/>
              <w:t>overhead. ASN.1 changes are quite significant and different UEs will have different L1 configuration and different PTP link configuration.</w:t>
            </w:r>
          </w:p>
        </w:tc>
      </w:tr>
      <w:tr w:rsidR="00FE1535" w14:paraId="4E1240BB" w14:textId="77777777" w:rsidTr="00FE1535">
        <w:tc>
          <w:tcPr>
            <w:tcW w:w="1193" w:type="dxa"/>
          </w:tcPr>
          <w:p w14:paraId="4CDFAD12" w14:textId="21B5D07A" w:rsidR="00FE1535" w:rsidRDefault="00ED17D0" w:rsidP="00A249A2">
            <w:pPr>
              <w:rPr>
                <w:rFonts w:cs="Arial"/>
              </w:rPr>
            </w:pPr>
            <w:r>
              <w:rPr>
                <w:rFonts w:cs="Arial" w:hint="eastAsia"/>
                <w:lang w:eastAsia="zh-CN"/>
              </w:rPr>
              <w:lastRenderedPageBreak/>
              <w:t>TCL Communication Ltd.</w:t>
            </w:r>
          </w:p>
        </w:tc>
        <w:tc>
          <w:tcPr>
            <w:tcW w:w="1212" w:type="dxa"/>
          </w:tcPr>
          <w:p w14:paraId="597D1927" w14:textId="2C354A44" w:rsidR="00FE1535" w:rsidRDefault="00ED17D0" w:rsidP="00A249A2">
            <w:pPr>
              <w:rPr>
                <w:rFonts w:cs="Arial"/>
              </w:rPr>
            </w:pPr>
            <w:r>
              <w:rPr>
                <w:rFonts w:cs="Arial" w:hint="eastAsia"/>
              </w:rPr>
              <w:t xml:space="preserve">Yes </w:t>
            </w:r>
          </w:p>
        </w:tc>
        <w:tc>
          <w:tcPr>
            <w:tcW w:w="7226" w:type="dxa"/>
          </w:tcPr>
          <w:p w14:paraId="3BFF5951" w14:textId="1A5DEE97" w:rsidR="00FE1535" w:rsidRDefault="00ED17D0" w:rsidP="00A249A2">
            <w:pPr>
              <w:rPr>
                <w:rFonts w:cs="Arial"/>
              </w:rPr>
            </w:pPr>
            <w:r>
              <w:rPr>
                <w:rFonts w:cs="Arial" w:hint="eastAsia"/>
              </w:rPr>
              <w:t xml:space="preserve">Same view with </w:t>
            </w:r>
            <w:proofErr w:type="spellStart"/>
            <w:r>
              <w:rPr>
                <w:rFonts w:cs="Arial" w:hint="eastAsia"/>
              </w:rPr>
              <w:t>nokia</w:t>
            </w:r>
            <w:proofErr w:type="spellEnd"/>
            <w:r>
              <w:rPr>
                <w:rFonts w:cs="Arial" w:hint="eastAsia"/>
              </w:rPr>
              <w:t xml:space="preserve"> </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566DB60F"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r w:rsidR="00ED17D0">
        <w:rPr>
          <w:rFonts w:cs="Arial"/>
          <w:b/>
          <w:bCs/>
          <w:lang w:eastAsia="zh-CN"/>
        </w:rPr>
        <w:t>signalling</w:t>
      </w:r>
      <w:r w:rsidR="00C36089">
        <w:rPr>
          <w:rFonts w:cs="Arial"/>
          <w:b/>
          <w:bCs/>
          <w:lang w:eastAsia="zh-CN"/>
        </w:rPr>
        <w:t>?</w:t>
      </w:r>
    </w:p>
    <w:tbl>
      <w:tblPr>
        <w:tblStyle w:val="TableGrid"/>
        <w:tblW w:w="0" w:type="auto"/>
        <w:tblLook w:val="04A0" w:firstRow="1" w:lastRow="0" w:firstColumn="1" w:lastColumn="0" w:noHBand="0" w:noVBand="1"/>
      </w:tblPr>
      <w:tblGrid>
        <w:gridCol w:w="1606"/>
        <w:gridCol w:w="1188"/>
        <w:gridCol w:w="6837"/>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425ED963" w:rsidR="00243225" w:rsidRDefault="00243225" w:rsidP="007740FD">
            <w:pPr>
              <w:rPr>
                <w:rFonts w:cs="Arial"/>
              </w:rPr>
            </w:pPr>
            <w:r>
              <w:rPr>
                <w:rFonts w:cs="Arial"/>
              </w:rPr>
              <w:t xml:space="preserve">Common RRC </w:t>
            </w:r>
            <w:r w:rsidR="00ED17D0">
              <w:rPr>
                <w:rFonts w:cs="Arial"/>
              </w:rPr>
              <w:t>structure</w:t>
            </w:r>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UEs and it does not help to reduce overhead. </w:t>
            </w:r>
          </w:p>
        </w:tc>
      </w:tr>
      <w:tr w:rsidR="00FE1535" w14:paraId="66164BA7" w14:textId="77777777" w:rsidTr="007740FD">
        <w:tc>
          <w:tcPr>
            <w:tcW w:w="1193" w:type="dxa"/>
          </w:tcPr>
          <w:p w14:paraId="54E2C9B3" w14:textId="43F5559B" w:rsidR="00FE1535" w:rsidRDefault="00ED17D0" w:rsidP="007740FD">
            <w:pPr>
              <w:rPr>
                <w:rFonts w:cs="Arial"/>
              </w:rPr>
            </w:pPr>
            <w:r>
              <w:rPr>
                <w:rFonts w:cs="Arial" w:hint="eastAsia"/>
                <w:lang w:eastAsia="zh-CN"/>
              </w:rPr>
              <w:t>TCL Communication Ltd.</w:t>
            </w:r>
          </w:p>
        </w:tc>
        <w:tc>
          <w:tcPr>
            <w:tcW w:w="1212" w:type="dxa"/>
          </w:tcPr>
          <w:p w14:paraId="1B60AA27" w14:textId="3AFC3F96" w:rsidR="00FE1535" w:rsidRDefault="00ED17D0" w:rsidP="007740FD">
            <w:pPr>
              <w:rPr>
                <w:rFonts w:cs="Arial"/>
              </w:rPr>
            </w:pPr>
            <w:r>
              <w:rPr>
                <w:rFonts w:cs="Arial" w:hint="eastAsia"/>
              </w:rPr>
              <w:t>Yes</w:t>
            </w:r>
          </w:p>
        </w:tc>
        <w:tc>
          <w:tcPr>
            <w:tcW w:w="7226" w:type="dxa"/>
          </w:tcPr>
          <w:p w14:paraId="666C5C1A" w14:textId="08A6A322" w:rsidR="00FE1535" w:rsidRDefault="00ED17D0" w:rsidP="002A30D3">
            <w:pPr>
              <w:rPr>
                <w:rFonts w:cs="Arial"/>
              </w:rPr>
            </w:pPr>
            <w:r>
              <w:rPr>
                <w:rFonts w:cs="Arial"/>
              </w:rPr>
              <w:t xml:space="preserve">We think </w:t>
            </w:r>
            <w:r w:rsidR="00116B77">
              <w:rPr>
                <w:rFonts w:cs="Arial"/>
              </w:rPr>
              <w:t xml:space="preserve">by using </w:t>
            </w:r>
            <w:r>
              <w:rPr>
                <w:rFonts w:cs="Arial"/>
              </w:rPr>
              <w:t xml:space="preserve">a careful design of </w:t>
            </w:r>
            <w:r w:rsidR="002A30D3">
              <w:rPr>
                <w:rFonts w:cs="Arial"/>
              </w:rPr>
              <w:t xml:space="preserve">a </w:t>
            </w:r>
            <w:r>
              <w:rPr>
                <w:rFonts w:cs="Arial"/>
              </w:rPr>
              <w:t xml:space="preserve">common RRC </w:t>
            </w:r>
            <w:r w:rsidR="00081D1F">
              <w:rPr>
                <w:rFonts w:cs="Arial"/>
              </w:rPr>
              <w:t xml:space="preserve">structure </w:t>
            </w:r>
            <w:r w:rsidR="002A30D3">
              <w:rPr>
                <w:rFonts w:cs="Arial"/>
              </w:rPr>
              <w:t>at</w:t>
            </w:r>
            <w:r w:rsidR="00066C25">
              <w:rPr>
                <w:rFonts w:cs="Arial"/>
              </w:rPr>
              <w:t xml:space="preserve"> </w:t>
            </w:r>
            <w:proofErr w:type="spellStart"/>
            <w:r w:rsidR="00066C25">
              <w:rPr>
                <w:rFonts w:cs="Arial"/>
              </w:rPr>
              <w:t>gNB</w:t>
            </w:r>
            <w:proofErr w:type="spellEnd"/>
            <w:r w:rsidR="00066C25">
              <w:rPr>
                <w:rFonts w:cs="Arial"/>
              </w:rPr>
              <w:t xml:space="preserve"> </w:t>
            </w:r>
            <w:r w:rsidR="002A30D3">
              <w:rPr>
                <w:rFonts w:cs="Arial"/>
              </w:rPr>
              <w:t xml:space="preserve">and signalling it to different UEs </w:t>
            </w:r>
            <w:r w:rsidR="00116B77">
              <w:rPr>
                <w:rFonts w:cs="Arial"/>
              </w:rPr>
              <w:t>e.g</w:t>
            </w:r>
            <w:r>
              <w:rPr>
                <w:rFonts w:cs="Arial"/>
              </w:rPr>
              <w:t xml:space="preserve">., based on </w:t>
            </w:r>
            <w:proofErr w:type="spellStart"/>
            <w:r>
              <w:rPr>
                <w:rFonts w:cs="Arial"/>
              </w:rPr>
              <w:t>gNB</w:t>
            </w:r>
            <w:proofErr w:type="spellEnd"/>
            <w:r>
              <w:rPr>
                <w:rFonts w:cs="Arial"/>
              </w:rPr>
              <w:t xml:space="preserve"> awareness of </w:t>
            </w:r>
            <w:r w:rsidR="00116B77">
              <w:rPr>
                <w:rFonts w:cs="Arial"/>
              </w:rPr>
              <w:t>multicast UEs and unicast/delta configured UE</w:t>
            </w:r>
            <w:r w:rsidR="00D1024F">
              <w:rPr>
                <w:rFonts w:cs="Arial"/>
              </w:rPr>
              <w:t>s</w:t>
            </w:r>
            <w:r w:rsidR="002A30D3">
              <w:rPr>
                <w:rFonts w:cs="Arial"/>
              </w:rPr>
              <w:t>,</w:t>
            </w:r>
            <w:r w:rsidR="00081D1F">
              <w:rPr>
                <w:rFonts w:cs="Arial"/>
              </w:rPr>
              <w:t xml:space="preserve"> the</w:t>
            </w:r>
            <w:r>
              <w:rPr>
                <w:rFonts w:cs="Arial"/>
              </w:rPr>
              <w:t xml:space="preserve"> extra overhead </w:t>
            </w:r>
            <w:r w:rsidR="00081D1F">
              <w:rPr>
                <w:rFonts w:cs="Arial"/>
              </w:rPr>
              <w:t xml:space="preserve">for sending two consecutive </w:t>
            </w:r>
            <w:proofErr w:type="spellStart"/>
            <w:r w:rsidR="00081D1F">
              <w:rPr>
                <w:rFonts w:cs="Arial"/>
              </w:rPr>
              <w:t>RRCReconfiguration</w:t>
            </w:r>
            <w:proofErr w:type="spellEnd"/>
            <w:r w:rsidR="00081D1F">
              <w:rPr>
                <w:rFonts w:cs="Arial"/>
              </w:rPr>
              <w:t xml:space="preserve"> messages can be </w:t>
            </w:r>
            <w:r w:rsidR="00D1024F">
              <w:rPr>
                <w:rFonts w:cs="Arial"/>
              </w:rPr>
              <w:t>avoided, while we can still benefit</w:t>
            </w:r>
            <w:r w:rsidR="00066C25">
              <w:rPr>
                <w:rFonts w:cs="Arial"/>
              </w:rPr>
              <w:t xml:space="preserve"> from</w:t>
            </w:r>
            <w:r w:rsidR="00D1024F">
              <w:rPr>
                <w:rFonts w:cs="Arial"/>
              </w:rPr>
              <w:t xml:space="preserve"> F1</w:t>
            </w:r>
            <w:r w:rsidR="00D1024F" w:rsidRPr="00352AA8">
              <w:rPr>
                <w:rFonts w:cs="Arial"/>
              </w:rPr>
              <w:t>/E1</w:t>
            </w:r>
            <w:r w:rsidR="00352AA8" w:rsidRPr="00352AA8">
              <w:rPr>
                <w:rFonts w:cs="Arial"/>
              </w:rPr>
              <w:t xml:space="preserve"> signalling</w:t>
            </w:r>
            <w:r w:rsidR="00D1024F" w:rsidRPr="00352AA8">
              <w:rPr>
                <w:rFonts w:cs="Arial"/>
              </w:rPr>
              <w:t xml:space="preserve"> opti</w:t>
            </w:r>
            <w:r w:rsidR="00D1024F">
              <w:rPr>
                <w:rFonts w:cs="Arial"/>
              </w:rPr>
              <w:t>mization</w:t>
            </w:r>
            <w:r w:rsidR="002A30D3">
              <w:rPr>
                <w:rFonts w:cs="Arial"/>
              </w:rPr>
              <w:t xml:space="preserve"> proposed by RAN3</w:t>
            </w:r>
            <w:r w:rsidR="00D1024F">
              <w:rPr>
                <w:rFonts w:cs="Arial"/>
              </w:rPr>
              <w:t>.</w:t>
            </w: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等线" w:cs="Arial"/>
                <w:b/>
              </w:rPr>
            </w:pPr>
            <w:r>
              <w:rPr>
                <w:rFonts w:eastAsia="等线" w:cs="Arial"/>
                <w:b/>
              </w:rPr>
              <w:t>To RAN2 group.</w:t>
            </w:r>
          </w:p>
          <w:p w14:paraId="5DA1E6D6" w14:textId="77777777" w:rsidR="00DA47C0" w:rsidRDefault="00DA47C0">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A56681"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lastRenderedPageBreak/>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8pt;height:135.25pt;mso-width-percent:0;mso-height-percent:0;mso-width-percent:0;mso-height-percent:0" o:ole="">
            <v:imagedata r:id="rId20" o:title=""/>
          </v:shape>
          <o:OLEObject Type="Embed" ProgID="Visio.Drawing.15" ShapeID="_x0000_i1025" DrawAspect="Content" ObjectID="_1707118237"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lastRenderedPageBreak/>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A56681"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606"/>
        <w:gridCol w:w="1457"/>
        <w:gridCol w:w="6568"/>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16B77" w14:paraId="327AAA25" w14:textId="77777777" w:rsidTr="006A0031">
        <w:tc>
          <w:tcPr>
            <w:tcW w:w="1193" w:type="dxa"/>
          </w:tcPr>
          <w:p w14:paraId="338FE50D" w14:textId="3F4BD34A" w:rsidR="00116B77" w:rsidRDefault="00116B77" w:rsidP="00116B77">
            <w:pPr>
              <w:rPr>
                <w:rFonts w:cs="Arial"/>
              </w:rPr>
            </w:pPr>
            <w:r>
              <w:rPr>
                <w:rFonts w:cs="Arial" w:hint="eastAsia"/>
                <w:lang w:eastAsia="zh-CN"/>
              </w:rPr>
              <w:t>TCL Communication Ltd.</w:t>
            </w:r>
          </w:p>
        </w:tc>
        <w:tc>
          <w:tcPr>
            <w:tcW w:w="1496" w:type="dxa"/>
          </w:tcPr>
          <w:p w14:paraId="52673198" w14:textId="63F0FF95" w:rsidR="00116B77" w:rsidRDefault="00116B77" w:rsidP="00116B77">
            <w:pPr>
              <w:rPr>
                <w:rFonts w:cs="Arial"/>
              </w:rPr>
            </w:pPr>
            <w:r>
              <w:rPr>
                <w:rFonts w:cs="Arial" w:hint="eastAsia"/>
              </w:rPr>
              <w:t>N</w:t>
            </w:r>
            <w:r>
              <w:rPr>
                <w:rFonts w:cs="Arial"/>
              </w:rPr>
              <w:t>o</w:t>
            </w:r>
          </w:p>
        </w:tc>
        <w:tc>
          <w:tcPr>
            <w:tcW w:w="6942" w:type="dxa"/>
          </w:tcPr>
          <w:p w14:paraId="3252EDD4" w14:textId="34F0AE9C" w:rsidR="00116B77" w:rsidRDefault="00116B77" w:rsidP="00116B77">
            <w:pPr>
              <w:rPr>
                <w:rFonts w:cs="Arial"/>
              </w:rPr>
            </w:pPr>
            <w:r>
              <w:rPr>
                <w:rFonts w:cs="Arial"/>
              </w:rPr>
              <w:t xml:space="preserve">. </w:t>
            </w: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
      <w:tblGrid>
        <w:gridCol w:w="1606"/>
        <w:gridCol w:w="922"/>
        <w:gridCol w:w="7103"/>
      </w:tblGrid>
      <w:tr w:rsidR="00B133CF" w:rsidRPr="00D9470F" w14:paraId="62AA60D4" w14:textId="77777777" w:rsidTr="00536C39">
        <w:tc>
          <w:tcPr>
            <w:tcW w:w="1193" w:type="dxa"/>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
          <w:p w14:paraId="30BC7CE4" w14:textId="13CD4979" w:rsidR="00B133CF" w:rsidRPr="00D9470F" w:rsidRDefault="00B133CF" w:rsidP="007740FD">
            <w:pPr>
              <w:rPr>
                <w:rFonts w:cs="Arial"/>
                <w:b/>
                <w:bCs/>
                <w:lang w:eastAsia="zh-CN"/>
              </w:rPr>
            </w:pPr>
          </w:p>
        </w:tc>
        <w:tc>
          <w:tcPr>
            <w:tcW w:w="7509" w:type="dxa"/>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536C39">
        <w:tc>
          <w:tcPr>
            <w:tcW w:w="1193" w:type="dxa"/>
          </w:tcPr>
          <w:p w14:paraId="3D519C60" w14:textId="2BFBDAC5" w:rsidR="00B133CF" w:rsidRDefault="00243225" w:rsidP="007740FD">
            <w:pPr>
              <w:rPr>
                <w:rFonts w:cs="Arial"/>
              </w:rPr>
            </w:pPr>
            <w:r>
              <w:rPr>
                <w:rFonts w:cs="Arial"/>
              </w:rPr>
              <w:t>Nokia</w:t>
            </w:r>
          </w:p>
        </w:tc>
        <w:tc>
          <w:tcPr>
            <w:tcW w:w="929" w:type="dxa"/>
          </w:tcPr>
          <w:p w14:paraId="7EE8F646" w14:textId="3D263B45" w:rsidR="00B133CF" w:rsidRDefault="00243225" w:rsidP="007740FD">
            <w:pPr>
              <w:rPr>
                <w:rFonts w:cs="Arial"/>
              </w:rPr>
            </w:pPr>
            <w:r>
              <w:rPr>
                <w:rFonts w:cs="Arial"/>
              </w:rPr>
              <w:t>Extend MRB id space</w:t>
            </w:r>
          </w:p>
        </w:tc>
        <w:tc>
          <w:tcPr>
            <w:tcW w:w="7509" w:type="dxa"/>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536C39">
        <w:tc>
          <w:tcPr>
            <w:tcW w:w="1193" w:type="dxa"/>
          </w:tcPr>
          <w:p w14:paraId="7E5553BE" w14:textId="6C01877A" w:rsidR="00B133CF" w:rsidRDefault="001C35F4" w:rsidP="007740FD">
            <w:pPr>
              <w:rPr>
                <w:rFonts w:cs="Arial"/>
              </w:rPr>
            </w:pPr>
            <w:r>
              <w:rPr>
                <w:rFonts w:cs="Arial"/>
              </w:rPr>
              <w:t>Huawei, HiSilicon</w:t>
            </w:r>
          </w:p>
        </w:tc>
        <w:tc>
          <w:tcPr>
            <w:tcW w:w="929" w:type="dxa"/>
          </w:tcPr>
          <w:p w14:paraId="2A7A9CC8" w14:textId="77777777" w:rsidR="00B133CF" w:rsidRDefault="00B133CF" w:rsidP="007740FD">
            <w:pPr>
              <w:rPr>
                <w:rFonts w:cs="Arial"/>
              </w:rPr>
            </w:pPr>
          </w:p>
        </w:tc>
        <w:tc>
          <w:tcPr>
            <w:tcW w:w="7509" w:type="dxa"/>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lastRenderedPageBreak/>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t>Both these scenarios would require release and addition of MRB which causes data loss and service interruption.</w:t>
            </w:r>
          </w:p>
        </w:tc>
      </w:tr>
      <w:tr w:rsidR="00B133CF" w14:paraId="14C989B7" w14:textId="77777777" w:rsidTr="00536C39">
        <w:tc>
          <w:tcPr>
            <w:tcW w:w="1193" w:type="dxa"/>
          </w:tcPr>
          <w:p w14:paraId="161DAD4D" w14:textId="44C74778" w:rsidR="00B133CF" w:rsidRDefault="00907110" w:rsidP="007740FD">
            <w:pPr>
              <w:rPr>
                <w:rFonts w:cs="Arial"/>
              </w:rPr>
            </w:pPr>
            <w:r>
              <w:rPr>
                <w:rFonts w:cs="Arial"/>
              </w:rPr>
              <w:lastRenderedPageBreak/>
              <w:t>Qualcomm</w:t>
            </w:r>
          </w:p>
        </w:tc>
        <w:tc>
          <w:tcPr>
            <w:tcW w:w="929" w:type="dxa"/>
          </w:tcPr>
          <w:p w14:paraId="0B8E1148" w14:textId="77777777" w:rsidR="00B133CF" w:rsidRDefault="00B133CF" w:rsidP="007740FD">
            <w:pPr>
              <w:rPr>
                <w:rFonts w:cs="Arial"/>
              </w:rPr>
            </w:pPr>
          </w:p>
        </w:tc>
        <w:tc>
          <w:tcPr>
            <w:tcW w:w="7509" w:type="dxa"/>
          </w:tcPr>
          <w:p w14:paraId="3B3029BB" w14:textId="5CEC3D88"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MRB ID space is different from DRB ID Space.  It is up</w:t>
            </w:r>
            <w:r w:rsidR="00116B77">
              <w:rPr>
                <w:rFonts w:cs="Arial"/>
              </w:rPr>
              <w:t xml:space="preserve"> </w:t>
            </w:r>
            <w:r>
              <w:rPr>
                <w:rFonts w:cs="Arial"/>
              </w:rPr>
              <w:t xml:space="preserve">to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ListParagraph"/>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14312810" w:rsidR="00B133CF" w:rsidRPr="00264C8B" w:rsidRDefault="00264C8B" w:rsidP="00264C8B">
            <w:pPr>
              <w:pStyle w:val="ListParagraph"/>
              <w:numPr>
                <w:ilvl w:val="0"/>
                <w:numId w:val="26"/>
              </w:numPr>
              <w:rPr>
                <w:rFonts w:cs="Arial"/>
              </w:rPr>
            </w:pPr>
            <w:r w:rsidRPr="00264C8B">
              <w:rPr>
                <w:rFonts w:cs="Arial"/>
              </w:rPr>
              <w:t>A</w:t>
            </w:r>
            <w:r w:rsidR="002A4683" w:rsidRPr="00264C8B">
              <w:rPr>
                <w:rFonts w:cs="Arial"/>
              </w:rPr>
              <w:t>lso like Nokia commented, we can extend MRB ID space beyond 32 limit and up</w:t>
            </w:r>
            <w:r w:rsidR="0099014A">
              <w:rPr>
                <w:rFonts w:cs="Arial"/>
              </w:rPr>
              <w:t xml:space="preserve"> </w:t>
            </w:r>
            <w:r w:rsidR="002A4683" w:rsidRPr="00264C8B">
              <w:rPr>
                <w:rFonts w:cs="Arial"/>
              </w:rPr>
              <w:t>to 256</w:t>
            </w:r>
            <w:r w:rsidRPr="00264C8B">
              <w:rPr>
                <w:rFonts w:cs="Arial"/>
              </w:rPr>
              <w:t xml:space="preserve"> or 512</w:t>
            </w:r>
            <w:r w:rsidR="002A4683" w:rsidRPr="00264C8B">
              <w:rPr>
                <w:rFonts w:cs="Arial"/>
              </w:rPr>
              <w:t xml:space="preserve">. </w:t>
            </w:r>
          </w:p>
        </w:tc>
      </w:tr>
      <w:tr w:rsidR="00116B77" w14:paraId="6017DED1" w14:textId="77777777" w:rsidTr="00536C39">
        <w:tc>
          <w:tcPr>
            <w:tcW w:w="1193" w:type="dxa"/>
          </w:tcPr>
          <w:p w14:paraId="12B4E5DC" w14:textId="641184CB" w:rsidR="00116B77" w:rsidRDefault="00116B77" w:rsidP="00116B77">
            <w:pPr>
              <w:rPr>
                <w:rFonts w:cs="Arial"/>
              </w:rPr>
            </w:pPr>
            <w:r>
              <w:rPr>
                <w:rFonts w:cs="Arial" w:hint="eastAsia"/>
                <w:lang w:eastAsia="zh-CN"/>
              </w:rPr>
              <w:t>TCL Communication Ltd.</w:t>
            </w:r>
          </w:p>
        </w:tc>
        <w:tc>
          <w:tcPr>
            <w:tcW w:w="929" w:type="dxa"/>
          </w:tcPr>
          <w:p w14:paraId="40E2DB20" w14:textId="2BEE79B2" w:rsidR="00116B77" w:rsidRDefault="00116B77" w:rsidP="00116B77">
            <w:pPr>
              <w:rPr>
                <w:rFonts w:cs="Arial"/>
              </w:rPr>
            </w:pPr>
          </w:p>
        </w:tc>
        <w:tc>
          <w:tcPr>
            <w:tcW w:w="7509" w:type="dxa"/>
          </w:tcPr>
          <w:p w14:paraId="59FD28EC" w14:textId="383A8450" w:rsidR="00116B77" w:rsidRDefault="00D1024F" w:rsidP="00465362">
            <w:pPr>
              <w:rPr>
                <w:rFonts w:cs="Arial"/>
              </w:rPr>
            </w:pPr>
            <w:r>
              <w:rPr>
                <w:rFonts w:cs="Arial"/>
              </w:rPr>
              <w:t xml:space="preserve">We are OK with </w:t>
            </w:r>
            <w:r w:rsidR="00705057">
              <w:rPr>
                <w:rFonts w:cs="Arial"/>
              </w:rPr>
              <w:t xml:space="preserve">both </w:t>
            </w:r>
            <w:r>
              <w:rPr>
                <w:rFonts w:cs="Arial"/>
              </w:rPr>
              <w:t xml:space="preserve">separate DRB/MRB ID spaces as well as </w:t>
            </w:r>
            <w:r w:rsidRPr="00264C8B">
              <w:rPr>
                <w:rFonts w:cs="Arial"/>
              </w:rPr>
              <w:t>extend</w:t>
            </w:r>
            <w:r>
              <w:rPr>
                <w:rFonts w:cs="Arial"/>
              </w:rPr>
              <w:t>ing MRB ID space beyond 32.</w:t>
            </w: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4C8D96EF" w14:textId="17D28158" w:rsidR="00AC5BE2" w:rsidRDefault="00AC5BE2" w:rsidP="00AC5BE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lastRenderedPageBreak/>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w:t>
      </w:r>
      <w:proofErr w:type="spellStart"/>
      <w:r w:rsidRPr="00FE1535">
        <w:rPr>
          <w:rFonts w:cs="Arial"/>
          <w:b/>
          <w:bCs/>
        </w:rPr>
        <w:t>SCell</w:t>
      </w:r>
      <w:proofErr w:type="spellEnd"/>
      <w:r w:rsidRPr="00FE1535">
        <w:rPr>
          <w:rFonts w:cs="Arial"/>
          <w:b/>
          <w:bCs/>
        </w:rPr>
        <w:t xml:space="preserve">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606"/>
        <w:gridCol w:w="1876"/>
        <w:gridCol w:w="6149"/>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ListParagraph"/>
              <w:numPr>
                <w:ilvl w:val="0"/>
                <w:numId w:val="27"/>
              </w:numPr>
              <w:rPr>
                <w:rFonts w:cs="Arial"/>
              </w:rPr>
            </w:pPr>
            <w:r>
              <w:rPr>
                <w:rFonts w:cs="Arial"/>
              </w:rPr>
              <w:t>Yes</w:t>
            </w:r>
          </w:p>
          <w:p w14:paraId="78EE7F60" w14:textId="536F297F" w:rsidR="00264C8B" w:rsidRPr="00264C8B" w:rsidRDefault="00515F6C" w:rsidP="00264C8B">
            <w:pPr>
              <w:pStyle w:val="ListParagraph"/>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AC5BE2" w14:paraId="35429E53" w14:textId="77777777" w:rsidTr="00FE1535">
        <w:tc>
          <w:tcPr>
            <w:tcW w:w="1193" w:type="dxa"/>
          </w:tcPr>
          <w:p w14:paraId="0066DEF5" w14:textId="595544DB" w:rsidR="00AC5BE2" w:rsidRDefault="00D1024F" w:rsidP="007740FD">
            <w:pPr>
              <w:rPr>
                <w:rFonts w:cs="Arial"/>
              </w:rPr>
            </w:pPr>
            <w:r>
              <w:rPr>
                <w:rFonts w:cs="Arial" w:hint="eastAsia"/>
                <w:lang w:eastAsia="zh-CN"/>
              </w:rPr>
              <w:t>TCL Communication Ltd.</w:t>
            </w:r>
          </w:p>
        </w:tc>
        <w:tc>
          <w:tcPr>
            <w:tcW w:w="1921" w:type="dxa"/>
          </w:tcPr>
          <w:p w14:paraId="0B8A3EE4" w14:textId="4D7C8E6D" w:rsidR="00AC5BE2" w:rsidRDefault="009E7C18" w:rsidP="007740FD">
            <w:pPr>
              <w:rPr>
                <w:rFonts w:cs="Arial"/>
              </w:rPr>
            </w:pPr>
            <w:r w:rsidRPr="001D503A">
              <w:rPr>
                <w:rFonts w:cs="Arial"/>
              </w:rPr>
              <w:t>No strong view</w:t>
            </w:r>
          </w:p>
        </w:tc>
        <w:tc>
          <w:tcPr>
            <w:tcW w:w="6517" w:type="dxa"/>
          </w:tcPr>
          <w:p w14:paraId="05840864" w14:textId="2CB08926" w:rsidR="00AC5BE2" w:rsidRDefault="00AC5BE2" w:rsidP="007740FD">
            <w:pPr>
              <w:rPr>
                <w:rFonts w:cs="Arial"/>
              </w:rPr>
            </w:pP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075A" w14:textId="77777777" w:rsidR="00A56681" w:rsidRDefault="00A56681">
      <w:r>
        <w:separator/>
      </w:r>
    </w:p>
  </w:endnote>
  <w:endnote w:type="continuationSeparator" w:id="0">
    <w:p w14:paraId="238FB0C5" w14:textId="77777777" w:rsidR="00A56681" w:rsidRDefault="00A5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75C9" w14:textId="77777777" w:rsidR="00A56681" w:rsidRDefault="00A56681">
      <w:r>
        <w:separator/>
      </w:r>
    </w:p>
  </w:footnote>
  <w:footnote w:type="continuationSeparator" w:id="0">
    <w:p w14:paraId="0C66CAF5" w14:textId="77777777" w:rsidR="00A56681" w:rsidRDefault="00A5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6"/>
  </w:num>
  <w:num w:numId="3">
    <w:abstractNumId w:val="5"/>
  </w:num>
  <w:num w:numId="4">
    <w:abstractNumId w:val="13"/>
  </w:num>
  <w:num w:numId="5">
    <w:abstractNumId w:val="12"/>
  </w:num>
  <w:num w:numId="6">
    <w:abstractNumId w:val="10"/>
  </w:num>
  <w:num w:numId="7">
    <w:abstractNumId w:val="17"/>
  </w:num>
  <w:num w:numId="8">
    <w:abstractNumId w:val="4"/>
  </w:num>
  <w:num w:numId="9">
    <w:abstractNumId w:val="3"/>
  </w:num>
  <w:num w:numId="10">
    <w:abstractNumId w:val="8"/>
  </w:num>
  <w:num w:numId="11">
    <w:abstractNumId w:val="2"/>
  </w:num>
  <w:num w:numId="12">
    <w:abstractNumId w:val="1"/>
  </w:num>
  <w:num w:numId="13">
    <w:abstractNumId w:val="1"/>
  </w:num>
  <w:num w:numId="14">
    <w:abstractNumId w:val="1"/>
  </w:num>
  <w:num w:numId="15">
    <w:abstractNumId w:val="1"/>
  </w:num>
  <w:num w:numId="16">
    <w:abstractNumId w:val="1"/>
  </w:num>
  <w:num w:numId="17">
    <w:abstractNumId w:val="6"/>
  </w:num>
  <w:num w:numId="18">
    <w:abstractNumId w:val="13"/>
  </w:num>
  <w:num w:numId="19">
    <w:abstractNumId w:val="11"/>
  </w:num>
  <w:num w:numId="20">
    <w:abstractNumId w:val="13"/>
  </w:num>
  <w:num w:numId="21">
    <w:abstractNumId w:val="18"/>
  </w:num>
  <w:num w:numId="22">
    <w:abstractNumId w:val="19"/>
  </w:num>
  <w:num w:numId="23">
    <w:abstractNumId w:val="14"/>
  </w:num>
  <w:num w:numId="24">
    <w:abstractNumId w:val="15"/>
  </w:num>
  <w:num w:numId="25">
    <w:abstractNumId w:val="9"/>
  </w:num>
  <w:num w:numId="26">
    <w:abstractNumId w:val="0"/>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6C25"/>
    <w:rsid w:val="000676BC"/>
    <w:rsid w:val="00067CF5"/>
    <w:rsid w:val="0007199C"/>
    <w:rsid w:val="000733A5"/>
    <w:rsid w:val="00073649"/>
    <w:rsid w:val="00074224"/>
    <w:rsid w:val="00074A29"/>
    <w:rsid w:val="00075FA2"/>
    <w:rsid w:val="00076998"/>
    <w:rsid w:val="00080179"/>
    <w:rsid w:val="00080512"/>
    <w:rsid w:val="0008064B"/>
    <w:rsid w:val="00080BE0"/>
    <w:rsid w:val="00081D1F"/>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6B77"/>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0D3"/>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AA8"/>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362"/>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C39"/>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5057"/>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D54"/>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3CE2"/>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7B0"/>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3210"/>
    <w:rsid w:val="0097477A"/>
    <w:rsid w:val="00975345"/>
    <w:rsid w:val="00975B9B"/>
    <w:rsid w:val="00977568"/>
    <w:rsid w:val="009778FE"/>
    <w:rsid w:val="00977B9A"/>
    <w:rsid w:val="00980682"/>
    <w:rsid w:val="00982033"/>
    <w:rsid w:val="00982B95"/>
    <w:rsid w:val="009858F6"/>
    <w:rsid w:val="00986759"/>
    <w:rsid w:val="00990130"/>
    <w:rsid w:val="0099014A"/>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C18"/>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681"/>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4F"/>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17D0"/>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5.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6.xml><?xml version="1.0" encoding="utf-8"?>
<ds:datastoreItem xmlns:ds="http://schemas.openxmlformats.org/officeDocument/2006/customXml" ds:itemID="{6B608A11-7439-4878-8ED8-CBEB5305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8</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TCL</cp:lastModifiedBy>
  <cp:revision>2</cp:revision>
  <cp:lastPrinted>2016-01-11T02:35:00Z</cp:lastPrinted>
  <dcterms:created xsi:type="dcterms:W3CDTF">2022-02-23T02:35:00Z</dcterms:created>
  <dcterms:modified xsi:type="dcterms:W3CDTF">2022-02-23T02:35:00Z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