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w:t>
      </w:r>
      <w:proofErr w:type="spellStart"/>
      <w:r>
        <w:t>RedCap</w:t>
      </w:r>
      <w:proofErr w:type="spellEnd"/>
      <w:r>
        <w:t xml:space="preserve">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 xml:space="preserve">Noam </w:t>
            </w:r>
            <w:proofErr w:type="spellStart"/>
            <w:r>
              <w:rPr>
                <w:sz w:val="20"/>
                <w:szCs w:val="20"/>
                <w:lang w:eastAsia="zh-CN"/>
              </w:rPr>
              <w:t>Cayron</w:t>
            </w:r>
            <w:proofErr w:type="spellEnd"/>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lastRenderedPageBreak/>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77777777" w:rsidR="00E854CF" w:rsidRDefault="00E854CF" w:rsidP="00E854CF">
            <w:pPr>
              <w:spacing w:after="0"/>
              <w:rPr>
                <w:sz w:val="20"/>
                <w:szCs w:val="20"/>
                <w:lang w:eastAsia="zh-CN"/>
              </w:rPr>
            </w:pPr>
          </w:p>
        </w:tc>
        <w:tc>
          <w:tcPr>
            <w:tcW w:w="2648" w:type="dxa"/>
          </w:tcPr>
          <w:p w14:paraId="5C828EE4" w14:textId="77777777" w:rsidR="00E854CF" w:rsidRDefault="00E854CF" w:rsidP="00E854CF">
            <w:pPr>
              <w:spacing w:after="0"/>
              <w:rPr>
                <w:sz w:val="20"/>
                <w:szCs w:val="20"/>
                <w:lang w:eastAsia="zh-CN"/>
              </w:rPr>
            </w:pPr>
          </w:p>
        </w:tc>
        <w:tc>
          <w:tcPr>
            <w:tcW w:w="4843" w:type="dxa"/>
          </w:tcPr>
          <w:p w14:paraId="17B097D3" w14:textId="77777777" w:rsidR="00E854CF" w:rsidRDefault="00E854CF" w:rsidP="00E854CF">
            <w:pPr>
              <w:spacing w:after="0"/>
              <w:rPr>
                <w:sz w:val="20"/>
                <w:szCs w:val="20"/>
                <w:lang w:eastAsia="zh-CN"/>
              </w:rPr>
            </w:pPr>
          </w:p>
        </w:tc>
      </w:tr>
      <w:tr w:rsidR="00E854CF" w14:paraId="37C334C3" w14:textId="77777777" w:rsidTr="008524D0">
        <w:tc>
          <w:tcPr>
            <w:tcW w:w="1746" w:type="dxa"/>
          </w:tcPr>
          <w:p w14:paraId="2FCF844B" w14:textId="77777777" w:rsidR="00E854CF" w:rsidRDefault="00E854CF" w:rsidP="00E854CF">
            <w:pPr>
              <w:spacing w:after="0"/>
              <w:rPr>
                <w:sz w:val="20"/>
                <w:szCs w:val="20"/>
                <w:lang w:eastAsia="zh-CN"/>
              </w:rPr>
            </w:pPr>
          </w:p>
        </w:tc>
        <w:tc>
          <w:tcPr>
            <w:tcW w:w="2648" w:type="dxa"/>
          </w:tcPr>
          <w:p w14:paraId="4712F14F" w14:textId="77777777" w:rsidR="00E854CF" w:rsidRDefault="00E854CF" w:rsidP="00E854CF">
            <w:pPr>
              <w:spacing w:after="0"/>
              <w:rPr>
                <w:sz w:val="20"/>
                <w:szCs w:val="20"/>
                <w:lang w:eastAsia="zh-CN"/>
              </w:rPr>
            </w:pPr>
          </w:p>
        </w:tc>
        <w:tc>
          <w:tcPr>
            <w:tcW w:w="4843" w:type="dxa"/>
          </w:tcPr>
          <w:p w14:paraId="3CC04927" w14:textId="77777777" w:rsidR="00E854CF" w:rsidRDefault="00E854CF" w:rsidP="00E854CF">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795A4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795A4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795A4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795A4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795A4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795A4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795A48">
        <w:tc>
          <w:tcPr>
            <w:tcW w:w="1839"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r w:rsidR="00794FB7" w14:paraId="646B38F2" w14:textId="77777777" w:rsidTr="00795A48">
        <w:tc>
          <w:tcPr>
            <w:tcW w:w="1839"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71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684" w:type="dxa"/>
          </w:tcPr>
          <w:p w14:paraId="6EBD04BA" w14:textId="77777777" w:rsidR="00794FB7" w:rsidRDefault="00794FB7" w:rsidP="00682C8E">
            <w:pPr>
              <w:spacing w:after="0"/>
              <w:rPr>
                <w:sz w:val="20"/>
                <w:szCs w:val="20"/>
                <w:lang w:eastAsia="zh-CN"/>
              </w:rPr>
            </w:pPr>
          </w:p>
        </w:tc>
      </w:tr>
      <w:tr w:rsidR="005254A4" w14:paraId="311267FD" w14:textId="77777777" w:rsidTr="00795A48">
        <w:tc>
          <w:tcPr>
            <w:tcW w:w="1839"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71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684"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r w:rsidR="00D67A6E" w14:paraId="2CCA1A82" w14:textId="77777777" w:rsidTr="00795A48">
        <w:tc>
          <w:tcPr>
            <w:tcW w:w="1839"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71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684"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795A48">
        <w:tc>
          <w:tcPr>
            <w:tcW w:w="1839"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71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684"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795A48">
        <w:tc>
          <w:tcPr>
            <w:tcW w:w="1839"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71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684"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795A48">
        <w:tc>
          <w:tcPr>
            <w:tcW w:w="1839"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714" w:type="dxa"/>
          </w:tcPr>
          <w:p w14:paraId="47B782B2" w14:textId="502772EA" w:rsidR="00DF588E" w:rsidRDefault="00DF588E" w:rsidP="00DF588E">
            <w:pPr>
              <w:spacing w:after="0"/>
              <w:rPr>
                <w:sz w:val="20"/>
                <w:szCs w:val="20"/>
                <w:lang w:eastAsia="zh-CN"/>
              </w:rPr>
            </w:pPr>
            <w:r>
              <w:rPr>
                <w:lang w:eastAsia="zh-CN"/>
              </w:rPr>
              <w:t>Mandatory</w:t>
            </w:r>
          </w:p>
        </w:tc>
        <w:tc>
          <w:tcPr>
            <w:tcW w:w="5684"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w:t>
            </w:r>
            <w:proofErr w:type="spellStart"/>
            <w:r>
              <w:rPr>
                <w:lang w:eastAsia="zh-CN"/>
              </w:rPr>
              <w:t>RedCap</w:t>
            </w:r>
            <w:proofErr w:type="spellEnd"/>
            <w:r>
              <w:rPr>
                <w:lang w:eastAsia="zh-CN"/>
              </w:rPr>
              <w:t xml:space="preserve"> without considering any changes related to managing NCRTs in any type of deployment</w:t>
            </w:r>
            <w:r w:rsidR="00DA4F4C">
              <w:rPr>
                <w:lang w:eastAsia="zh-CN"/>
              </w:rPr>
              <w:t xml:space="preserve"> (e.g. NPN which could contain only/a lot of </w:t>
            </w:r>
            <w:proofErr w:type="spellStart"/>
            <w:r w:rsidR="00DA4F4C">
              <w:rPr>
                <w:lang w:eastAsia="zh-CN"/>
              </w:rPr>
              <w:t>RedCap</w:t>
            </w:r>
            <w:proofErr w:type="spellEnd"/>
            <w:r w:rsidR="00DA4F4C">
              <w:rPr>
                <w:lang w:eastAsia="zh-CN"/>
              </w:rPr>
              <w:t xml:space="preserve"> UEs)</w:t>
            </w:r>
            <w:r>
              <w:rPr>
                <w:lang w:eastAsia="zh-CN"/>
              </w:rPr>
              <w:t xml:space="preserve">. </w:t>
            </w:r>
          </w:p>
        </w:tc>
      </w:tr>
      <w:tr w:rsidR="00795A48" w:rsidRPr="00742AB1" w14:paraId="483874A1" w14:textId="77777777" w:rsidTr="00795A48">
        <w:tc>
          <w:tcPr>
            <w:tcW w:w="1839" w:type="dxa"/>
          </w:tcPr>
          <w:p w14:paraId="1EE9A67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714" w:type="dxa"/>
          </w:tcPr>
          <w:p w14:paraId="04A31E9D"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684" w:type="dxa"/>
          </w:tcPr>
          <w:p w14:paraId="00DA0D2F" w14:textId="77777777" w:rsidR="00795A48" w:rsidRPr="00742AB1" w:rsidRDefault="00795A48" w:rsidP="008604F5">
            <w:pPr>
              <w:spacing w:after="0"/>
              <w:rPr>
                <w:sz w:val="20"/>
                <w:szCs w:val="20"/>
                <w:lang w:eastAsia="ja-JP"/>
              </w:rPr>
            </w:pPr>
          </w:p>
        </w:tc>
      </w:tr>
      <w:tr w:rsidR="00910509" w:rsidRPr="00742AB1" w14:paraId="1A4ADD2B" w14:textId="77777777" w:rsidTr="00795A48">
        <w:tc>
          <w:tcPr>
            <w:tcW w:w="1839"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71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684"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795A48">
        <w:tc>
          <w:tcPr>
            <w:tcW w:w="1839"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71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684" w:type="dxa"/>
          </w:tcPr>
          <w:p w14:paraId="4F73706C" w14:textId="77777777" w:rsidR="00D6480D" w:rsidRPr="00742AB1" w:rsidRDefault="00D6480D" w:rsidP="00910509">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lastRenderedPageBreak/>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795A48">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795A48">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795A48">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795A48">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795A48">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795A48">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795A48">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795A48">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795A48">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r w:rsidR="00D67A6E" w14:paraId="5E4C8E53" w14:textId="77777777" w:rsidTr="00795A48">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795A48">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795A48">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795A48">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795A48">
        <w:tc>
          <w:tcPr>
            <w:tcW w:w="1896" w:type="dxa"/>
          </w:tcPr>
          <w:p w14:paraId="169FEFC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8604F5">
            <w:pPr>
              <w:spacing w:after="0"/>
              <w:rPr>
                <w:sz w:val="20"/>
                <w:szCs w:val="20"/>
                <w:lang w:eastAsia="zh-CN"/>
              </w:rPr>
            </w:pPr>
          </w:p>
        </w:tc>
      </w:tr>
      <w:tr w:rsidR="005D1CB2" w:rsidRPr="00742AB1" w14:paraId="75A03051" w14:textId="77777777" w:rsidTr="00795A48">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795A48">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795A48">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795A48">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795A48">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795A48">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795A48">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795A48">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795A48">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795A48">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w:t>
            </w:r>
            <w:r w:rsidR="00794FB7">
              <w:rPr>
                <w:rFonts w:hint="eastAsia"/>
                <w:sz w:val="20"/>
                <w:szCs w:val="20"/>
                <w:lang w:eastAsia="zh-CN"/>
              </w:rPr>
              <w:lastRenderedPageBreak/>
              <w:t xml:space="preserve">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795A48">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795A48">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795A48">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795A48">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795A48">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 xml:space="preserve">The network needs to unambiguously know whether the UE is a </w:t>
            </w:r>
            <w:proofErr w:type="spellStart"/>
            <w:r w:rsidRPr="001B13BB">
              <w:rPr>
                <w:lang w:eastAsia="zh-CN"/>
              </w:rPr>
              <w:t>RedCap</w:t>
            </w:r>
            <w:proofErr w:type="spellEnd"/>
            <w:r w:rsidRPr="001B13BB">
              <w:rPr>
                <w:lang w:eastAsia="zh-CN"/>
              </w:rPr>
              <w:t xml:space="preserve"> or a non-</w:t>
            </w:r>
            <w:proofErr w:type="spellStart"/>
            <w:r w:rsidRPr="001B13BB">
              <w:rPr>
                <w:lang w:eastAsia="zh-CN"/>
              </w:rPr>
              <w:t>RedCap</w:t>
            </w:r>
            <w:proofErr w:type="spellEnd"/>
            <w:r w:rsidRPr="001B13BB">
              <w:rPr>
                <w:lang w:eastAsia="zh-CN"/>
              </w:rPr>
              <w:t xml:space="preserve">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795A48">
        <w:tc>
          <w:tcPr>
            <w:tcW w:w="1871" w:type="dxa"/>
          </w:tcPr>
          <w:p w14:paraId="024F59A8" w14:textId="1518D206" w:rsidR="00795A48" w:rsidRDefault="00D6480D" w:rsidP="008604F5">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8604F5">
            <w:pPr>
              <w:spacing w:after="0"/>
              <w:rPr>
                <w:sz w:val="20"/>
                <w:szCs w:val="20"/>
                <w:lang w:eastAsia="zh-CN"/>
              </w:rPr>
            </w:pPr>
            <w:r>
              <w:rPr>
                <w:sz w:val="20"/>
                <w:szCs w:val="20"/>
                <w:lang w:eastAsia="zh-CN"/>
              </w:rPr>
              <w:t xml:space="preserve">We agree to confirm RAN1 agreement to introduce explicit bit to indicate the support of </w:t>
            </w:r>
            <w:proofErr w:type="spellStart"/>
            <w:r>
              <w:rPr>
                <w:sz w:val="20"/>
                <w:szCs w:val="20"/>
                <w:lang w:eastAsia="zh-CN"/>
              </w:rPr>
              <w:t>RedCap</w:t>
            </w:r>
            <w:proofErr w:type="spellEnd"/>
            <w:r>
              <w:rPr>
                <w:sz w:val="20"/>
                <w:szCs w:val="20"/>
                <w:lang w:eastAsia="zh-CN"/>
              </w:rPr>
              <w:t>. Besides, we think this capability should be per-band/BC basis. Otherwise, as mentioned by CATT, this per-UE indication is not needed.</w:t>
            </w:r>
          </w:p>
        </w:tc>
      </w:tr>
      <w:tr w:rsidR="006F7272" w14:paraId="5002016B" w14:textId="77777777" w:rsidTr="00795A48">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795A48">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rsidR="00D6480D">
              <w:t>’</w:t>
            </w:r>
            <w:r>
              <w:t xml:space="preserve">, i.e. “Early indication of </w:t>
            </w:r>
            <w:proofErr w:type="spellStart"/>
            <w:r>
              <w:t>RedCap</w:t>
            </w:r>
            <w:proofErr w:type="spellEnd"/>
            <w:r>
              <w:t xml:space="preserve">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00D6480D">
              <w:rPr>
                <w:b/>
                <w:bCs/>
              </w:rPr>
              <w:t>‘</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795A48">
        <w:tc>
          <w:tcPr>
            <w:tcW w:w="2011"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4"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90"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95A48">
        <w:tc>
          <w:tcPr>
            <w:tcW w:w="2011"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4" w:type="dxa"/>
          </w:tcPr>
          <w:p w14:paraId="7F3CA817" w14:textId="217417ED" w:rsidR="00740A51" w:rsidRDefault="00CF7F3D" w:rsidP="00740A51">
            <w:pPr>
              <w:spacing w:after="0"/>
              <w:rPr>
                <w:lang w:eastAsia="zh-CN"/>
              </w:rPr>
            </w:pPr>
            <w:r>
              <w:rPr>
                <w:lang w:eastAsia="zh-CN"/>
              </w:rPr>
              <w:t>-</w:t>
            </w:r>
          </w:p>
        </w:tc>
        <w:tc>
          <w:tcPr>
            <w:tcW w:w="6390"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95A48">
        <w:tc>
          <w:tcPr>
            <w:tcW w:w="2011"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924"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90"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95A48">
        <w:tc>
          <w:tcPr>
            <w:tcW w:w="2011"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4" w:type="dxa"/>
          </w:tcPr>
          <w:p w14:paraId="56E028D9" w14:textId="77777777" w:rsidR="00FC1ECD" w:rsidRDefault="00FC1ECD" w:rsidP="00FC1ECD">
            <w:pPr>
              <w:spacing w:after="0"/>
              <w:rPr>
                <w:sz w:val="20"/>
                <w:szCs w:val="20"/>
                <w:lang w:val="en-GB" w:eastAsia="zh-CN"/>
              </w:rPr>
            </w:pPr>
          </w:p>
        </w:tc>
        <w:tc>
          <w:tcPr>
            <w:tcW w:w="6390"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795A48">
        <w:tc>
          <w:tcPr>
            <w:tcW w:w="2011"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924"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90"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795A48">
        <w:tc>
          <w:tcPr>
            <w:tcW w:w="2011" w:type="dxa"/>
          </w:tcPr>
          <w:p w14:paraId="440B450C" w14:textId="1042BECB" w:rsidR="00682C8E" w:rsidRDefault="00BC6F70" w:rsidP="00014B7C">
            <w:pPr>
              <w:spacing w:after="0"/>
              <w:rPr>
                <w:sz w:val="20"/>
                <w:szCs w:val="20"/>
                <w:lang w:eastAsia="zh-CN"/>
              </w:rPr>
            </w:pPr>
            <w:proofErr w:type="spellStart"/>
            <w:r>
              <w:rPr>
                <w:sz w:val="20"/>
                <w:szCs w:val="20"/>
                <w:lang w:eastAsia="zh-CN"/>
              </w:rPr>
              <w:lastRenderedPageBreak/>
              <w:t>Futurewei</w:t>
            </w:r>
            <w:proofErr w:type="spellEnd"/>
          </w:p>
        </w:tc>
        <w:tc>
          <w:tcPr>
            <w:tcW w:w="924" w:type="dxa"/>
          </w:tcPr>
          <w:p w14:paraId="7F64AD01" w14:textId="3E3E699A" w:rsidR="00682C8E" w:rsidRDefault="00862A25" w:rsidP="00014B7C">
            <w:pPr>
              <w:spacing w:after="0"/>
              <w:rPr>
                <w:sz w:val="20"/>
                <w:szCs w:val="20"/>
                <w:lang w:eastAsia="zh-CN"/>
              </w:rPr>
            </w:pPr>
            <w:r>
              <w:rPr>
                <w:sz w:val="20"/>
                <w:szCs w:val="20"/>
                <w:lang w:eastAsia="zh-CN"/>
              </w:rPr>
              <w:t>-</w:t>
            </w:r>
          </w:p>
        </w:tc>
        <w:tc>
          <w:tcPr>
            <w:tcW w:w="6390"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795A48">
        <w:tc>
          <w:tcPr>
            <w:tcW w:w="2011"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924"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390"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795A48">
        <w:tc>
          <w:tcPr>
            <w:tcW w:w="2011"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924" w:type="dxa"/>
          </w:tcPr>
          <w:p w14:paraId="06E41D04" w14:textId="77777777" w:rsidR="005254A4" w:rsidRDefault="005254A4" w:rsidP="005254A4">
            <w:pPr>
              <w:spacing w:after="0"/>
              <w:rPr>
                <w:sz w:val="20"/>
                <w:szCs w:val="20"/>
                <w:lang w:eastAsia="zh-CN"/>
              </w:rPr>
            </w:pPr>
          </w:p>
        </w:tc>
        <w:tc>
          <w:tcPr>
            <w:tcW w:w="6390"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795A48">
        <w:tc>
          <w:tcPr>
            <w:tcW w:w="2011"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924"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390"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 xml:space="preserve">Support of early indication doesn’t need to be captured in 4.2.xx. The section presents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is, not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does.</w:t>
            </w:r>
          </w:p>
        </w:tc>
      </w:tr>
      <w:tr w:rsidR="00392B8C" w14:paraId="2307C4E1" w14:textId="77777777" w:rsidTr="00795A48">
        <w:tc>
          <w:tcPr>
            <w:tcW w:w="2011"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924"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390"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 xml:space="preserve">4.2.xx </w:t>
            </w:r>
            <w:proofErr w:type="spellStart"/>
            <w:r w:rsidRPr="006B59E6">
              <w:rPr>
                <w:rFonts w:ascii="Arial" w:hAnsi="Arial" w:cs="Arial"/>
                <w:sz w:val="20"/>
                <w:szCs w:val="20"/>
                <w:lang w:eastAsia="zh-CN"/>
              </w:rPr>
              <w:t>RedCap</w:t>
            </w:r>
            <w:proofErr w:type="spellEnd"/>
            <w:r w:rsidRPr="006B59E6">
              <w:rPr>
                <w:rFonts w:ascii="Arial" w:hAnsi="Arial" w:cs="Arial"/>
                <w:sz w:val="20"/>
                <w:szCs w:val="20"/>
                <w:lang w:eastAsia="zh-CN"/>
              </w:rPr>
              <w:t xml:space="preserve"> Parameters</w:t>
            </w:r>
          </w:p>
          <w:p w14:paraId="48F88F05" w14:textId="77777777" w:rsidR="00392B8C" w:rsidRDefault="00392B8C" w:rsidP="00392B8C">
            <w:pPr>
              <w:spacing w:after="0"/>
              <w:rPr>
                <w:sz w:val="20"/>
                <w:szCs w:val="20"/>
                <w:lang w:eastAsia="zh-CN"/>
              </w:rPr>
            </w:pPr>
            <w:proofErr w:type="spellStart"/>
            <w:r>
              <w:rPr>
                <w:rFonts w:hint="eastAsia"/>
                <w:sz w:val="20"/>
                <w:szCs w:val="20"/>
                <w:lang w:eastAsia="zh-CN"/>
              </w:rPr>
              <w:t>R</w:t>
            </w:r>
            <w:r>
              <w:rPr>
                <w:sz w:val="20"/>
                <w:szCs w:val="20"/>
                <w:lang w:eastAsia="zh-CN"/>
              </w:rPr>
              <w:t>edCap</w:t>
            </w:r>
            <w:proofErr w:type="spellEnd"/>
            <w:r>
              <w:rPr>
                <w:sz w:val="20"/>
                <w:szCs w:val="20"/>
                <w:lang w:eastAsia="zh-CN"/>
              </w:rPr>
              <w:t xml:space="preserve">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proofErr w:type="spellStart"/>
            <w:r w:rsidRPr="006B59E6">
              <w:rPr>
                <w:rFonts w:hint="eastAsia"/>
                <w:color w:val="FF0000"/>
                <w:sz w:val="20"/>
                <w:szCs w:val="20"/>
                <w:u w:val="single"/>
                <w:lang w:eastAsia="zh-CN"/>
              </w:rPr>
              <w:t>R</w:t>
            </w:r>
            <w:r w:rsidRPr="006B59E6">
              <w:rPr>
                <w:color w:val="FF0000"/>
                <w:sz w:val="20"/>
                <w:szCs w:val="20"/>
                <w:u w:val="single"/>
                <w:lang w:eastAsia="zh-CN"/>
              </w:rPr>
              <w:t>edCap</w:t>
            </w:r>
            <w:proofErr w:type="spellEnd"/>
            <w:r w:rsidRPr="006B59E6">
              <w:rPr>
                <w:color w:val="FF0000"/>
                <w:sz w:val="20"/>
                <w:szCs w:val="20"/>
                <w:u w:val="single"/>
                <w:lang w:eastAsia="zh-CN"/>
              </w:rPr>
              <w:t xml:space="preserve">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795A48">
        <w:tc>
          <w:tcPr>
            <w:tcW w:w="2011"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924" w:type="dxa"/>
          </w:tcPr>
          <w:p w14:paraId="3B4BFB9B" w14:textId="77777777" w:rsidR="00C2358F" w:rsidRDefault="00C2358F" w:rsidP="00392B8C">
            <w:pPr>
              <w:spacing w:after="0"/>
              <w:rPr>
                <w:sz w:val="20"/>
                <w:szCs w:val="20"/>
                <w:lang w:eastAsia="zh-CN"/>
              </w:rPr>
            </w:pPr>
          </w:p>
        </w:tc>
        <w:tc>
          <w:tcPr>
            <w:tcW w:w="6390"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795A48">
        <w:tc>
          <w:tcPr>
            <w:tcW w:w="2011"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924" w:type="dxa"/>
          </w:tcPr>
          <w:p w14:paraId="34E50E20" w14:textId="098CAEB3" w:rsidR="00B75352" w:rsidRDefault="00B75352" w:rsidP="00B75352">
            <w:pPr>
              <w:spacing w:after="0"/>
              <w:rPr>
                <w:sz w:val="20"/>
                <w:szCs w:val="20"/>
                <w:lang w:eastAsia="zh-CN"/>
              </w:rPr>
            </w:pPr>
            <w:r>
              <w:rPr>
                <w:lang w:eastAsia="zh-CN"/>
              </w:rPr>
              <w:t>Agree but</w:t>
            </w:r>
          </w:p>
        </w:tc>
        <w:tc>
          <w:tcPr>
            <w:tcW w:w="6390" w:type="dxa"/>
          </w:tcPr>
          <w:p w14:paraId="03EE76AD" w14:textId="738C30C0" w:rsidR="00B75352" w:rsidRDefault="00B75352" w:rsidP="00B75352">
            <w:pPr>
              <w:spacing w:after="0"/>
              <w:rPr>
                <w:lang w:eastAsia="zh-CN"/>
              </w:rPr>
            </w:pPr>
            <w:r>
              <w:rPr>
                <w:lang w:eastAsia="zh-CN"/>
              </w:rPr>
              <w:t xml:space="preserve">Also support for early Msg3 indication should be mandatory for </w:t>
            </w:r>
            <w:proofErr w:type="spellStart"/>
            <w:r>
              <w:rPr>
                <w:lang w:eastAsia="zh-CN"/>
              </w:rPr>
              <w:t>RedCap</w:t>
            </w:r>
            <w:proofErr w:type="spellEnd"/>
            <w:r>
              <w:rPr>
                <w:lang w:eastAsia="zh-CN"/>
              </w:rPr>
              <w:t xml:space="preserve">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proofErr w:type="spellStart"/>
            <w:r w:rsidRPr="004010DD">
              <w:rPr>
                <w:rFonts w:asciiTheme="minorHAnsi" w:hAnsiTheme="minorHAnsi" w:cstheme="minorHAnsi"/>
                <w:color w:val="FF0000"/>
                <w:lang w:val="en-US"/>
              </w:rPr>
              <w:t>RedCap</w:t>
            </w:r>
            <w:proofErr w:type="spellEnd"/>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795A48">
        <w:tc>
          <w:tcPr>
            <w:tcW w:w="2011" w:type="dxa"/>
          </w:tcPr>
          <w:p w14:paraId="548BB1D9" w14:textId="77777777" w:rsidR="00795A48" w:rsidRDefault="00795A48" w:rsidP="008604F5">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924" w:type="dxa"/>
          </w:tcPr>
          <w:p w14:paraId="0E32B976" w14:textId="77777777" w:rsidR="00795A48" w:rsidRDefault="00795A48" w:rsidP="008604F5">
            <w:pPr>
              <w:spacing w:after="0"/>
              <w:rPr>
                <w:rFonts w:eastAsia="Malgun Gothic"/>
                <w:sz w:val="20"/>
                <w:szCs w:val="20"/>
                <w:lang w:eastAsia="ko-KR"/>
              </w:rPr>
            </w:pPr>
          </w:p>
        </w:tc>
        <w:tc>
          <w:tcPr>
            <w:tcW w:w="6390" w:type="dxa"/>
          </w:tcPr>
          <w:p w14:paraId="4B019F5C" w14:textId="77777777" w:rsidR="00795A48" w:rsidRPr="00B26538" w:rsidRDefault="00795A48" w:rsidP="008604F5">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795A48">
        <w:tc>
          <w:tcPr>
            <w:tcW w:w="2011" w:type="dxa"/>
          </w:tcPr>
          <w:p w14:paraId="7F4ACAA6" w14:textId="79C45FE2" w:rsidR="00EF1D83" w:rsidRDefault="00EF1D83" w:rsidP="00EF1D83">
            <w:pPr>
              <w:spacing w:after="0"/>
              <w:rPr>
                <w:rFonts w:eastAsia="Malgun Gothic"/>
                <w:sz w:val="20"/>
                <w:szCs w:val="20"/>
                <w:lang w:eastAsia="zh-CN"/>
              </w:rPr>
            </w:pPr>
            <w:r>
              <w:rPr>
                <w:sz w:val="20"/>
                <w:szCs w:val="20"/>
                <w:lang w:eastAsia="zh-CN"/>
              </w:rPr>
              <w:t>Interdigital</w:t>
            </w:r>
          </w:p>
        </w:tc>
        <w:tc>
          <w:tcPr>
            <w:tcW w:w="924"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390"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t>he proposed</w:t>
            </w:r>
            <w:r>
              <w:rPr>
                <w:sz w:val="20"/>
                <w:szCs w:val="20"/>
                <w:lang w:eastAsia="zh-CN"/>
              </w:rPr>
              <w:t xml:space="preserve"> mandatory feature list and not applicable features. Support ZTE’s proposal above.</w:t>
            </w:r>
          </w:p>
        </w:tc>
      </w:tr>
      <w:tr w:rsidR="00D6480D" w:rsidRPr="00B26538" w14:paraId="277FF727" w14:textId="77777777" w:rsidTr="00D6480D">
        <w:trPr>
          <w:trHeight w:val="575"/>
        </w:trPr>
        <w:tc>
          <w:tcPr>
            <w:tcW w:w="2011"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924"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390"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w:t>
            </w:r>
            <w:proofErr w:type="spellStart"/>
            <w:r>
              <w:rPr>
                <w:sz w:val="20"/>
                <w:szCs w:val="20"/>
                <w:lang w:eastAsia="zh-CN"/>
              </w:rPr>
              <w:t>RedCap</w:t>
            </w:r>
            <w:proofErr w:type="spellEnd"/>
            <w:r>
              <w:rPr>
                <w:sz w:val="20"/>
                <w:szCs w:val="20"/>
                <w:lang w:eastAsia="zh-CN"/>
              </w:rPr>
              <w:t xml:space="preserve">, e.g. together </w:t>
            </w:r>
            <w:proofErr w:type="spellStart"/>
            <w:r>
              <w:rPr>
                <w:sz w:val="20"/>
                <w:szCs w:val="20"/>
                <w:lang w:eastAsia="zh-CN"/>
              </w:rPr>
              <w:t>RedCap</w:t>
            </w:r>
            <w:proofErr w:type="spellEnd"/>
            <w:r>
              <w:rPr>
                <w:sz w:val="20"/>
                <w:szCs w:val="20"/>
                <w:lang w:eastAsia="zh-CN"/>
              </w:rPr>
              <w:t xml:space="preserve">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lastRenderedPageBreak/>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795A48">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795A48">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795A48">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795A48">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795A48">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795A48">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795A48">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795A48">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795A48">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795A48">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795A48">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795A48">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795A48">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795A48">
        <w:tc>
          <w:tcPr>
            <w:tcW w:w="1867" w:type="dxa"/>
          </w:tcPr>
          <w:p w14:paraId="576AD162"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8604F5">
            <w:pPr>
              <w:spacing w:after="0"/>
              <w:rPr>
                <w:sz w:val="20"/>
                <w:szCs w:val="20"/>
                <w:lang w:eastAsia="zh-CN"/>
              </w:rPr>
            </w:pPr>
          </w:p>
        </w:tc>
      </w:tr>
      <w:tr w:rsidR="005D1A61" w14:paraId="64E0EC16" w14:textId="77777777" w:rsidTr="00795A48">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795A48">
        <w:tc>
          <w:tcPr>
            <w:tcW w:w="1867" w:type="dxa"/>
          </w:tcPr>
          <w:p w14:paraId="17979400" w14:textId="5AE3AAC1"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lastRenderedPageBreak/>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795A48">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795A48">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795A48">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795A48">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795A48">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795A48">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795A48">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795A48">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795A48">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795A48">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795A48">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lastRenderedPageBreak/>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795A48">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795A48">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795A48">
        <w:tc>
          <w:tcPr>
            <w:tcW w:w="1931" w:type="dxa"/>
          </w:tcPr>
          <w:p w14:paraId="6FA3FE14"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8604F5">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8604F5">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795A48">
        <w:tc>
          <w:tcPr>
            <w:tcW w:w="1931" w:type="dxa"/>
          </w:tcPr>
          <w:p w14:paraId="30D8306F" w14:textId="524A4B1C" w:rsidR="00B37CB4" w:rsidRDefault="00B37CB4" w:rsidP="008604F5">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8604F5">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795A48">
        <w:tc>
          <w:tcPr>
            <w:tcW w:w="1931" w:type="dxa"/>
          </w:tcPr>
          <w:p w14:paraId="080FDB7F" w14:textId="0400AF9D" w:rsidR="00D6480D" w:rsidRDefault="00D6480D" w:rsidP="008604F5">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8604F5">
            <w:pPr>
              <w:spacing w:after="0"/>
              <w:rPr>
                <w:rFonts w:eastAsia="Malgun Gothic"/>
                <w:sz w:val="20"/>
                <w:szCs w:val="20"/>
                <w:lang w:eastAsia="zh-CN" w:bidi="he-IL"/>
              </w:rPr>
            </w:pPr>
          </w:p>
        </w:tc>
        <w:tc>
          <w:tcPr>
            <w:tcW w:w="6161" w:type="dxa"/>
          </w:tcPr>
          <w:p w14:paraId="1B49E6CB" w14:textId="6F68F7DC" w:rsidR="00D6480D" w:rsidRDefault="00D6480D" w:rsidP="008604F5">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w:t>
            </w:r>
            <w:r w:rsidRPr="002C6435">
              <w:rPr>
                <w:lang w:val="en-US"/>
              </w:rPr>
              <w:lastRenderedPageBreak/>
              <w:t xml:space="preserve">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795A48">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795A48">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795A48">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795A48">
        <w:tc>
          <w:tcPr>
            <w:tcW w:w="1922"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795A48">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795A48">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795A48">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795A48">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795A48">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795A48">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795A48">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w:t>
            </w:r>
            <w:proofErr w:type="spellStart"/>
            <w:r>
              <w:rPr>
                <w:sz w:val="20"/>
                <w:szCs w:val="20"/>
                <w:lang w:eastAsia="zh-CN"/>
              </w:rPr>
              <w:t>RedCap</w:t>
            </w:r>
            <w:proofErr w:type="spellEnd"/>
            <w:r>
              <w:rPr>
                <w:sz w:val="20"/>
                <w:szCs w:val="20"/>
                <w:lang w:eastAsia="zh-CN"/>
              </w:rPr>
              <w:t xml:space="preserve"> UE can support, it does not emphasize the features that </w:t>
            </w:r>
            <w:proofErr w:type="spellStart"/>
            <w:r>
              <w:rPr>
                <w:sz w:val="20"/>
                <w:szCs w:val="20"/>
                <w:lang w:eastAsia="zh-CN"/>
              </w:rPr>
              <w:t>RedCap</w:t>
            </w:r>
            <w:proofErr w:type="spellEnd"/>
            <w:r>
              <w:rPr>
                <w:sz w:val="20"/>
                <w:szCs w:val="20"/>
                <w:lang w:eastAsia="zh-CN"/>
              </w:rPr>
              <w:t xml:space="preserve">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795A48">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795A48">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795A48">
        <w:tc>
          <w:tcPr>
            <w:tcW w:w="1922" w:type="dxa"/>
          </w:tcPr>
          <w:p w14:paraId="37D5EC7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8604F5">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795A48">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795A48">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maxNumberMIMO-LayersPDSCH</w:t>
      </w:r>
      <w:proofErr w:type="spellEnd"/>
      <w:r w:rsidR="00F93EFD" w:rsidRPr="0094341C">
        <w:rPr>
          <w:rFonts w:ascii="Times New Roman" w:hAnsi="Times New Roman" w:cs="Times New Roman"/>
          <w:b/>
          <w:bCs/>
          <w:sz w:val="20"/>
          <w:szCs w:val="20"/>
        </w:rPr>
        <w:t xml:space="preserve"> ”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795A48">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795A48">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795A48">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795A48">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795A48">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795A48">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795A48">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795A48">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795A48">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795A48">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795A48">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795A48">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795A48">
        <w:tc>
          <w:tcPr>
            <w:tcW w:w="1882" w:type="dxa"/>
          </w:tcPr>
          <w:p w14:paraId="56CAE5A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8604F5">
            <w:pPr>
              <w:spacing w:after="0"/>
              <w:rPr>
                <w:sz w:val="20"/>
                <w:szCs w:val="20"/>
                <w:lang w:eastAsia="zh-CN"/>
              </w:rPr>
            </w:pPr>
          </w:p>
        </w:tc>
      </w:tr>
      <w:tr w:rsidR="006B4E82" w14:paraId="43D580F8" w14:textId="77777777" w:rsidTr="00795A48">
        <w:tc>
          <w:tcPr>
            <w:tcW w:w="1882" w:type="dxa"/>
          </w:tcPr>
          <w:p w14:paraId="2D02FD58" w14:textId="5911D2E5" w:rsidR="006B4E82" w:rsidRDefault="006B4E82" w:rsidP="008604F5">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8604F5">
            <w:pPr>
              <w:spacing w:after="0"/>
              <w:rPr>
                <w:sz w:val="20"/>
                <w:szCs w:val="20"/>
                <w:lang w:eastAsia="zh-CN"/>
              </w:rPr>
            </w:pPr>
          </w:p>
        </w:tc>
      </w:tr>
      <w:tr w:rsidR="00497660" w14:paraId="055D2C38" w14:textId="77777777" w:rsidTr="00795A48">
        <w:tc>
          <w:tcPr>
            <w:tcW w:w="1882" w:type="dxa"/>
          </w:tcPr>
          <w:p w14:paraId="1E1F0C2D" w14:textId="77FE337B"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8604F5">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lastRenderedPageBreak/>
              <w:t xml:space="preserve"> I</w:t>
            </w:r>
            <w:r>
              <w:rPr>
                <w:lang w:eastAsia="zh-CN"/>
              </w:rPr>
              <w:t xml:space="preserve">n the email discussion </w:t>
            </w:r>
            <w:r w:rsidRPr="00815A62">
              <w:rPr>
                <w:lang w:eastAsia="zh-CN"/>
              </w:rPr>
              <w:t>[Post115-e][108][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795A48">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795A48">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795A48">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795A48">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795A48">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795A48">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795A48">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795A48">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795A48">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795A48">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795A48">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795A48">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795A48">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795A48">
        <w:tc>
          <w:tcPr>
            <w:tcW w:w="1860" w:type="dxa"/>
          </w:tcPr>
          <w:p w14:paraId="29AB0975"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8604F5">
            <w:pPr>
              <w:spacing w:after="0"/>
              <w:rPr>
                <w:sz w:val="20"/>
                <w:szCs w:val="20"/>
                <w:lang w:eastAsia="zh-CN"/>
              </w:rPr>
            </w:pPr>
          </w:p>
        </w:tc>
      </w:tr>
      <w:tr w:rsidR="0001697F" w14:paraId="1FCB79AC" w14:textId="77777777" w:rsidTr="00795A48">
        <w:tc>
          <w:tcPr>
            <w:tcW w:w="1860" w:type="dxa"/>
          </w:tcPr>
          <w:p w14:paraId="30201B10" w14:textId="10631047" w:rsidR="0001697F" w:rsidRDefault="0001697F" w:rsidP="008604F5">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8604F5">
            <w:pPr>
              <w:spacing w:after="0"/>
              <w:rPr>
                <w:sz w:val="20"/>
                <w:szCs w:val="20"/>
                <w:lang w:eastAsia="zh-CN"/>
              </w:rPr>
            </w:pPr>
          </w:p>
        </w:tc>
      </w:tr>
      <w:tr w:rsidR="00497660" w14:paraId="0BC37208" w14:textId="77777777" w:rsidTr="00795A48">
        <w:tc>
          <w:tcPr>
            <w:tcW w:w="1860" w:type="dxa"/>
          </w:tcPr>
          <w:p w14:paraId="3ADE7BAD" w14:textId="53A8D398"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8604F5">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lastRenderedPageBreak/>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If the SIB1 broadcast by the target cell contains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specific IFRI, the target NR cell supports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handover ).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cannot  reject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lastRenderedPageBreak/>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795A48">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795A48">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795A48">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lastRenderedPageBreak/>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w:t>
            </w:r>
            <w:proofErr w:type="spellStart"/>
            <w:r>
              <w:rPr>
                <w:lang w:eastAsia="ja-JP"/>
              </w:rPr>
              <w:t>RedCap</w:t>
            </w:r>
            <w:proofErr w:type="spellEnd"/>
            <w:r>
              <w:rPr>
                <w:lang w:eastAsia="ja-JP"/>
              </w:rPr>
              <w:t xml:space="preserve"> UE only support 1Rx or 2Rx, 20M BW, therefore it is very unlikely that the legacy </w:t>
            </w:r>
            <w:proofErr w:type="spellStart"/>
            <w:r>
              <w:rPr>
                <w:lang w:eastAsia="ja-JP"/>
              </w:rPr>
              <w:t>gNB</w:t>
            </w:r>
            <w:proofErr w:type="spellEnd"/>
            <w:r>
              <w:rPr>
                <w:lang w:eastAsia="ja-JP"/>
              </w:rPr>
              <w:t xml:space="preserve"> can provide such reduced configuration to UE. </w:t>
            </w:r>
          </w:p>
        </w:tc>
      </w:tr>
      <w:tr w:rsidR="00F87C8B" w14:paraId="54E31C59" w14:textId="77777777" w:rsidTr="00795A48">
        <w:tc>
          <w:tcPr>
            <w:tcW w:w="1857" w:type="dxa"/>
          </w:tcPr>
          <w:p w14:paraId="12399F79" w14:textId="67306C92" w:rsidR="00F87C8B" w:rsidRDefault="009D5D8D" w:rsidP="00F87C8B">
            <w:pPr>
              <w:spacing w:after="0"/>
              <w:rPr>
                <w:sz w:val="20"/>
                <w:szCs w:val="20"/>
                <w:lang w:eastAsia="ja-JP"/>
              </w:rPr>
            </w:pPr>
            <w:r>
              <w:rPr>
                <w:sz w:val="20"/>
                <w:szCs w:val="20"/>
                <w:lang w:eastAsia="ja-JP"/>
              </w:rPr>
              <w:lastRenderedPageBreak/>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795A48">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795A48">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795A48">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795A48">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795A48">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795A48">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w:t>
            </w:r>
            <w:proofErr w:type="spellStart"/>
            <w:r>
              <w:rPr>
                <w:sz w:val="20"/>
                <w:szCs w:val="20"/>
                <w:lang w:eastAsia="zh-CN"/>
              </w:rPr>
              <w:t>RedCap</w:t>
            </w:r>
            <w:proofErr w:type="spellEnd"/>
            <w:r>
              <w:rPr>
                <w:sz w:val="20"/>
                <w:szCs w:val="20"/>
                <w:lang w:eastAsia="zh-CN"/>
              </w:rPr>
              <w:t xml:space="preserve"> indication in E-UTRAN capability, so LTE </w:t>
            </w:r>
            <w:proofErr w:type="spellStart"/>
            <w:r>
              <w:rPr>
                <w:sz w:val="20"/>
                <w:szCs w:val="20"/>
                <w:lang w:eastAsia="zh-CN"/>
              </w:rPr>
              <w:t>eNB</w:t>
            </w:r>
            <w:proofErr w:type="spellEnd"/>
            <w:r>
              <w:rPr>
                <w:sz w:val="20"/>
                <w:szCs w:val="20"/>
                <w:lang w:eastAsia="zh-CN"/>
              </w:rPr>
              <w:t xml:space="preserve"> can choose </w:t>
            </w:r>
            <w:proofErr w:type="spellStart"/>
            <w:r>
              <w:rPr>
                <w:sz w:val="20"/>
                <w:szCs w:val="20"/>
                <w:lang w:eastAsia="zh-CN"/>
              </w:rPr>
              <w:t>RedCap</w:t>
            </w:r>
            <w:proofErr w:type="spellEnd"/>
            <w:r>
              <w:rPr>
                <w:sz w:val="20"/>
                <w:szCs w:val="20"/>
                <w:lang w:eastAsia="zh-CN"/>
              </w:rPr>
              <w:t xml:space="preserve"> capable NR cells for RRM measurements and to trigger handover. This also needs changes to X2 interface (e.g.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w:t>
            </w:r>
            <w:proofErr w:type="spellStart"/>
            <w:r>
              <w:rPr>
                <w:sz w:val="20"/>
                <w:szCs w:val="20"/>
                <w:lang w:eastAsia="zh-CN"/>
              </w:rPr>
              <w:t>RedCap</w:t>
            </w:r>
            <w:proofErr w:type="spellEnd"/>
            <w:r>
              <w:rPr>
                <w:sz w:val="20"/>
                <w:szCs w:val="20"/>
                <w:lang w:eastAsia="zh-CN"/>
              </w:rPr>
              <w:t xml:space="preserve">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795A48">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795A48">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795A48">
        <w:tc>
          <w:tcPr>
            <w:tcW w:w="1857" w:type="dxa"/>
          </w:tcPr>
          <w:p w14:paraId="3D42BA67" w14:textId="77777777" w:rsidR="00795A48" w:rsidRDefault="00795A48" w:rsidP="008604F5">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8604F5">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8604F5">
            <w:pPr>
              <w:spacing w:after="0"/>
              <w:rPr>
                <w:sz w:val="20"/>
                <w:szCs w:val="20"/>
                <w:lang w:eastAsia="zh-CN"/>
              </w:rPr>
            </w:pPr>
          </w:p>
        </w:tc>
      </w:tr>
      <w:tr w:rsidR="00B363FC" w14:paraId="49405F8E" w14:textId="77777777" w:rsidTr="00795A48">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795A48">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lastRenderedPageBreak/>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9T08:15:00Z" w:initials="HW">
    <w:p w14:paraId="68084B18" w14:textId="28339B38" w:rsidR="00C2358F" w:rsidRDefault="00C2358F">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15:35:00Z" w:initials="I">
    <w:p w14:paraId="6AE3AC72" w14:textId="76EA066A" w:rsidR="00D6480D" w:rsidRDefault="00D6480D">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47CA" w14:textId="77777777" w:rsidR="00DE7787" w:rsidRDefault="00DE7787" w:rsidP="008A375A">
      <w:pPr>
        <w:spacing w:after="0" w:line="240" w:lineRule="auto"/>
      </w:pPr>
      <w:r>
        <w:separator/>
      </w:r>
    </w:p>
  </w:endnote>
  <w:endnote w:type="continuationSeparator" w:id="0">
    <w:p w14:paraId="333E010A" w14:textId="77777777" w:rsidR="00DE7787" w:rsidRDefault="00DE7787" w:rsidP="008A375A">
      <w:pPr>
        <w:spacing w:after="0" w:line="240" w:lineRule="auto"/>
      </w:pPr>
      <w:r>
        <w:continuationSeparator/>
      </w:r>
    </w:p>
  </w:endnote>
  <w:endnote w:type="continuationNotice" w:id="1">
    <w:p w14:paraId="50AF605F" w14:textId="77777777" w:rsidR="00DE7787" w:rsidRDefault="00DE7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E668" w14:textId="77777777" w:rsidR="00DE7787" w:rsidRDefault="00DE7787" w:rsidP="008A375A">
      <w:pPr>
        <w:spacing w:after="0" w:line="240" w:lineRule="auto"/>
      </w:pPr>
      <w:r>
        <w:separator/>
      </w:r>
    </w:p>
  </w:footnote>
  <w:footnote w:type="continuationSeparator" w:id="0">
    <w:p w14:paraId="3139EABE" w14:textId="77777777" w:rsidR="00DE7787" w:rsidRDefault="00DE7787" w:rsidP="008A375A">
      <w:pPr>
        <w:spacing w:after="0" w:line="240" w:lineRule="auto"/>
      </w:pPr>
      <w:r>
        <w:continuationSeparator/>
      </w:r>
    </w:p>
  </w:footnote>
  <w:footnote w:type="continuationNotice" w:id="1">
    <w:p w14:paraId="15D19F6A" w14:textId="77777777" w:rsidR="00DE7787" w:rsidRDefault="00DE7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1A7A"/>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6D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24D0"/>
    <w:rsid w:val="008527CC"/>
    <w:rsid w:val="00853F6E"/>
    <w:rsid w:val="00854196"/>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20</Pages>
  <Words>5678</Words>
  <Characters>32365</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38</cp:revision>
  <dcterms:created xsi:type="dcterms:W3CDTF">2022-01-19T05:12:00Z</dcterms:created>
  <dcterms:modified xsi:type="dcterms:W3CDTF">2022-01-19T07:53:00Z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