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0AB0B97"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af8"/>
          </w:rPr>
          <w:t>R2-2200286</w:t>
        </w:r>
      </w:hyperlink>
      <w:r>
        <w:t xml:space="preserve"> and </w:t>
      </w:r>
      <w:hyperlink r:id="rId13" w:tooltip="C:Data3GPPExtractsR2-2200553 Definition and reduced capabilities for RedCap UE.doc" w:history="1">
        <w:r w:rsidRPr="00EC3D65">
          <w:rPr>
            <w:rStyle w:val="af8"/>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Ind w:w="113" w:type="dxa"/>
        <w:tblLook w:val="04A0" w:firstRow="1" w:lastRow="0" w:firstColumn="1" w:lastColumn="0" w:noHBand="0" w:noVBand="1"/>
      </w:tblPr>
      <w:tblGrid>
        <w:gridCol w:w="1746"/>
        <w:gridCol w:w="2648"/>
        <w:gridCol w:w="4843"/>
      </w:tblGrid>
      <w:tr w:rsidR="00557278" w14:paraId="1368A05C" w14:textId="77777777" w:rsidTr="00392B8C">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392B8C">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392B8C">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r>
              <w:rPr>
                <w:sz w:val="20"/>
                <w:szCs w:val="20"/>
                <w:lang w:eastAsia="zh-CN"/>
              </w:rPr>
              <w:t>Jaehyuk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392B8C">
        <w:tc>
          <w:tcPr>
            <w:tcW w:w="1760"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392B8C">
        <w:tc>
          <w:tcPr>
            <w:tcW w:w="1760"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87"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90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392B8C">
        <w:tc>
          <w:tcPr>
            <w:tcW w:w="1760"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87"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90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392B8C">
        <w:tc>
          <w:tcPr>
            <w:tcW w:w="1760"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87"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90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392B8C">
        <w:tc>
          <w:tcPr>
            <w:tcW w:w="1760" w:type="dxa"/>
          </w:tcPr>
          <w:p w14:paraId="47E2E366" w14:textId="2EE7DA9C" w:rsidR="000E4BE9" w:rsidRDefault="000E4BE9" w:rsidP="000E4BE9">
            <w:pPr>
              <w:spacing w:after="0"/>
              <w:rPr>
                <w:sz w:val="20"/>
                <w:szCs w:val="20"/>
                <w:lang w:eastAsia="zh-CN"/>
              </w:rPr>
            </w:pPr>
            <w:r>
              <w:rPr>
                <w:sz w:val="20"/>
                <w:szCs w:val="20"/>
                <w:lang w:eastAsia="ja-JP"/>
              </w:rPr>
              <w:t>Futurewei</w:t>
            </w:r>
          </w:p>
        </w:tc>
        <w:tc>
          <w:tcPr>
            <w:tcW w:w="2687"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90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392B8C">
        <w:tc>
          <w:tcPr>
            <w:tcW w:w="1760"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87"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90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392B8C">
        <w:tc>
          <w:tcPr>
            <w:tcW w:w="1760"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90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392B8C">
        <w:tc>
          <w:tcPr>
            <w:tcW w:w="1760"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392B8C">
        <w:tc>
          <w:tcPr>
            <w:tcW w:w="1760"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87"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392B8C">
        <w:tc>
          <w:tcPr>
            <w:tcW w:w="1760" w:type="dxa"/>
          </w:tcPr>
          <w:p w14:paraId="55DC282A" w14:textId="77777777" w:rsidR="00392B8C" w:rsidRDefault="00392B8C" w:rsidP="00392B8C">
            <w:pPr>
              <w:spacing w:after="0"/>
              <w:rPr>
                <w:sz w:val="20"/>
                <w:szCs w:val="20"/>
                <w:lang w:eastAsia="ja-JP"/>
              </w:rPr>
            </w:pPr>
          </w:p>
        </w:tc>
        <w:tc>
          <w:tcPr>
            <w:tcW w:w="2687" w:type="dxa"/>
          </w:tcPr>
          <w:p w14:paraId="79FDC0E0" w14:textId="77777777" w:rsidR="00392B8C" w:rsidRDefault="00392B8C" w:rsidP="00392B8C">
            <w:pPr>
              <w:spacing w:after="0"/>
              <w:rPr>
                <w:sz w:val="20"/>
                <w:szCs w:val="20"/>
                <w:lang w:eastAsia="ja-JP"/>
              </w:rPr>
            </w:pPr>
          </w:p>
        </w:tc>
        <w:tc>
          <w:tcPr>
            <w:tcW w:w="4903" w:type="dxa"/>
          </w:tcPr>
          <w:p w14:paraId="16DD479D" w14:textId="77777777" w:rsidR="00392B8C" w:rsidRDefault="00392B8C" w:rsidP="00392B8C">
            <w:pPr>
              <w:spacing w:after="0"/>
              <w:rPr>
                <w:sz w:val="20"/>
                <w:szCs w:val="20"/>
                <w:lang w:eastAsia="ja-JP"/>
              </w:rPr>
            </w:pPr>
          </w:p>
        </w:tc>
      </w:tr>
      <w:tr w:rsidR="00392B8C" w14:paraId="06E21735" w14:textId="77777777" w:rsidTr="00392B8C">
        <w:tc>
          <w:tcPr>
            <w:tcW w:w="1760" w:type="dxa"/>
          </w:tcPr>
          <w:p w14:paraId="25B09A5D" w14:textId="77777777" w:rsidR="00392B8C" w:rsidRDefault="00392B8C" w:rsidP="00392B8C">
            <w:pPr>
              <w:spacing w:after="0"/>
              <w:rPr>
                <w:sz w:val="20"/>
                <w:szCs w:val="20"/>
                <w:lang w:eastAsia="ja-JP"/>
              </w:rPr>
            </w:pPr>
          </w:p>
        </w:tc>
        <w:tc>
          <w:tcPr>
            <w:tcW w:w="2687" w:type="dxa"/>
          </w:tcPr>
          <w:p w14:paraId="031E9C4F" w14:textId="77777777" w:rsidR="00392B8C" w:rsidRDefault="00392B8C" w:rsidP="00392B8C">
            <w:pPr>
              <w:spacing w:after="0"/>
              <w:rPr>
                <w:sz w:val="20"/>
                <w:szCs w:val="20"/>
                <w:lang w:eastAsia="ja-JP"/>
              </w:rPr>
            </w:pPr>
          </w:p>
        </w:tc>
        <w:tc>
          <w:tcPr>
            <w:tcW w:w="4903" w:type="dxa"/>
          </w:tcPr>
          <w:p w14:paraId="485F30DB" w14:textId="77777777" w:rsidR="00392B8C" w:rsidRDefault="00392B8C" w:rsidP="00392B8C">
            <w:pPr>
              <w:spacing w:after="0"/>
              <w:rPr>
                <w:sz w:val="20"/>
                <w:szCs w:val="20"/>
                <w:lang w:eastAsia="ja-JP"/>
              </w:rPr>
            </w:pPr>
          </w:p>
        </w:tc>
      </w:tr>
      <w:tr w:rsidR="00392B8C" w14:paraId="6907C8A1" w14:textId="77777777" w:rsidTr="00392B8C">
        <w:tc>
          <w:tcPr>
            <w:tcW w:w="1760" w:type="dxa"/>
          </w:tcPr>
          <w:p w14:paraId="2AA107F9" w14:textId="77777777" w:rsidR="00392B8C" w:rsidRDefault="00392B8C" w:rsidP="00392B8C">
            <w:pPr>
              <w:spacing w:after="0"/>
              <w:rPr>
                <w:sz w:val="20"/>
                <w:szCs w:val="20"/>
                <w:lang w:eastAsia="ja-JP"/>
              </w:rPr>
            </w:pPr>
          </w:p>
        </w:tc>
        <w:tc>
          <w:tcPr>
            <w:tcW w:w="2687" w:type="dxa"/>
          </w:tcPr>
          <w:p w14:paraId="7EBBAC60" w14:textId="77777777" w:rsidR="00392B8C" w:rsidRDefault="00392B8C" w:rsidP="00392B8C">
            <w:pPr>
              <w:spacing w:after="0"/>
              <w:rPr>
                <w:sz w:val="20"/>
                <w:szCs w:val="20"/>
                <w:lang w:eastAsia="ja-JP"/>
              </w:rPr>
            </w:pPr>
          </w:p>
        </w:tc>
        <w:tc>
          <w:tcPr>
            <w:tcW w:w="4903" w:type="dxa"/>
          </w:tcPr>
          <w:p w14:paraId="00D0E5AD" w14:textId="77777777" w:rsidR="00392B8C" w:rsidRDefault="00392B8C" w:rsidP="00392B8C">
            <w:pPr>
              <w:spacing w:after="0"/>
              <w:rPr>
                <w:sz w:val="20"/>
                <w:szCs w:val="20"/>
                <w:lang w:eastAsia="ja-JP"/>
              </w:rPr>
            </w:pPr>
          </w:p>
        </w:tc>
      </w:tr>
      <w:tr w:rsidR="00392B8C" w14:paraId="08024AEE" w14:textId="77777777" w:rsidTr="00392B8C">
        <w:tc>
          <w:tcPr>
            <w:tcW w:w="1760" w:type="dxa"/>
          </w:tcPr>
          <w:p w14:paraId="6AA8BDD3" w14:textId="77777777" w:rsidR="00392B8C" w:rsidRDefault="00392B8C" w:rsidP="00392B8C">
            <w:pPr>
              <w:spacing w:after="0"/>
              <w:rPr>
                <w:sz w:val="20"/>
                <w:szCs w:val="20"/>
                <w:lang w:eastAsia="ja-JP"/>
              </w:rPr>
            </w:pPr>
          </w:p>
        </w:tc>
        <w:tc>
          <w:tcPr>
            <w:tcW w:w="2687" w:type="dxa"/>
          </w:tcPr>
          <w:p w14:paraId="66873E30" w14:textId="77777777" w:rsidR="00392B8C" w:rsidRDefault="00392B8C" w:rsidP="00392B8C">
            <w:pPr>
              <w:spacing w:after="0"/>
              <w:rPr>
                <w:sz w:val="20"/>
                <w:szCs w:val="20"/>
                <w:lang w:eastAsia="ja-JP"/>
              </w:rPr>
            </w:pPr>
          </w:p>
        </w:tc>
        <w:tc>
          <w:tcPr>
            <w:tcW w:w="4903" w:type="dxa"/>
          </w:tcPr>
          <w:p w14:paraId="6D699EE9" w14:textId="77777777" w:rsidR="00392B8C" w:rsidRDefault="00392B8C" w:rsidP="00392B8C">
            <w:pPr>
              <w:spacing w:after="0"/>
              <w:rPr>
                <w:sz w:val="20"/>
                <w:szCs w:val="20"/>
                <w:lang w:eastAsia="ja-JP"/>
              </w:rPr>
            </w:pPr>
          </w:p>
        </w:tc>
      </w:tr>
      <w:tr w:rsidR="00392B8C" w14:paraId="6CBD28B4" w14:textId="77777777" w:rsidTr="00392B8C">
        <w:tc>
          <w:tcPr>
            <w:tcW w:w="1760" w:type="dxa"/>
          </w:tcPr>
          <w:p w14:paraId="5B0150B8" w14:textId="77777777" w:rsidR="00392B8C" w:rsidRDefault="00392B8C" w:rsidP="00392B8C">
            <w:pPr>
              <w:spacing w:after="0"/>
              <w:rPr>
                <w:sz w:val="20"/>
                <w:szCs w:val="20"/>
                <w:lang w:eastAsia="zh-CN"/>
              </w:rPr>
            </w:pPr>
          </w:p>
        </w:tc>
        <w:tc>
          <w:tcPr>
            <w:tcW w:w="2687" w:type="dxa"/>
          </w:tcPr>
          <w:p w14:paraId="5C828EE4" w14:textId="77777777" w:rsidR="00392B8C" w:rsidRDefault="00392B8C" w:rsidP="00392B8C">
            <w:pPr>
              <w:spacing w:after="0"/>
              <w:rPr>
                <w:sz w:val="20"/>
                <w:szCs w:val="20"/>
                <w:lang w:eastAsia="zh-CN"/>
              </w:rPr>
            </w:pPr>
          </w:p>
        </w:tc>
        <w:tc>
          <w:tcPr>
            <w:tcW w:w="4903" w:type="dxa"/>
          </w:tcPr>
          <w:p w14:paraId="17B097D3" w14:textId="77777777" w:rsidR="00392B8C" w:rsidRDefault="00392B8C" w:rsidP="00392B8C">
            <w:pPr>
              <w:spacing w:after="0"/>
              <w:rPr>
                <w:sz w:val="20"/>
                <w:szCs w:val="20"/>
                <w:lang w:eastAsia="zh-CN"/>
              </w:rPr>
            </w:pPr>
          </w:p>
        </w:tc>
      </w:tr>
      <w:tr w:rsidR="00392B8C" w14:paraId="37C334C3" w14:textId="77777777" w:rsidTr="00392B8C">
        <w:tc>
          <w:tcPr>
            <w:tcW w:w="1760" w:type="dxa"/>
          </w:tcPr>
          <w:p w14:paraId="2FCF844B" w14:textId="77777777" w:rsidR="00392B8C" w:rsidRDefault="00392B8C" w:rsidP="00392B8C">
            <w:pPr>
              <w:spacing w:after="0"/>
              <w:rPr>
                <w:sz w:val="20"/>
                <w:szCs w:val="20"/>
                <w:lang w:eastAsia="zh-CN"/>
              </w:rPr>
            </w:pPr>
          </w:p>
        </w:tc>
        <w:tc>
          <w:tcPr>
            <w:tcW w:w="2687" w:type="dxa"/>
          </w:tcPr>
          <w:p w14:paraId="4712F14F" w14:textId="77777777" w:rsidR="00392B8C" w:rsidRDefault="00392B8C" w:rsidP="00392B8C">
            <w:pPr>
              <w:spacing w:after="0"/>
              <w:rPr>
                <w:sz w:val="20"/>
                <w:szCs w:val="20"/>
                <w:lang w:eastAsia="zh-CN"/>
              </w:rPr>
            </w:pPr>
          </w:p>
        </w:tc>
        <w:tc>
          <w:tcPr>
            <w:tcW w:w="4903" w:type="dxa"/>
          </w:tcPr>
          <w:p w14:paraId="3CC04927" w14:textId="77777777" w:rsidR="00392B8C" w:rsidRDefault="00392B8C" w:rsidP="00392B8C">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af3"/>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b"/>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10"/>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3"/>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afb"/>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afb"/>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afb"/>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b"/>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839"/>
        <w:gridCol w:w="1714"/>
        <w:gridCol w:w="5684"/>
      </w:tblGrid>
      <w:tr w:rsidR="00C7412A" w14:paraId="1C079F76" w14:textId="767C4AAB" w:rsidTr="00247E3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r w:rsidR="003B2A7A">
              <w:rPr>
                <w:b/>
                <w:bCs/>
                <w:sz w:val="20"/>
                <w:szCs w:val="20"/>
                <w:lang w:eastAsia="ja-JP"/>
              </w:rPr>
              <w:t>Still mandatory</w:t>
            </w:r>
            <w:commentRangeEnd w:id="12"/>
            <w:r w:rsidR="00FC1ECD">
              <w:rPr>
                <w:rStyle w:val="af9"/>
              </w:rPr>
              <w:commentReference w:id="12"/>
            </w:r>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247E3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247E3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247E3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247E3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247E3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247E38">
        <w:tc>
          <w:tcPr>
            <w:tcW w:w="1839"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r w:rsidR="00794FB7" w14:paraId="646B38F2" w14:textId="77777777" w:rsidTr="00247E38">
        <w:tc>
          <w:tcPr>
            <w:tcW w:w="1839"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71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684" w:type="dxa"/>
          </w:tcPr>
          <w:p w14:paraId="6EBD04BA" w14:textId="77777777" w:rsidR="00794FB7" w:rsidRDefault="00794FB7" w:rsidP="00682C8E">
            <w:pPr>
              <w:spacing w:after="0"/>
              <w:rPr>
                <w:sz w:val="20"/>
                <w:szCs w:val="20"/>
                <w:lang w:eastAsia="zh-CN"/>
              </w:rPr>
            </w:pPr>
          </w:p>
        </w:tc>
      </w:tr>
      <w:tr w:rsidR="005254A4" w14:paraId="311267FD" w14:textId="77777777" w:rsidTr="00247E38">
        <w:tc>
          <w:tcPr>
            <w:tcW w:w="1839"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71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684"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247E38">
        <w:tc>
          <w:tcPr>
            <w:tcW w:w="1839"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71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684"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247E38">
        <w:tc>
          <w:tcPr>
            <w:tcW w:w="1839" w:type="dxa"/>
          </w:tcPr>
          <w:p w14:paraId="48AD096A" w14:textId="58DA1C60" w:rsidR="00392B8C" w:rsidRPr="00392B8C" w:rsidRDefault="00392B8C" w:rsidP="00D67A6E">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714" w:type="dxa"/>
          </w:tcPr>
          <w:p w14:paraId="314EF7C2" w14:textId="5C2120AF" w:rsidR="00392B8C" w:rsidRPr="00392B8C" w:rsidRDefault="00392B8C" w:rsidP="00D67A6E">
            <w:pPr>
              <w:spacing w:after="0"/>
              <w:rPr>
                <w:rFonts w:hint="eastAsia"/>
                <w:sz w:val="20"/>
                <w:szCs w:val="20"/>
                <w:lang w:eastAsia="zh-CN"/>
              </w:rPr>
            </w:pPr>
            <w:r>
              <w:rPr>
                <w:rFonts w:hint="eastAsia"/>
                <w:sz w:val="20"/>
                <w:szCs w:val="20"/>
                <w:lang w:eastAsia="zh-CN"/>
              </w:rPr>
              <w:t>O</w:t>
            </w:r>
            <w:r>
              <w:rPr>
                <w:sz w:val="20"/>
                <w:szCs w:val="20"/>
                <w:lang w:eastAsia="zh-CN"/>
              </w:rPr>
              <w:t>ptional</w:t>
            </w:r>
          </w:p>
        </w:tc>
        <w:tc>
          <w:tcPr>
            <w:tcW w:w="5684" w:type="dxa"/>
          </w:tcPr>
          <w:p w14:paraId="3D83958F" w14:textId="77777777" w:rsidR="00392B8C" w:rsidRPr="00742AB1" w:rsidRDefault="00392B8C" w:rsidP="00D67A6E">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3"/>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b"/>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b"/>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3" w:name="_Toc79050374"/>
                  <w:bookmarkStart w:id="14" w:name="_Toc79050450"/>
                  <w:bookmarkStart w:id="15"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3"/>
                  <w:bookmarkEnd w:id="14"/>
                  <w:bookmarkEnd w:id="15"/>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96"/>
        <w:gridCol w:w="1261"/>
        <w:gridCol w:w="6080"/>
      </w:tblGrid>
      <w:tr w:rsidR="00740A51" w14:paraId="536B4060" w14:textId="77777777" w:rsidTr="00FC1ECD">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FC1ECD">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FC1ECD">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FC1ECD">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FC1ECD">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FC1ECD">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FC1ECD">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FC1ECD">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FC1ECD">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FC1ECD">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FC1ECD">
        <w:tc>
          <w:tcPr>
            <w:tcW w:w="1896" w:type="dxa"/>
          </w:tcPr>
          <w:p w14:paraId="7B3AA498" w14:textId="5DAED948" w:rsidR="00392B8C" w:rsidRPr="00392B8C" w:rsidRDefault="00392B8C" w:rsidP="00D67A6E">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rFonts w:hint="eastAsia"/>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740A51" w14:paraId="184A03F1" w14:textId="77777777" w:rsidTr="00FC1ECD">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FC1ECD">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FC1ECD">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FC1ECD">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FC1ECD">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FC1ECD">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FC1ECD">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FC1ECD">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FC1ECD">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FC1ECD">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FC1ECD">
        <w:tc>
          <w:tcPr>
            <w:tcW w:w="1871" w:type="dxa"/>
          </w:tcPr>
          <w:p w14:paraId="4AF05625" w14:textId="2E6F4284" w:rsidR="00392B8C" w:rsidRPr="00392B8C" w:rsidRDefault="00392B8C" w:rsidP="00D67A6E">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rFonts w:hint="eastAsia"/>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lastRenderedPageBreak/>
              <w:t xml:space="preserve">It is </w:t>
            </w:r>
            <w:r>
              <w:t xml:space="preserve">also related to the description in TS38.306 running CR [8] </w:t>
            </w:r>
            <w:r w:rsidRPr="00263CF4">
              <w:t>where the mandatory reduced capabilities for a RedCap UE is defined'</w:t>
            </w:r>
            <w:r>
              <w:t xml:space="preserve">, i.e. “Early indication of RedCap UE in Msg.1 for 4-step RACH” should be added. </w:t>
            </w:r>
          </w:p>
          <w:tbl>
            <w:tblPr>
              <w:tblStyle w:val="af3"/>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77777777" w:rsidR="00740A51" w:rsidRDefault="00740A51" w:rsidP="00740A51">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3"/>
        <w:tblW w:w="9331" w:type="dxa"/>
        <w:tblInd w:w="250" w:type="dxa"/>
        <w:tblLook w:val="04A0" w:firstRow="1" w:lastRow="0" w:firstColumn="1" w:lastColumn="0" w:noHBand="0" w:noVBand="1"/>
      </w:tblPr>
      <w:tblGrid>
        <w:gridCol w:w="2032"/>
        <w:gridCol w:w="928"/>
        <w:gridCol w:w="6371"/>
      </w:tblGrid>
      <w:tr w:rsidR="00740A51" w14:paraId="6DBFC6A3" w14:textId="77777777" w:rsidTr="00392B8C">
        <w:tc>
          <w:tcPr>
            <w:tcW w:w="2032"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392B8C">
        <w:tc>
          <w:tcPr>
            <w:tcW w:w="2032"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392B8C">
        <w:tc>
          <w:tcPr>
            <w:tcW w:w="2032"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928"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71"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392B8C">
        <w:tc>
          <w:tcPr>
            <w:tcW w:w="2032"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8" w:type="dxa"/>
          </w:tcPr>
          <w:p w14:paraId="56E028D9" w14:textId="77777777" w:rsidR="00FC1ECD" w:rsidRDefault="00FC1ECD" w:rsidP="00FC1ECD">
            <w:pPr>
              <w:spacing w:after="0"/>
              <w:rPr>
                <w:sz w:val="20"/>
                <w:szCs w:val="20"/>
                <w:lang w:val="en-GB" w:eastAsia="zh-CN"/>
              </w:rPr>
            </w:pPr>
          </w:p>
        </w:tc>
        <w:tc>
          <w:tcPr>
            <w:tcW w:w="6371"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300B297" w:rsidR="00FC1ECD" w:rsidRDefault="00946C44" w:rsidP="00FC1ECD">
            <w:pPr>
              <w:spacing w:after="0"/>
              <w:rPr>
                <w:sz w:val="20"/>
                <w:szCs w:val="20"/>
                <w:lang w:val="en-GB" w:eastAsia="zh-CN"/>
              </w:rPr>
            </w:pPr>
            <w:r>
              <w:rPr>
                <w:sz w:val="20"/>
                <w:szCs w:val="20"/>
                <w:lang w:val="en-GB" w:eastAsia="zh-CN"/>
              </w:rPr>
              <w:t>This is a feature that is mandatory for RedCap UEs</w:t>
            </w:r>
            <w:r w:rsidR="00127F1A">
              <w:rPr>
                <w:sz w:val="20"/>
                <w:szCs w:val="20"/>
                <w:lang w:val="en-GB" w:eastAsia="zh-CN"/>
              </w:rPr>
              <w:t>, which can be captured in the associated capability definition.</w:t>
            </w:r>
          </w:p>
        </w:tc>
      </w:tr>
      <w:tr w:rsidR="00014B7C" w14:paraId="365664B9" w14:textId="77777777" w:rsidTr="00392B8C">
        <w:tc>
          <w:tcPr>
            <w:tcW w:w="2032"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928"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71"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392B8C">
        <w:tc>
          <w:tcPr>
            <w:tcW w:w="2032"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928" w:type="dxa"/>
          </w:tcPr>
          <w:p w14:paraId="7F64AD01" w14:textId="3E3E699A" w:rsidR="00682C8E" w:rsidRDefault="00862A25" w:rsidP="00014B7C">
            <w:pPr>
              <w:spacing w:after="0"/>
              <w:rPr>
                <w:sz w:val="20"/>
                <w:szCs w:val="20"/>
                <w:lang w:eastAsia="zh-CN"/>
              </w:rPr>
            </w:pPr>
            <w:r>
              <w:rPr>
                <w:sz w:val="20"/>
                <w:szCs w:val="20"/>
                <w:lang w:eastAsia="zh-CN"/>
              </w:rPr>
              <w:t>-</w:t>
            </w:r>
          </w:p>
        </w:tc>
        <w:tc>
          <w:tcPr>
            <w:tcW w:w="6371"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392B8C">
        <w:tc>
          <w:tcPr>
            <w:tcW w:w="2032"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928"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371"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392B8C">
        <w:tc>
          <w:tcPr>
            <w:tcW w:w="2032"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06E41D04" w14:textId="77777777" w:rsidR="005254A4" w:rsidRDefault="005254A4" w:rsidP="005254A4">
            <w:pPr>
              <w:spacing w:after="0"/>
              <w:rPr>
                <w:sz w:val="20"/>
                <w:szCs w:val="20"/>
                <w:lang w:eastAsia="zh-CN"/>
              </w:rPr>
            </w:pPr>
          </w:p>
        </w:tc>
        <w:tc>
          <w:tcPr>
            <w:tcW w:w="6371"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392B8C">
        <w:tc>
          <w:tcPr>
            <w:tcW w:w="2032"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928"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371"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392B8C">
        <w:tc>
          <w:tcPr>
            <w:tcW w:w="2032" w:type="dxa"/>
          </w:tcPr>
          <w:p w14:paraId="1AFF7383" w14:textId="48B87D75" w:rsidR="00392B8C" w:rsidRPr="00392B8C" w:rsidRDefault="00392B8C" w:rsidP="00392B8C">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928" w:type="dxa"/>
          </w:tcPr>
          <w:p w14:paraId="54FF37B7" w14:textId="0A84A19B" w:rsidR="00392B8C" w:rsidRPr="00392B8C" w:rsidRDefault="00392B8C" w:rsidP="00392B8C">
            <w:pPr>
              <w:spacing w:after="0"/>
              <w:rPr>
                <w:rFonts w:hint="eastAsia"/>
                <w:sz w:val="20"/>
                <w:szCs w:val="20"/>
                <w:lang w:eastAsia="zh-CN"/>
              </w:rPr>
            </w:pPr>
            <w:r>
              <w:rPr>
                <w:sz w:val="20"/>
                <w:szCs w:val="20"/>
                <w:lang w:eastAsia="zh-CN"/>
              </w:rPr>
              <w:t>-</w:t>
            </w:r>
          </w:p>
        </w:tc>
        <w:tc>
          <w:tcPr>
            <w:tcW w:w="6371"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afb"/>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b"/>
              <w:numPr>
                <w:ilvl w:val="0"/>
                <w:numId w:val="27"/>
              </w:numPr>
              <w:spacing w:after="0"/>
              <w:rPr>
                <w:lang w:eastAsia="zh-CN"/>
              </w:rPr>
            </w:pPr>
            <w:r>
              <w:rPr>
                <w:lang w:eastAsia="zh-CN"/>
              </w:rPr>
              <w:t>…</w:t>
            </w:r>
          </w:p>
          <w:p w14:paraId="7A1D563F" w14:textId="77777777" w:rsidR="00392B8C" w:rsidRDefault="00392B8C" w:rsidP="00392B8C">
            <w:pPr>
              <w:pStyle w:val="afb"/>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w:t>
            </w:r>
            <w:r w:rsidRPr="006B59E6">
              <w:rPr>
                <w:color w:val="FF0000"/>
                <w:sz w:val="20"/>
                <w:szCs w:val="20"/>
                <w:u w:val="single"/>
                <w:lang w:eastAsia="zh-CN"/>
              </w:rPr>
              <w:t xml:space="preserve">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b"/>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afb"/>
              <w:numPr>
                <w:ilvl w:val="0"/>
                <w:numId w:val="27"/>
              </w:numPr>
              <w:spacing w:after="0"/>
              <w:rPr>
                <w:rFonts w:hint="eastAsia"/>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67"/>
        <w:gridCol w:w="1494"/>
        <w:gridCol w:w="5876"/>
      </w:tblGrid>
      <w:tr w:rsidR="00556D54" w14:paraId="2970F951" w14:textId="77777777" w:rsidTr="00337143">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337143">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337143">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337143">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337143">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337143">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337143">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337143">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337143">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337143">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lastRenderedPageBreak/>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337143">
        <w:tc>
          <w:tcPr>
            <w:tcW w:w="1867" w:type="dxa"/>
          </w:tcPr>
          <w:p w14:paraId="4C86EF27" w14:textId="7262BF10" w:rsidR="00392B8C" w:rsidRPr="00392B8C" w:rsidRDefault="00392B8C" w:rsidP="00D67A6E">
            <w:pPr>
              <w:spacing w:after="0"/>
              <w:rPr>
                <w:rFonts w:hint="eastAsia"/>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rFonts w:hint="eastAsia"/>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3"/>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af3"/>
        <w:tblW w:w="9237" w:type="dxa"/>
        <w:tblInd w:w="118" w:type="dxa"/>
        <w:tblLook w:val="04A0" w:firstRow="1" w:lastRow="0" w:firstColumn="1" w:lastColumn="0" w:noHBand="0" w:noVBand="1"/>
      </w:tblPr>
      <w:tblGrid>
        <w:gridCol w:w="1931"/>
        <w:gridCol w:w="1145"/>
        <w:gridCol w:w="6161"/>
      </w:tblGrid>
      <w:tr w:rsidR="00654162" w14:paraId="25B221E7" w14:textId="77777777" w:rsidTr="00B94B50">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B94B50">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B94B50">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B94B50">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B94B50">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B94B50">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B94B50">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B94B50">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B94B50">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B94B50">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B94B50">
        <w:tc>
          <w:tcPr>
            <w:tcW w:w="1931" w:type="dxa"/>
          </w:tcPr>
          <w:p w14:paraId="3DC1B8AC" w14:textId="24FB1042" w:rsidR="00392B8C" w:rsidRPr="00392B8C" w:rsidRDefault="00392B8C" w:rsidP="00D67A6E">
            <w:pPr>
              <w:spacing w:after="0"/>
              <w:rPr>
                <w:rFonts w:hint="eastAsia"/>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rFonts w:hint="eastAsia"/>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3"/>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b"/>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22"/>
        <w:gridCol w:w="1039"/>
        <w:gridCol w:w="6276"/>
      </w:tblGrid>
      <w:tr w:rsidR="00F427FF" w14:paraId="5A30A299" w14:textId="77777777" w:rsidTr="0022228E">
        <w:tc>
          <w:tcPr>
            <w:tcW w:w="1938"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22228E">
        <w:tc>
          <w:tcPr>
            <w:tcW w:w="1938"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371"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22228E">
        <w:tc>
          <w:tcPr>
            <w:tcW w:w="1938"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928"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371" w:type="dxa"/>
          </w:tcPr>
          <w:p w14:paraId="4163AEAB" w14:textId="77777777" w:rsidR="00F87C8B" w:rsidRDefault="00F87C8B" w:rsidP="00F87C8B">
            <w:pPr>
              <w:spacing w:after="0"/>
              <w:rPr>
                <w:sz w:val="20"/>
                <w:szCs w:val="20"/>
                <w:lang w:val="en-GB" w:eastAsia="zh-CN"/>
              </w:rPr>
            </w:pPr>
          </w:p>
        </w:tc>
      </w:tr>
      <w:tr w:rsidR="00B94B50" w14:paraId="1CB8F1E8" w14:textId="77777777" w:rsidTr="0022228E">
        <w:tc>
          <w:tcPr>
            <w:tcW w:w="1938"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928"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371" w:type="dxa"/>
          </w:tcPr>
          <w:p w14:paraId="7C31C755" w14:textId="77777777" w:rsidR="00B94B50" w:rsidRDefault="00B94B50" w:rsidP="00B94B50">
            <w:pPr>
              <w:spacing w:after="0"/>
              <w:rPr>
                <w:sz w:val="20"/>
                <w:szCs w:val="20"/>
                <w:lang w:eastAsia="zh-CN"/>
              </w:rPr>
            </w:pPr>
          </w:p>
        </w:tc>
      </w:tr>
      <w:tr w:rsidR="00014B7C" w14:paraId="78656381" w14:textId="77777777" w:rsidTr="0022228E">
        <w:tc>
          <w:tcPr>
            <w:tcW w:w="1938"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928"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371"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22228E">
        <w:tc>
          <w:tcPr>
            <w:tcW w:w="1938"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928"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371"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22228E">
        <w:tc>
          <w:tcPr>
            <w:tcW w:w="1938"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928"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371"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22228E">
        <w:tc>
          <w:tcPr>
            <w:tcW w:w="1938"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371" w:type="dxa"/>
          </w:tcPr>
          <w:p w14:paraId="7062C5F3" w14:textId="77777777" w:rsidR="005254A4" w:rsidRDefault="005254A4" w:rsidP="005254A4">
            <w:pPr>
              <w:spacing w:after="0"/>
              <w:rPr>
                <w:sz w:val="20"/>
                <w:szCs w:val="20"/>
                <w:lang w:eastAsia="zh-CN"/>
              </w:rPr>
            </w:pPr>
          </w:p>
        </w:tc>
      </w:tr>
      <w:tr w:rsidR="00D67A6E" w14:paraId="1D6BCCD6" w14:textId="77777777" w:rsidTr="0022228E">
        <w:tc>
          <w:tcPr>
            <w:tcW w:w="1938"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928"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371" w:type="dxa"/>
          </w:tcPr>
          <w:p w14:paraId="3DEF3908" w14:textId="77777777" w:rsidR="00D67A6E" w:rsidRDefault="00D67A6E" w:rsidP="00D67A6E">
            <w:pPr>
              <w:spacing w:after="0"/>
              <w:rPr>
                <w:sz w:val="20"/>
                <w:szCs w:val="20"/>
                <w:lang w:eastAsia="zh-CN"/>
              </w:rPr>
            </w:pPr>
          </w:p>
        </w:tc>
      </w:tr>
      <w:tr w:rsidR="00392B8C" w14:paraId="35FFFC6D" w14:textId="77777777" w:rsidTr="0022228E">
        <w:tc>
          <w:tcPr>
            <w:tcW w:w="1938" w:type="dxa"/>
          </w:tcPr>
          <w:p w14:paraId="26E27769" w14:textId="6F4298A8" w:rsidR="00392B8C" w:rsidRPr="00392B8C" w:rsidRDefault="00392B8C" w:rsidP="00D67A6E">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928" w:type="dxa"/>
          </w:tcPr>
          <w:p w14:paraId="590BC0E0" w14:textId="5875FA1D" w:rsidR="00392B8C" w:rsidRPr="00392B8C" w:rsidRDefault="00392B8C" w:rsidP="00D67A6E">
            <w:pPr>
              <w:spacing w:after="0"/>
              <w:rPr>
                <w:rFonts w:hint="eastAsia"/>
                <w:sz w:val="20"/>
                <w:szCs w:val="20"/>
                <w:lang w:eastAsia="zh-CN"/>
              </w:rPr>
            </w:pPr>
            <w:r>
              <w:rPr>
                <w:sz w:val="20"/>
                <w:szCs w:val="20"/>
                <w:lang w:eastAsia="zh-CN"/>
              </w:rPr>
              <w:t>See comments</w:t>
            </w:r>
          </w:p>
        </w:tc>
        <w:tc>
          <w:tcPr>
            <w:tcW w:w="6371"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77777777"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w:t>
            </w:r>
            <w:r w:rsidRPr="00392B8C">
              <w:rPr>
                <w:color w:val="FF0000"/>
                <w:sz w:val="21"/>
                <w:u w:val="single"/>
                <w:lang w:val="en-US"/>
              </w:rPr>
              <w:lastRenderedPageBreak/>
              <w:t>Tx branches and more than 2 UL MIMO layers are not supported by RedCap UEs</w:t>
            </w:r>
            <w:r w:rsidRPr="00392B8C">
              <w:rPr>
                <w:sz w:val="21"/>
                <w:lang w:val="en-US"/>
              </w:rPr>
              <w:t>;</w:t>
            </w:r>
            <w:bookmarkStart w:id="16" w:name="_GoBack"/>
            <w:bookmarkEnd w:id="16"/>
          </w:p>
          <w:p w14:paraId="32F32C87" w14:textId="77777777" w:rsidR="00392B8C" w:rsidRPr="00392B8C" w:rsidRDefault="00392B8C" w:rsidP="00D67A6E">
            <w:pPr>
              <w:spacing w:after="0"/>
              <w:rPr>
                <w:sz w:val="20"/>
                <w:szCs w:val="20"/>
                <w:lang w:eastAsia="zh-CN"/>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3"/>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b"/>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82"/>
        <w:gridCol w:w="1372"/>
        <w:gridCol w:w="5983"/>
      </w:tblGrid>
      <w:tr w:rsidR="00956C36" w14:paraId="6D0912AB" w14:textId="77777777" w:rsidTr="00F87C8B">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F87C8B">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F87C8B">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F87C8B">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F87C8B">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F87C8B">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F87C8B">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F87C8B">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F87C8B">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F87C8B">
        <w:tc>
          <w:tcPr>
            <w:tcW w:w="1882" w:type="dxa"/>
          </w:tcPr>
          <w:p w14:paraId="7BD28314" w14:textId="3549343D" w:rsidR="00392B8C" w:rsidRPr="00392B8C" w:rsidRDefault="00392B8C" w:rsidP="00D67A6E">
            <w:pPr>
              <w:spacing w:after="0"/>
              <w:rPr>
                <w:rFonts w:hint="eastAsia"/>
                <w:sz w:val="20"/>
                <w:szCs w:val="20"/>
                <w:lang w:eastAsia="zh-CN"/>
              </w:rPr>
            </w:pPr>
            <w:r>
              <w:rPr>
                <w:rFonts w:hint="eastAsia"/>
                <w:sz w:val="20"/>
                <w:szCs w:val="20"/>
                <w:lang w:eastAsia="zh-CN"/>
              </w:rPr>
              <w:lastRenderedPageBreak/>
              <w:t>Z</w:t>
            </w:r>
            <w:r>
              <w:rPr>
                <w:sz w:val="20"/>
                <w:szCs w:val="20"/>
                <w:lang w:eastAsia="zh-CN"/>
              </w:rPr>
              <w:t>TE</w:t>
            </w:r>
          </w:p>
        </w:tc>
        <w:tc>
          <w:tcPr>
            <w:tcW w:w="1372" w:type="dxa"/>
          </w:tcPr>
          <w:p w14:paraId="55FB85D5" w14:textId="1EE6C82F" w:rsidR="00392B8C" w:rsidRPr="00392B8C" w:rsidRDefault="00392B8C" w:rsidP="00D67A6E">
            <w:pPr>
              <w:spacing w:after="0"/>
              <w:rPr>
                <w:rFonts w:hint="eastAsia"/>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3"/>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af3"/>
        <w:tblW w:w="9237" w:type="dxa"/>
        <w:tblInd w:w="118" w:type="dxa"/>
        <w:tblLook w:val="04A0" w:firstRow="1" w:lastRow="0" w:firstColumn="1" w:lastColumn="0" w:noHBand="0" w:noVBand="1"/>
      </w:tblPr>
      <w:tblGrid>
        <w:gridCol w:w="1860"/>
        <w:gridCol w:w="1550"/>
        <w:gridCol w:w="5827"/>
      </w:tblGrid>
      <w:tr w:rsidR="00511072" w14:paraId="3332EFAA" w14:textId="77777777" w:rsidTr="00F87C8B">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F87C8B">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F87C8B">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F87C8B">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F87C8B">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F87C8B">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F87C8B">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F87C8B">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F87C8B">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F87C8B">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F87C8B">
        <w:tc>
          <w:tcPr>
            <w:tcW w:w="1860" w:type="dxa"/>
          </w:tcPr>
          <w:p w14:paraId="03378A89" w14:textId="1DDBD217" w:rsidR="00392B8C" w:rsidRPr="00392B8C" w:rsidRDefault="00392B8C" w:rsidP="00D67A6E">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rFonts w:hint="eastAsia"/>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3"/>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lastRenderedPageBreak/>
              <w:t xml:space="preserve">Observation </w:t>
            </w:r>
            <w:r>
              <w:rPr>
                <w:b/>
                <w:lang w:eastAsia="zh-CN"/>
              </w:rPr>
              <w:t>6</w:t>
            </w:r>
            <w:r w:rsidRPr="00DA5A61">
              <w:rPr>
                <w:b/>
                <w:lang w:eastAsia="zh-CN"/>
              </w:rPr>
              <w:t>: For the inter-RAT mobility from NR to LTE, the current cell reselection and handover mechanisms can be reused for RedCap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afb"/>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afb"/>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lastRenderedPageBreak/>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t>1&gt;</w:t>
      </w:r>
      <w:r w:rsidRPr="00273D3B">
        <w:rPr>
          <w:lang w:val="en-US"/>
        </w:rPr>
        <w:tab/>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PCell,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57"/>
        <w:gridCol w:w="1528"/>
        <w:gridCol w:w="5852"/>
      </w:tblGrid>
      <w:tr w:rsidR="00511072" w14:paraId="6743986A" w14:textId="77777777" w:rsidTr="00F87C8B">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F87C8B">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F87C8B">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47836520" w14:textId="6AA240F7" w:rsidR="00F87C8B" w:rsidRDefault="00F87C8B" w:rsidP="00F87C8B">
            <w:pPr>
              <w:spacing w:after="0"/>
              <w:rPr>
                <w:sz w:val="20"/>
                <w:szCs w:val="20"/>
                <w:lang w:eastAsia="ja-JP"/>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tc>
      </w:tr>
      <w:tr w:rsidR="00F87C8B" w14:paraId="54E31C59" w14:textId="77777777" w:rsidTr="00F87C8B">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F87C8B">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F87C8B">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F87C8B">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F87C8B">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F87C8B">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F87C8B">
        <w:tc>
          <w:tcPr>
            <w:tcW w:w="1857" w:type="dxa"/>
          </w:tcPr>
          <w:p w14:paraId="471734C1" w14:textId="7568FB63" w:rsidR="00392B8C" w:rsidRDefault="00392B8C" w:rsidP="00D67A6E">
            <w:pPr>
              <w:spacing w:after="0"/>
              <w:rPr>
                <w:rFonts w:hint="eastAsia"/>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rFonts w:hint="eastAsia"/>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29" w:name="_Ref434066290"/>
      <w:r>
        <w:rPr>
          <w:rFonts w:ascii="Times New Roman" w:hAnsi="Times New Roman"/>
        </w:rPr>
        <w:lastRenderedPageBreak/>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sectPr w:rsidR="0068010B" w:rsidRPr="0068010B" w:rsidSect="003668F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Yulong" w:date="2022-01-18T15:15:00Z" w:initials="HW">
    <w:p w14:paraId="68084B18" w14:textId="28339B38" w:rsidR="002E00E8" w:rsidRDefault="002E00E8">
      <w:pPr>
        <w:pStyle w:val="a9"/>
      </w:pPr>
      <w:r>
        <w:rPr>
          <w:rStyle w:val="af9"/>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84B18" w16cid:durableId="259173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FFF05" w14:textId="77777777" w:rsidR="00F43E76" w:rsidRDefault="00F43E76" w:rsidP="008A375A">
      <w:pPr>
        <w:spacing w:after="0" w:line="240" w:lineRule="auto"/>
      </w:pPr>
      <w:r>
        <w:separator/>
      </w:r>
    </w:p>
  </w:endnote>
  <w:endnote w:type="continuationSeparator" w:id="0">
    <w:p w14:paraId="527A6B4B" w14:textId="77777777" w:rsidR="00F43E76" w:rsidRDefault="00F43E76" w:rsidP="008A375A">
      <w:pPr>
        <w:spacing w:after="0" w:line="240" w:lineRule="auto"/>
      </w:pPr>
      <w:r>
        <w:continuationSeparator/>
      </w:r>
    </w:p>
  </w:endnote>
  <w:endnote w:type="continuationNotice" w:id="1">
    <w:p w14:paraId="7EADB7C8" w14:textId="77777777" w:rsidR="00F43E76" w:rsidRDefault="00F43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8EEFE" w14:textId="77777777" w:rsidR="00392B8C" w:rsidRDefault="00392B8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19B9" w14:textId="77777777" w:rsidR="00392B8C" w:rsidRDefault="00392B8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A7F7C" w14:textId="77777777" w:rsidR="00392B8C" w:rsidRDefault="00392B8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C63BB" w14:textId="77777777" w:rsidR="00F43E76" w:rsidRDefault="00F43E76" w:rsidP="008A375A">
      <w:pPr>
        <w:spacing w:after="0" w:line="240" w:lineRule="auto"/>
      </w:pPr>
      <w:r>
        <w:separator/>
      </w:r>
    </w:p>
  </w:footnote>
  <w:footnote w:type="continuationSeparator" w:id="0">
    <w:p w14:paraId="70689290" w14:textId="77777777" w:rsidR="00F43E76" w:rsidRDefault="00F43E76" w:rsidP="008A375A">
      <w:pPr>
        <w:spacing w:after="0" w:line="240" w:lineRule="auto"/>
      </w:pPr>
      <w:r>
        <w:continuationSeparator/>
      </w:r>
    </w:p>
  </w:footnote>
  <w:footnote w:type="continuationNotice" w:id="1">
    <w:p w14:paraId="7A7EF74A" w14:textId="77777777" w:rsidR="00F43E76" w:rsidRDefault="00F43E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36EC" w14:textId="77777777" w:rsidR="00392B8C" w:rsidRDefault="00392B8C">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7446B" w14:textId="77777777" w:rsidR="00392B8C" w:rsidRDefault="00392B8C">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EB93" w14:textId="77777777" w:rsidR="00392B8C" w:rsidRDefault="00392B8C">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lvlText w:val="*"/>
      <w:lvlJc w:val="left"/>
    </w:lvl>
  </w:abstractNum>
  <w:abstractNum w:abstractNumId="1">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9"/>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CFE477-CF26-4C78-B7AA-45786370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5010</Words>
  <Characters>28562</Characters>
  <Application>Microsoft Office Word</Application>
  <DocSecurity>0</DocSecurity>
  <Lines>238</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ZTE-LiuJing</cp:lastModifiedBy>
  <cp:revision>5</cp:revision>
  <dcterms:created xsi:type="dcterms:W3CDTF">2022-01-19T03:27:00Z</dcterms:created>
  <dcterms:modified xsi:type="dcterms:W3CDTF">2022-01-19T04:38:00Z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