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2D697" w14:textId="77777777" w:rsidR="00902D7C" w:rsidRDefault="00717CD7">
      <w:pPr>
        <w:pStyle w:val="ab"/>
        <w:outlineLvl w:val="0"/>
        <w:rPr>
          <w:rFonts w:eastAsia="宋体" w:cs="Arial"/>
          <w:sz w:val="24"/>
          <w:lang w:eastAsia="zh-CN"/>
        </w:rPr>
      </w:pPr>
      <w:bookmarkStart w:id="0" w:name="OLE_LINK39"/>
      <w:r>
        <w:rPr>
          <w:rFonts w:eastAsia="宋体" w:cs="Arial"/>
          <w:sz w:val="24"/>
          <w:lang w:eastAsia="zh-CN"/>
        </w:rPr>
        <w:t>3GPP TSG-RAN WG2 Meeting #116</w:t>
      </w:r>
      <w:r>
        <w:rPr>
          <w:rFonts w:eastAsia="宋体" w:cs="Arial" w:hint="eastAsia"/>
          <w:sz w:val="24"/>
          <w:lang w:eastAsia="zh-CN"/>
        </w:rPr>
        <w:t>bis</w:t>
      </w:r>
      <w:r>
        <w:rPr>
          <w:rFonts w:eastAsia="宋体" w:cs="Arial"/>
          <w:sz w:val="24"/>
          <w:lang w:eastAsia="zh-CN"/>
        </w:rPr>
        <w:t xml:space="preserve">-e                                                        </w:t>
      </w:r>
      <w:r>
        <w:rPr>
          <w:rFonts w:eastAsia="宋体" w:cs="Arial"/>
          <w:sz w:val="24"/>
          <w:highlight w:val="yellow"/>
          <w:lang w:eastAsia="zh-CN"/>
        </w:rPr>
        <w:t>R2-210xxxx</w:t>
      </w:r>
    </w:p>
    <w:p w14:paraId="5D4F2D01" w14:textId="77777777" w:rsidR="00902D7C" w:rsidRDefault="00717CD7">
      <w:pPr>
        <w:pStyle w:val="3GPPHeader"/>
        <w:outlineLvl w:val="0"/>
        <w:rPr>
          <w:rFonts w:eastAsia="宋体" w:cs="Arial"/>
          <w:bCs/>
          <w:sz w:val="22"/>
          <w:szCs w:val="22"/>
        </w:rPr>
      </w:pPr>
      <w:r>
        <w:t xml:space="preserve">Electronical meeting, </w:t>
      </w:r>
      <w:r>
        <w:rPr>
          <w:lang w:val="en-US"/>
        </w:rPr>
        <w:t>17 – 25 January 2022</w:t>
      </w:r>
      <w:bookmarkEnd w:id="0"/>
    </w:p>
    <w:p w14:paraId="417E6A83" w14:textId="77777777" w:rsidR="00902D7C" w:rsidRDefault="00717CD7">
      <w:pPr>
        <w:pStyle w:val="ab"/>
        <w:tabs>
          <w:tab w:val="left" w:pos="1800"/>
        </w:tabs>
        <w:spacing w:after="120"/>
        <w:ind w:left="1800" w:hanging="1800"/>
        <w:jc w:val="both"/>
        <w:outlineLvl w:val="0"/>
        <w:rPr>
          <w:rFonts w:eastAsia="宋体" w:cs="Arial"/>
          <w:sz w:val="22"/>
          <w:szCs w:val="22"/>
          <w:lang w:eastAsia="zh-CN"/>
        </w:rPr>
      </w:pPr>
      <w:r>
        <w:rPr>
          <w:rFonts w:cs="Arial"/>
          <w:sz w:val="22"/>
          <w:szCs w:val="22"/>
        </w:rPr>
        <w:t>Source:</w:t>
      </w:r>
      <w:r>
        <w:rPr>
          <w:rFonts w:cs="Arial"/>
          <w:sz w:val="22"/>
          <w:szCs w:val="22"/>
        </w:rPr>
        <w:tab/>
      </w:r>
      <w:r>
        <w:rPr>
          <w:rFonts w:eastAsia="宋体" w:cs="Arial"/>
          <w:sz w:val="22"/>
          <w:szCs w:val="22"/>
          <w:lang w:eastAsia="zh-CN"/>
        </w:rPr>
        <w:t xml:space="preserve">Qualcomm Incorporated </w:t>
      </w:r>
    </w:p>
    <w:p w14:paraId="29C8F3B1" w14:textId="77777777" w:rsidR="00902D7C" w:rsidRDefault="00717CD7">
      <w:pPr>
        <w:pStyle w:val="ab"/>
        <w:tabs>
          <w:tab w:val="left" w:pos="1800"/>
        </w:tabs>
        <w:spacing w:after="120"/>
        <w:ind w:left="1791" w:hangingChars="814" w:hanging="1791"/>
        <w:jc w:val="both"/>
        <w:outlineLvl w:val="0"/>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eastAsia="宋体" w:cs="Arial"/>
          <w:sz w:val="22"/>
          <w:szCs w:val="22"/>
          <w:lang w:eastAsia="zh-CN"/>
        </w:rPr>
        <w:t>RAN visible QoE</w:t>
      </w:r>
    </w:p>
    <w:p w14:paraId="1D398773" w14:textId="77777777" w:rsidR="00902D7C" w:rsidRDefault="00717CD7">
      <w:pPr>
        <w:pStyle w:val="ab"/>
        <w:tabs>
          <w:tab w:val="left" w:pos="1800"/>
        </w:tabs>
        <w:spacing w:after="120"/>
        <w:ind w:left="1791" w:hangingChars="814" w:hanging="1791"/>
        <w:jc w:val="both"/>
        <w:outlineLvl w:val="0"/>
        <w:rPr>
          <w:rFonts w:eastAsia="宋体" w:cs="Arial"/>
          <w:sz w:val="22"/>
          <w:szCs w:val="22"/>
          <w:lang w:eastAsia="zh-CN"/>
        </w:rPr>
      </w:pPr>
      <w:r>
        <w:rPr>
          <w:rFonts w:cs="Arial"/>
          <w:sz w:val="22"/>
          <w:szCs w:val="22"/>
        </w:rPr>
        <w:t>Agenda Item:</w:t>
      </w:r>
      <w:bookmarkStart w:id="2" w:name="Source"/>
      <w:bookmarkEnd w:id="2"/>
      <w:r>
        <w:rPr>
          <w:rFonts w:cs="Arial"/>
          <w:sz w:val="22"/>
          <w:szCs w:val="22"/>
        </w:rPr>
        <w:tab/>
        <w:t>8.14 NR QoE</w:t>
      </w:r>
    </w:p>
    <w:p w14:paraId="430DF874" w14:textId="77777777" w:rsidR="00902D7C" w:rsidRDefault="00717CD7">
      <w:pPr>
        <w:pStyle w:val="ab"/>
        <w:tabs>
          <w:tab w:val="left" w:pos="1800"/>
        </w:tabs>
        <w:jc w:val="both"/>
        <w:outlineLvl w:val="0"/>
        <w:rPr>
          <w:rFonts w:eastAsia="宋体" w:cs="Arial"/>
          <w:sz w:val="22"/>
          <w:szCs w:val="22"/>
          <w:lang w:eastAsia="zh-CN"/>
        </w:rPr>
      </w:pPr>
      <w:r>
        <w:rPr>
          <w:rFonts w:cs="Arial"/>
          <w:sz w:val="22"/>
          <w:szCs w:val="22"/>
        </w:rPr>
        <w:t>Document for:</w:t>
      </w:r>
      <w:r>
        <w:rPr>
          <w:rFonts w:cs="Arial"/>
          <w:sz w:val="22"/>
          <w:szCs w:val="22"/>
        </w:rPr>
        <w:tab/>
      </w:r>
      <w:bookmarkStart w:id="3" w:name="DocumentFor"/>
      <w:bookmarkEnd w:id="3"/>
      <w:r>
        <w:rPr>
          <w:rFonts w:eastAsia="宋体" w:cs="Arial"/>
          <w:sz w:val="22"/>
          <w:szCs w:val="22"/>
          <w:lang w:eastAsia="zh-CN"/>
        </w:rPr>
        <w:t>Discussion and Decision</w:t>
      </w:r>
    </w:p>
    <w:p w14:paraId="0A016464" w14:textId="77777777" w:rsidR="00902D7C" w:rsidRDefault="00717CD7">
      <w:pPr>
        <w:pStyle w:val="1"/>
        <w:rPr>
          <w:rFonts w:cs="Arial"/>
          <w:lang w:eastAsia="ko-KR"/>
        </w:rPr>
      </w:pPr>
      <w:r>
        <w:rPr>
          <w:rFonts w:cs="Arial"/>
          <w:lang w:eastAsia="ko-KR"/>
        </w:rPr>
        <w:t xml:space="preserve">1 </w:t>
      </w:r>
      <w:r>
        <w:rPr>
          <w:rFonts w:cs="Arial"/>
        </w:rPr>
        <w:t>Introduction</w:t>
      </w:r>
    </w:p>
    <w:p w14:paraId="72751988" w14:textId="77777777" w:rsidR="00902D7C" w:rsidRDefault="00717CD7">
      <w:pPr>
        <w:pStyle w:val="Doc-title"/>
        <w:rPr>
          <w:rFonts w:cs="Arial"/>
          <w:szCs w:val="20"/>
        </w:rPr>
      </w:pPr>
      <w:r>
        <w:rPr>
          <w:rFonts w:cs="Arial"/>
          <w:szCs w:val="20"/>
        </w:rPr>
        <w:t>This document aims at gathering and summarizing companies views for the following offline discussion:</w:t>
      </w:r>
    </w:p>
    <w:p w14:paraId="11616202" w14:textId="77777777" w:rsidR="00902D7C" w:rsidRDefault="00717CD7">
      <w:pPr>
        <w:pStyle w:val="EmailDiscussion"/>
        <w:rPr>
          <w:lang w:val="en-US" w:eastAsia="ja-JP"/>
        </w:rPr>
      </w:pPr>
      <w:bookmarkStart w:id="4" w:name="_Toc497230266"/>
      <w:bookmarkStart w:id="5" w:name="_Toc497230267"/>
      <w:r>
        <w:rPr>
          <w:lang w:eastAsia="ja-JP"/>
        </w:rPr>
        <w:t>[AT116bis-e][029][QoE] RAN Visible QoE (Qualcomm)</w:t>
      </w:r>
    </w:p>
    <w:p w14:paraId="5FF993E8" w14:textId="77777777" w:rsidR="00902D7C" w:rsidRDefault="00717CD7">
      <w:pPr>
        <w:pStyle w:val="EmailDiscussion2"/>
      </w:pPr>
      <w:r>
        <w:t xml:space="preserve">      Scope: Determine what RAN2 need to do to support RAN3 decisions in LS in R2-2200110, Take into account documents in subclause 8.14.2. and make the corresponding decisions to such level that it is possible to make corresponding Stage-3 updates. </w:t>
      </w:r>
    </w:p>
    <w:p w14:paraId="04AC196E" w14:textId="77777777" w:rsidR="00902D7C" w:rsidRDefault="00717CD7">
      <w:pPr>
        <w:pStyle w:val="EmailDiscussion2"/>
      </w:pPr>
      <w:r>
        <w:t>      Intended outcome: Report, with discussion and agreements</w:t>
      </w:r>
    </w:p>
    <w:p w14:paraId="595844E3" w14:textId="77777777" w:rsidR="00902D7C" w:rsidRDefault="00717CD7">
      <w:pPr>
        <w:pStyle w:val="EmailDiscussion2"/>
      </w:pPr>
      <w:r>
        <w:t>      Deadline: Friday W1</w:t>
      </w:r>
    </w:p>
    <w:p w14:paraId="2A578D96" w14:textId="77777777" w:rsidR="00902D7C" w:rsidRDefault="00717CD7">
      <w:pPr>
        <w:pStyle w:val="1"/>
        <w:rPr>
          <w:rFonts w:cs="Arial"/>
        </w:rPr>
      </w:pPr>
      <w:r>
        <w:rPr>
          <w:rFonts w:cs="Arial"/>
        </w:rPr>
        <w:t>2</w:t>
      </w:r>
      <w:r>
        <w:rPr>
          <w:rFonts w:cs="Arial"/>
        </w:rPr>
        <w:tab/>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2835"/>
        <w:gridCol w:w="4391"/>
      </w:tblGrid>
      <w:tr w:rsidR="00902D7C" w14:paraId="0CE0E1E0"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F7427" w14:textId="77777777" w:rsidR="00902D7C" w:rsidRDefault="00717CD7">
            <w:pPr>
              <w:pStyle w:val="TAH"/>
              <w:spacing w:before="20" w:after="20"/>
              <w:ind w:left="57" w:right="57"/>
              <w:jc w:val="left"/>
              <w:rPr>
                <w:rFonts w:cs="Arial"/>
              </w:rPr>
            </w:pPr>
            <w:r>
              <w:rPr>
                <w:rFonts w:cs="Arial"/>
              </w:rPr>
              <w:t>Company</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7F301" w14:textId="77777777" w:rsidR="00902D7C" w:rsidRDefault="00717CD7">
            <w:pPr>
              <w:pStyle w:val="TAH"/>
              <w:spacing w:before="20" w:after="20"/>
              <w:ind w:left="57" w:right="57"/>
              <w:jc w:val="left"/>
              <w:rPr>
                <w:rFonts w:cs="Arial"/>
              </w:rPr>
            </w:pPr>
            <w:r>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B24A81" w14:textId="77777777" w:rsidR="00902D7C" w:rsidRDefault="00717CD7">
            <w:pPr>
              <w:pStyle w:val="TAH"/>
              <w:spacing w:before="20" w:after="20"/>
              <w:ind w:left="57" w:right="57"/>
              <w:jc w:val="left"/>
              <w:rPr>
                <w:rFonts w:cs="Arial"/>
              </w:rPr>
            </w:pPr>
            <w:r>
              <w:rPr>
                <w:rFonts w:cs="Arial"/>
              </w:rPr>
              <w:t>Email Address</w:t>
            </w:r>
          </w:p>
        </w:tc>
      </w:tr>
      <w:tr w:rsidR="00902D7C" w14:paraId="04461B40"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2A460BE5" w14:textId="77777777" w:rsidR="00902D7C" w:rsidRDefault="00717CD7">
            <w:pPr>
              <w:pStyle w:val="TAC"/>
              <w:spacing w:before="20" w:after="20"/>
              <w:ind w:left="57" w:right="57"/>
              <w:jc w:val="left"/>
              <w:rPr>
                <w:rFonts w:cs="Arial"/>
                <w:lang w:eastAsia="zh-CN"/>
              </w:rPr>
            </w:pPr>
            <w:r>
              <w:rPr>
                <w:rFonts w:cs="Arial"/>
                <w:lang w:eastAsia="zh-CN"/>
              </w:rPr>
              <w:t>Qualcomm</w:t>
            </w:r>
          </w:p>
        </w:tc>
        <w:tc>
          <w:tcPr>
            <w:tcW w:w="2835" w:type="dxa"/>
            <w:tcBorders>
              <w:top w:val="single" w:sz="4" w:space="0" w:color="auto"/>
              <w:left w:val="single" w:sz="4" w:space="0" w:color="auto"/>
              <w:bottom w:val="single" w:sz="4" w:space="0" w:color="auto"/>
              <w:right w:val="single" w:sz="4" w:space="0" w:color="auto"/>
            </w:tcBorders>
          </w:tcPr>
          <w:p w14:paraId="5C431F88" w14:textId="77777777" w:rsidR="00902D7C" w:rsidRDefault="00717CD7">
            <w:pPr>
              <w:pStyle w:val="TAC"/>
              <w:spacing w:before="20" w:after="20"/>
              <w:ind w:left="57" w:right="57"/>
              <w:jc w:val="left"/>
              <w:rPr>
                <w:rFonts w:cs="Arial"/>
                <w:lang w:eastAsia="zh-CN"/>
              </w:rPr>
            </w:pPr>
            <w:r>
              <w:rPr>
                <w:rFonts w:cs="Arial"/>
                <w:lang w:eastAsia="zh-CN"/>
              </w:rPr>
              <w:t>Jianhua Liu</w:t>
            </w:r>
          </w:p>
        </w:tc>
        <w:tc>
          <w:tcPr>
            <w:tcW w:w="4391" w:type="dxa"/>
            <w:tcBorders>
              <w:top w:val="single" w:sz="4" w:space="0" w:color="auto"/>
              <w:left w:val="single" w:sz="4" w:space="0" w:color="auto"/>
              <w:bottom w:val="single" w:sz="4" w:space="0" w:color="auto"/>
              <w:right w:val="single" w:sz="4" w:space="0" w:color="auto"/>
            </w:tcBorders>
          </w:tcPr>
          <w:p w14:paraId="161D7CB6" w14:textId="77777777" w:rsidR="00902D7C" w:rsidRDefault="00717CD7">
            <w:pPr>
              <w:pStyle w:val="TAC"/>
              <w:spacing w:before="20" w:after="20"/>
              <w:ind w:left="57" w:right="57"/>
              <w:jc w:val="left"/>
              <w:rPr>
                <w:rFonts w:cs="Arial"/>
                <w:lang w:eastAsia="zh-CN"/>
              </w:rPr>
            </w:pPr>
            <w:r>
              <w:rPr>
                <w:rFonts w:cs="Arial"/>
                <w:lang w:eastAsia="zh-CN"/>
              </w:rPr>
              <w:t>jianhua@qti.qualcomm.com</w:t>
            </w:r>
          </w:p>
        </w:tc>
      </w:tr>
      <w:tr w:rsidR="00902D7C" w14:paraId="0452296F"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0902485" w14:textId="77777777" w:rsidR="00902D7C" w:rsidRDefault="00717CD7">
            <w:pPr>
              <w:pStyle w:val="TAC"/>
              <w:spacing w:before="20" w:after="20"/>
              <w:ind w:left="57" w:right="57"/>
              <w:jc w:val="left"/>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835" w:type="dxa"/>
            <w:tcBorders>
              <w:top w:val="single" w:sz="4" w:space="0" w:color="auto"/>
              <w:left w:val="single" w:sz="4" w:space="0" w:color="auto"/>
              <w:bottom w:val="single" w:sz="4" w:space="0" w:color="auto"/>
              <w:right w:val="single" w:sz="4" w:space="0" w:color="auto"/>
            </w:tcBorders>
          </w:tcPr>
          <w:p w14:paraId="04D5B3A0"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J</w:t>
            </w:r>
            <w:r>
              <w:rPr>
                <w:rFonts w:eastAsiaTheme="minorEastAsia" w:cs="Arial"/>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58A22C" w14:textId="77777777" w:rsidR="00902D7C" w:rsidRDefault="00717CD7">
            <w:pPr>
              <w:pStyle w:val="TAC"/>
              <w:spacing w:before="20" w:after="20"/>
              <w:ind w:left="57" w:right="57"/>
              <w:jc w:val="left"/>
              <w:rPr>
                <w:rFonts w:eastAsiaTheme="minorEastAsia" w:cs="Arial"/>
                <w:lang w:eastAsia="zh-CN"/>
              </w:rPr>
            </w:pPr>
            <w:r>
              <w:rPr>
                <w:rFonts w:eastAsiaTheme="minorEastAsia" w:cs="Arial"/>
                <w:lang w:eastAsia="zh-CN"/>
              </w:rPr>
              <w:t>jun.chen@huawei.com</w:t>
            </w:r>
          </w:p>
        </w:tc>
      </w:tr>
      <w:tr w:rsidR="00902D7C" w14:paraId="0D83F4AB"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5F0C4AAF" w14:textId="77777777" w:rsidR="00902D7C" w:rsidRDefault="00717CD7">
            <w:pPr>
              <w:pStyle w:val="TAC"/>
              <w:spacing w:before="20" w:after="20"/>
              <w:ind w:left="57" w:right="57"/>
              <w:jc w:val="left"/>
              <w:rPr>
                <w:rFonts w:cs="Arial"/>
                <w:lang w:eastAsia="zh-CN"/>
              </w:rPr>
            </w:pPr>
            <w:r>
              <w:rPr>
                <w:rFonts w:cs="Arial"/>
                <w:lang w:eastAsia="zh-CN"/>
              </w:rPr>
              <w:t>Ericsson</w:t>
            </w:r>
          </w:p>
        </w:tc>
        <w:tc>
          <w:tcPr>
            <w:tcW w:w="2835" w:type="dxa"/>
            <w:tcBorders>
              <w:top w:val="single" w:sz="4" w:space="0" w:color="auto"/>
              <w:left w:val="single" w:sz="4" w:space="0" w:color="auto"/>
              <w:bottom w:val="single" w:sz="4" w:space="0" w:color="auto"/>
              <w:right w:val="single" w:sz="4" w:space="0" w:color="auto"/>
            </w:tcBorders>
          </w:tcPr>
          <w:p w14:paraId="759A00B9" w14:textId="77777777" w:rsidR="00902D7C" w:rsidRDefault="00717CD7">
            <w:pPr>
              <w:pStyle w:val="TAC"/>
              <w:spacing w:before="20" w:after="20"/>
              <w:ind w:left="57" w:right="57"/>
              <w:jc w:val="left"/>
              <w:rPr>
                <w:rFonts w:cs="Arial"/>
                <w:lang w:eastAsia="zh-CN"/>
              </w:rPr>
            </w:pPr>
            <w:r>
              <w:rPr>
                <w:rFonts w:cs="Arial"/>
                <w:lang w:eastAsia="zh-CN"/>
              </w:rPr>
              <w:t>Cecilia Eklöf</w:t>
            </w:r>
          </w:p>
        </w:tc>
        <w:tc>
          <w:tcPr>
            <w:tcW w:w="4391" w:type="dxa"/>
            <w:tcBorders>
              <w:top w:val="single" w:sz="4" w:space="0" w:color="auto"/>
              <w:left w:val="single" w:sz="4" w:space="0" w:color="auto"/>
              <w:bottom w:val="single" w:sz="4" w:space="0" w:color="auto"/>
              <w:right w:val="single" w:sz="4" w:space="0" w:color="auto"/>
            </w:tcBorders>
          </w:tcPr>
          <w:p w14:paraId="301AC1A7" w14:textId="77777777" w:rsidR="00902D7C" w:rsidRDefault="00717CD7">
            <w:pPr>
              <w:pStyle w:val="TAC"/>
              <w:spacing w:before="20" w:after="20"/>
              <w:ind w:left="57" w:right="57"/>
              <w:jc w:val="left"/>
              <w:rPr>
                <w:rFonts w:cs="Arial"/>
                <w:lang w:eastAsia="zh-CN"/>
              </w:rPr>
            </w:pPr>
            <w:r>
              <w:rPr>
                <w:rFonts w:cs="Arial"/>
                <w:lang w:eastAsia="zh-CN"/>
              </w:rPr>
              <w:t>cecilia.eklof@ericsson.com</w:t>
            </w:r>
          </w:p>
        </w:tc>
      </w:tr>
      <w:tr w:rsidR="00902D7C" w14:paraId="57324E4A"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A4E0529" w14:textId="77777777" w:rsidR="00902D7C" w:rsidRDefault="00717CD7">
            <w:pPr>
              <w:pStyle w:val="TAC"/>
              <w:spacing w:before="20" w:after="20"/>
              <w:ind w:left="57" w:right="57"/>
              <w:jc w:val="left"/>
              <w:rPr>
                <w:rFonts w:cs="Arial"/>
                <w:lang w:eastAsia="zh-CN"/>
              </w:rPr>
            </w:pPr>
            <w:r>
              <w:rPr>
                <w:rFonts w:cs="Arial"/>
                <w:lang w:eastAsia="zh-CN"/>
              </w:rPr>
              <w:t>Nokia, Nokia Shanghai Bell</w:t>
            </w:r>
          </w:p>
        </w:tc>
        <w:tc>
          <w:tcPr>
            <w:tcW w:w="2835" w:type="dxa"/>
            <w:tcBorders>
              <w:top w:val="single" w:sz="4" w:space="0" w:color="auto"/>
              <w:left w:val="single" w:sz="4" w:space="0" w:color="auto"/>
              <w:bottom w:val="single" w:sz="4" w:space="0" w:color="auto"/>
              <w:right w:val="single" w:sz="4" w:space="0" w:color="auto"/>
            </w:tcBorders>
          </w:tcPr>
          <w:p w14:paraId="3E28C2D9" w14:textId="77777777" w:rsidR="00902D7C" w:rsidRDefault="00717CD7">
            <w:pPr>
              <w:pStyle w:val="TAC"/>
              <w:spacing w:before="20" w:after="20"/>
              <w:ind w:left="57" w:right="57"/>
              <w:jc w:val="left"/>
              <w:rPr>
                <w:rFonts w:cs="Arial"/>
                <w:lang w:eastAsia="zh-CN"/>
              </w:rPr>
            </w:pPr>
            <w:r>
              <w:rPr>
                <w:rFonts w:cs="Arial"/>
                <w:lang w:eastAsia="zh-CN"/>
              </w:rPr>
              <w:t>Malgorzata Tomala</w:t>
            </w:r>
          </w:p>
        </w:tc>
        <w:tc>
          <w:tcPr>
            <w:tcW w:w="4391" w:type="dxa"/>
            <w:tcBorders>
              <w:top w:val="single" w:sz="4" w:space="0" w:color="auto"/>
              <w:left w:val="single" w:sz="4" w:space="0" w:color="auto"/>
              <w:bottom w:val="single" w:sz="4" w:space="0" w:color="auto"/>
              <w:right w:val="single" w:sz="4" w:space="0" w:color="auto"/>
            </w:tcBorders>
          </w:tcPr>
          <w:p w14:paraId="3CC7C737" w14:textId="77777777" w:rsidR="00902D7C" w:rsidRDefault="00717CD7">
            <w:pPr>
              <w:pStyle w:val="TAC"/>
              <w:spacing w:before="20" w:after="20"/>
              <w:ind w:left="57" w:right="57"/>
              <w:jc w:val="left"/>
              <w:rPr>
                <w:rFonts w:cs="Arial"/>
                <w:lang w:eastAsia="zh-CN"/>
              </w:rPr>
            </w:pPr>
            <w:r>
              <w:rPr>
                <w:rFonts w:cs="Arial"/>
                <w:lang w:eastAsia="zh-CN"/>
              </w:rPr>
              <w:t>malgorzata.tomala@nokia.com</w:t>
            </w:r>
          </w:p>
        </w:tc>
      </w:tr>
      <w:tr w:rsidR="00902D7C" w14:paraId="7152F709"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3FF24766" w14:textId="77777777" w:rsidR="00902D7C" w:rsidRDefault="00717CD7">
            <w:pPr>
              <w:pStyle w:val="TAC"/>
              <w:spacing w:before="20" w:after="20"/>
              <w:ind w:left="57" w:right="57"/>
              <w:jc w:val="left"/>
              <w:rPr>
                <w:rFonts w:cs="Arial"/>
                <w:lang w:eastAsia="zh-CN"/>
              </w:rPr>
            </w:pPr>
            <w:r>
              <w:rPr>
                <w:rFonts w:cs="Arial"/>
                <w:lang w:eastAsia="zh-CN"/>
              </w:rPr>
              <w:t>T-Mobile, USA</w:t>
            </w:r>
          </w:p>
        </w:tc>
        <w:tc>
          <w:tcPr>
            <w:tcW w:w="2835" w:type="dxa"/>
            <w:tcBorders>
              <w:top w:val="single" w:sz="4" w:space="0" w:color="auto"/>
              <w:left w:val="single" w:sz="4" w:space="0" w:color="auto"/>
              <w:bottom w:val="single" w:sz="4" w:space="0" w:color="auto"/>
              <w:right w:val="single" w:sz="4" w:space="0" w:color="auto"/>
            </w:tcBorders>
          </w:tcPr>
          <w:p w14:paraId="4CA9D7B7" w14:textId="77777777" w:rsidR="00902D7C" w:rsidRDefault="00717CD7">
            <w:pPr>
              <w:pStyle w:val="TAC"/>
              <w:spacing w:before="20" w:after="20"/>
              <w:ind w:left="57" w:right="57"/>
              <w:jc w:val="left"/>
              <w:rPr>
                <w:rFonts w:cs="Arial"/>
                <w:lang w:eastAsia="zh-CN"/>
              </w:rPr>
            </w:pPr>
            <w:r>
              <w:rPr>
                <w:rFonts w:cs="Arial"/>
                <w:lang w:eastAsia="zh-CN"/>
              </w:rPr>
              <w:t>Brett Christian</w:t>
            </w:r>
          </w:p>
        </w:tc>
        <w:tc>
          <w:tcPr>
            <w:tcW w:w="4391" w:type="dxa"/>
            <w:tcBorders>
              <w:top w:val="single" w:sz="4" w:space="0" w:color="auto"/>
              <w:left w:val="single" w:sz="4" w:space="0" w:color="auto"/>
              <w:bottom w:val="single" w:sz="4" w:space="0" w:color="auto"/>
              <w:right w:val="single" w:sz="4" w:space="0" w:color="auto"/>
            </w:tcBorders>
          </w:tcPr>
          <w:p w14:paraId="2AC56225" w14:textId="77777777" w:rsidR="00902D7C" w:rsidRDefault="00717CD7">
            <w:pPr>
              <w:pStyle w:val="TAC"/>
              <w:spacing w:before="20" w:after="20"/>
              <w:ind w:left="57" w:right="57"/>
              <w:jc w:val="left"/>
              <w:rPr>
                <w:rFonts w:cs="Arial"/>
                <w:lang w:eastAsia="zh-CN"/>
              </w:rPr>
            </w:pPr>
            <w:r>
              <w:rPr>
                <w:rFonts w:cs="Arial"/>
                <w:lang w:eastAsia="zh-CN"/>
              </w:rPr>
              <w:t>brett.christian@t-mobile.com</w:t>
            </w:r>
          </w:p>
        </w:tc>
      </w:tr>
      <w:tr w:rsidR="00902D7C" w14:paraId="7DB025E3"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16DC0D0F"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CMCC</w:t>
            </w:r>
          </w:p>
        </w:tc>
        <w:tc>
          <w:tcPr>
            <w:tcW w:w="2835" w:type="dxa"/>
            <w:tcBorders>
              <w:top w:val="single" w:sz="4" w:space="0" w:color="auto"/>
              <w:left w:val="single" w:sz="4" w:space="0" w:color="auto"/>
              <w:bottom w:val="single" w:sz="4" w:space="0" w:color="auto"/>
              <w:right w:val="single" w:sz="4" w:space="0" w:color="auto"/>
            </w:tcBorders>
          </w:tcPr>
          <w:p w14:paraId="12EDA46F" w14:textId="77777777" w:rsidR="00902D7C" w:rsidRDefault="00717CD7">
            <w:pPr>
              <w:pStyle w:val="TAC"/>
              <w:spacing w:before="20" w:after="20"/>
              <w:ind w:left="57" w:right="57"/>
              <w:jc w:val="left"/>
              <w:rPr>
                <w:rFonts w:eastAsiaTheme="minorEastAsia" w:cs="Arial"/>
                <w:lang w:eastAsia="zh-CN"/>
              </w:rPr>
            </w:pPr>
            <w:proofErr w:type="spellStart"/>
            <w:r>
              <w:rPr>
                <w:rFonts w:eastAsiaTheme="minorEastAsia" w:cs="Arial" w:hint="eastAsia"/>
                <w:lang w:eastAsia="zh-CN"/>
              </w:rPr>
              <w:t>Xingyu</w:t>
            </w:r>
            <w:proofErr w:type="spellEnd"/>
            <w:r>
              <w:rPr>
                <w:rFonts w:eastAsiaTheme="minorEastAsia" w:cs="Arial" w:hint="eastAsia"/>
                <w:lang w:eastAsia="zh-CN"/>
              </w:rPr>
              <w:t xml:space="preserve"> Han</w:t>
            </w:r>
          </w:p>
        </w:tc>
        <w:tc>
          <w:tcPr>
            <w:tcW w:w="4391" w:type="dxa"/>
            <w:tcBorders>
              <w:top w:val="single" w:sz="4" w:space="0" w:color="auto"/>
              <w:left w:val="single" w:sz="4" w:space="0" w:color="auto"/>
              <w:bottom w:val="single" w:sz="4" w:space="0" w:color="auto"/>
              <w:right w:val="single" w:sz="4" w:space="0" w:color="auto"/>
            </w:tcBorders>
          </w:tcPr>
          <w:p w14:paraId="41CA01B4" w14:textId="77777777" w:rsidR="00902D7C" w:rsidRDefault="00717CD7">
            <w:pPr>
              <w:pStyle w:val="TAC"/>
              <w:spacing w:before="20" w:after="20"/>
              <w:ind w:left="57" w:right="57"/>
              <w:jc w:val="left"/>
              <w:rPr>
                <w:rFonts w:eastAsiaTheme="minorEastAsia" w:cs="Arial"/>
                <w:lang w:eastAsia="zh-CN"/>
              </w:rPr>
            </w:pPr>
            <w:r>
              <w:rPr>
                <w:rFonts w:eastAsiaTheme="minorEastAsia" w:cs="Arial" w:hint="eastAsia"/>
                <w:lang w:eastAsia="zh-CN"/>
              </w:rPr>
              <w:t>hanxingyu@chinamobile.com</w:t>
            </w:r>
          </w:p>
        </w:tc>
      </w:tr>
      <w:tr w:rsidR="00902D7C" w14:paraId="3ABF52F2"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69AA6AF3" w14:textId="77777777" w:rsidR="00902D7C" w:rsidRDefault="00717CD7">
            <w:pPr>
              <w:pStyle w:val="TAC"/>
              <w:spacing w:before="20" w:after="20"/>
              <w:ind w:left="57" w:right="57"/>
              <w:jc w:val="left"/>
              <w:rPr>
                <w:rFonts w:cs="Arial"/>
                <w:lang w:eastAsia="zh-CN"/>
              </w:rPr>
            </w:pPr>
            <w:r>
              <w:rPr>
                <w:rFonts w:cs="Arial"/>
                <w:lang w:eastAsia="zh-CN"/>
              </w:rPr>
              <w:t>vivo</w:t>
            </w:r>
          </w:p>
        </w:tc>
        <w:tc>
          <w:tcPr>
            <w:tcW w:w="2835" w:type="dxa"/>
            <w:tcBorders>
              <w:top w:val="single" w:sz="4" w:space="0" w:color="auto"/>
              <w:left w:val="single" w:sz="4" w:space="0" w:color="auto"/>
              <w:bottom w:val="single" w:sz="4" w:space="0" w:color="auto"/>
              <w:right w:val="single" w:sz="4" w:space="0" w:color="auto"/>
            </w:tcBorders>
          </w:tcPr>
          <w:p w14:paraId="49D5E549" w14:textId="77777777" w:rsidR="00902D7C" w:rsidRDefault="00717CD7">
            <w:pPr>
              <w:pStyle w:val="TAC"/>
              <w:spacing w:before="20" w:after="20"/>
              <w:ind w:left="57" w:right="57"/>
              <w:jc w:val="left"/>
              <w:rPr>
                <w:rFonts w:cs="Arial"/>
                <w:lang w:eastAsia="zh-CN"/>
              </w:rPr>
            </w:pPr>
            <w:r>
              <w:rPr>
                <w:rFonts w:cs="Arial"/>
                <w:lang w:eastAsia="zh-CN"/>
              </w:rPr>
              <w:t>Xiang Pan</w:t>
            </w:r>
          </w:p>
        </w:tc>
        <w:tc>
          <w:tcPr>
            <w:tcW w:w="4391" w:type="dxa"/>
            <w:tcBorders>
              <w:top w:val="single" w:sz="4" w:space="0" w:color="auto"/>
              <w:left w:val="single" w:sz="4" w:space="0" w:color="auto"/>
              <w:bottom w:val="single" w:sz="4" w:space="0" w:color="auto"/>
              <w:right w:val="single" w:sz="4" w:space="0" w:color="auto"/>
            </w:tcBorders>
          </w:tcPr>
          <w:p w14:paraId="2DCA08C6" w14:textId="77777777" w:rsidR="00902D7C" w:rsidRDefault="00717CD7">
            <w:pPr>
              <w:pStyle w:val="TAC"/>
              <w:spacing w:before="20" w:after="20"/>
              <w:ind w:left="57" w:right="57"/>
              <w:jc w:val="left"/>
              <w:rPr>
                <w:rFonts w:cs="Arial"/>
                <w:lang w:eastAsia="zh-CN"/>
              </w:rPr>
            </w:pPr>
            <w:r>
              <w:rPr>
                <w:rFonts w:cs="Arial"/>
                <w:lang w:eastAsia="zh-CN"/>
              </w:rPr>
              <w:t>panxiang@vivo.com</w:t>
            </w:r>
          </w:p>
        </w:tc>
      </w:tr>
      <w:tr w:rsidR="00902D7C" w14:paraId="69FA016D"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58DDDE89" w14:textId="77777777" w:rsidR="00902D7C" w:rsidRDefault="00717CD7">
            <w:pPr>
              <w:pStyle w:val="TAC"/>
              <w:spacing w:before="20" w:after="20"/>
              <w:ind w:left="57" w:right="57"/>
              <w:jc w:val="left"/>
              <w:rPr>
                <w:rFonts w:cs="Arial"/>
                <w:lang w:val="en-US" w:eastAsia="zh-CN"/>
              </w:rPr>
            </w:pPr>
            <w:r>
              <w:rPr>
                <w:rFonts w:cs="Arial"/>
                <w:lang w:val="en-US" w:eastAsia="zh-CN"/>
              </w:rPr>
              <w:t>ZTE</w:t>
            </w:r>
          </w:p>
        </w:tc>
        <w:tc>
          <w:tcPr>
            <w:tcW w:w="2835" w:type="dxa"/>
            <w:tcBorders>
              <w:top w:val="single" w:sz="4" w:space="0" w:color="auto"/>
              <w:left w:val="single" w:sz="4" w:space="0" w:color="auto"/>
              <w:bottom w:val="single" w:sz="4" w:space="0" w:color="auto"/>
              <w:right w:val="single" w:sz="4" w:space="0" w:color="auto"/>
            </w:tcBorders>
          </w:tcPr>
          <w:p w14:paraId="52AF18B1" w14:textId="77777777" w:rsidR="00902D7C" w:rsidRDefault="00717CD7">
            <w:pPr>
              <w:pStyle w:val="TAC"/>
              <w:spacing w:before="20" w:after="20"/>
              <w:ind w:left="57" w:right="57"/>
              <w:jc w:val="left"/>
              <w:rPr>
                <w:rFonts w:cs="Arial"/>
                <w:lang w:val="en-US" w:eastAsia="zh-CN"/>
              </w:rPr>
            </w:pPr>
            <w:r>
              <w:rPr>
                <w:rFonts w:cs="Arial"/>
                <w:lang w:val="en-US" w:eastAsia="zh-CN"/>
              </w:rPr>
              <w:t xml:space="preserve">Liu </w:t>
            </w:r>
            <w:proofErr w:type="spellStart"/>
            <w:r>
              <w:rPr>
                <w:rFonts w:cs="Arial"/>
                <w:lang w:val="en-US" w:eastAsia="zh-CN"/>
              </w:rPr>
              <w:t>Yansheng</w:t>
            </w:r>
            <w:proofErr w:type="spellEnd"/>
          </w:p>
        </w:tc>
        <w:tc>
          <w:tcPr>
            <w:tcW w:w="4391" w:type="dxa"/>
            <w:tcBorders>
              <w:top w:val="single" w:sz="4" w:space="0" w:color="auto"/>
              <w:left w:val="single" w:sz="4" w:space="0" w:color="auto"/>
              <w:bottom w:val="single" w:sz="4" w:space="0" w:color="auto"/>
              <w:right w:val="single" w:sz="4" w:space="0" w:color="auto"/>
            </w:tcBorders>
          </w:tcPr>
          <w:p w14:paraId="22531FDC" w14:textId="77777777" w:rsidR="00902D7C" w:rsidRDefault="00717CD7">
            <w:pPr>
              <w:pStyle w:val="TAC"/>
              <w:spacing w:before="20" w:after="20"/>
              <w:ind w:left="57" w:right="57"/>
              <w:jc w:val="left"/>
              <w:rPr>
                <w:rFonts w:cs="Arial"/>
                <w:lang w:val="en-US" w:eastAsia="zh-CN"/>
              </w:rPr>
            </w:pPr>
            <w:r>
              <w:rPr>
                <w:rFonts w:cs="Arial"/>
                <w:lang w:val="en-US" w:eastAsia="zh-CN"/>
              </w:rPr>
              <w:t>Liu.yansheng@zte.com.cn</w:t>
            </w:r>
          </w:p>
        </w:tc>
      </w:tr>
      <w:tr w:rsidR="00AB4EFF" w14:paraId="3CA69877"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4A767C25" w14:textId="31D88A11" w:rsidR="00AB4EFF" w:rsidRPr="00AB4EFF" w:rsidRDefault="00AB4EFF">
            <w:pPr>
              <w:pStyle w:val="TAC"/>
              <w:spacing w:before="20" w:after="20"/>
              <w:ind w:left="57" w:right="57"/>
              <w:jc w:val="left"/>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2835" w:type="dxa"/>
            <w:tcBorders>
              <w:top w:val="single" w:sz="4" w:space="0" w:color="auto"/>
              <w:left w:val="single" w:sz="4" w:space="0" w:color="auto"/>
              <w:bottom w:val="single" w:sz="4" w:space="0" w:color="auto"/>
              <w:right w:val="single" w:sz="4" w:space="0" w:color="auto"/>
            </w:tcBorders>
          </w:tcPr>
          <w:p w14:paraId="3E856A63" w14:textId="04EB6523" w:rsidR="00AB4EFF" w:rsidRPr="00AB4EFF" w:rsidRDefault="00AB4EFF">
            <w:pPr>
              <w:pStyle w:val="TAC"/>
              <w:spacing w:before="20" w:after="20"/>
              <w:ind w:left="57" w:right="57"/>
              <w:jc w:val="left"/>
              <w:rPr>
                <w:rFonts w:eastAsiaTheme="minorEastAsia" w:cs="Arial"/>
                <w:lang w:val="en-US" w:eastAsia="zh-CN"/>
              </w:rPr>
            </w:pPr>
            <w:r>
              <w:rPr>
                <w:rFonts w:eastAsiaTheme="minorEastAsia" w:cs="Arial" w:hint="eastAsia"/>
                <w:lang w:val="en-US" w:eastAsia="zh-CN"/>
              </w:rPr>
              <w:t>L</w:t>
            </w:r>
            <w:r>
              <w:rPr>
                <w:rFonts w:eastAsiaTheme="minorEastAsia" w:cs="Arial"/>
                <w:lang w:val="en-US" w:eastAsia="zh-CN"/>
              </w:rPr>
              <w:t>iu Yang</w:t>
            </w:r>
          </w:p>
        </w:tc>
        <w:tc>
          <w:tcPr>
            <w:tcW w:w="4391" w:type="dxa"/>
            <w:tcBorders>
              <w:top w:val="single" w:sz="4" w:space="0" w:color="auto"/>
              <w:left w:val="single" w:sz="4" w:space="0" w:color="auto"/>
              <w:bottom w:val="single" w:sz="4" w:space="0" w:color="auto"/>
              <w:right w:val="single" w:sz="4" w:space="0" w:color="auto"/>
            </w:tcBorders>
          </w:tcPr>
          <w:p w14:paraId="1F4F34BA" w14:textId="045DD1F2" w:rsidR="00AB4EFF" w:rsidRPr="00AB4EFF" w:rsidRDefault="001D3BFE">
            <w:pPr>
              <w:pStyle w:val="TAC"/>
              <w:spacing w:before="20" w:after="20"/>
              <w:ind w:left="57" w:right="57"/>
              <w:jc w:val="left"/>
              <w:rPr>
                <w:rFonts w:eastAsiaTheme="minorEastAsia" w:cs="Arial"/>
                <w:lang w:val="en-US" w:eastAsia="zh-CN"/>
              </w:rPr>
            </w:pPr>
            <w:hyperlink r:id="rId9" w:history="1">
              <w:r w:rsidR="008A22DE" w:rsidRPr="0054721F">
                <w:rPr>
                  <w:rStyle w:val="af1"/>
                  <w:rFonts w:eastAsiaTheme="minorEastAsia" w:cs="Arial" w:hint="eastAsia"/>
                  <w:lang w:val="en-US" w:eastAsia="zh-CN"/>
                </w:rPr>
                <w:t>l</w:t>
              </w:r>
              <w:r w:rsidR="008A22DE" w:rsidRPr="0054721F">
                <w:rPr>
                  <w:rStyle w:val="af1"/>
                  <w:rFonts w:eastAsiaTheme="minorEastAsia" w:cs="Arial"/>
                  <w:lang w:val="en-US" w:eastAsia="zh-CN"/>
                </w:rPr>
                <w:t>iuyangbj@oppo.com</w:t>
              </w:r>
            </w:hyperlink>
          </w:p>
        </w:tc>
      </w:tr>
      <w:tr w:rsidR="008A22DE" w14:paraId="59D4F874"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05FCAEC6" w14:textId="29123DF0" w:rsidR="008A22DE" w:rsidRDefault="008A22DE" w:rsidP="008A22DE">
            <w:pPr>
              <w:pStyle w:val="TAC"/>
              <w:spacing w:before="20" w:after="20"/>
              <w:ind w:left="57" w:right="57"/>
              <w:jc w:val="left"/>
              <w:rPr>
                <w:rFonts w:eastAsiaTheme="minorEastAsia" w:cs="Arial"/>
                <w:lang w:val="en-US" w:eastAsia="zh-CN"/>
              </w:rPr>
            </w:pPr>
            <w:r>
              <w:rPr>
                <w:rFonts w:cs="Arial" w:hint="eastAsia"/>
                <w:lang w:eastAsia="ko-KR"/>
              </w:rPr>
              <w:t>LG</w:t>
            </w:r>
          </w:p>
        </w:tc>
        <w:tc>
          <w:tcPr>
            <w:tcW w:w="2835" w:type="dxa"/>
            <w:tcBorders>
              <w:top w:val="single" w:sz="4" w:space="0" w:color="auto"/>
              <w:left w:val="single" w:sz="4" w:space="0" w:color="auto"/>
              <w:bottom w:val="single" w:sz="4" w:space="0" w:color="auto"/>
              <w:right w:val="single" w:sz="4" w:space="0" w:color="auto"/>
            </w:tcBorders>
          </w:tcPr>
          <w:p w14:paraId="49C99BA0" w14:textId="3BDED876" w:rsidR="008A22DE" w:rsidRDefault="008A22DE" w:rsidP="008A22DE">
            <w:pPr>
              <w:pStyle w:val="TAC"/>
              <w:spacing w:before="20" w:after="20"/>
              <w:ind w:left="57" w:right="57"/>
              <w:jc w:val="left"/>
              <w:rPr>
                <w:rFonts w:eastAsiaTheme="minorEastAsia" w:cs="Arial"/>
                <w:lang w:val="en-US" w:eastAsia="zh-CN"/>
              </w:rPr>
            </w:pPr>
            <w:r>
              <w:rPr>
                <w:rFonts w:cs="Arial" w:hint="eastAsia"/>
                <w:lang w:eastAsia="ko-KR"/>
              </w:rPr>
              <w:t>Siyoung Choi</w:t>
            </w:r>
          </w:p>
        </w:tc>
        <w:tc>
          <w:tcPr>
            <w:tcW w:w="4391" w:type="dxa"/>
            <w:tcBorders>
              <w:top w:val="single" w:sz="4" w:space="0" w:color="auto"/>
              <w:left w:val="single" w:sz="4" w:space="0" w:color="auto"/>
              <w:bottom w:val="single" w:sz="4" w:space="0" w:color="auto"/>
              <w:right w:val="single" w:sz="4" w:space="0" w:color="auto"/>
            </w:tcBorders>
          </w:tcPr>
          <w:p w14:paraId="56641DB8" w14:textId="6F22EA26" w:rsidR="008A22DE" w:rsidRDefault="008A22DE" w:rsidP="008A22DE">
            <w:pPr>
              <w:pStyle w:val="TAC"/>
              <w:spacing w:before="20" w:after="20"/>
              <w:ind w:left="57" w:right="57"/>
              <w:jc w:val="left"/>
              <w:rPr>
                <w:rFonts w:eastAsiaTheme="minorEastAsia" w:cs="Arial"/>
                <w:lang w:val="en-US" w:eastAsia="zh-CN"/>
              </w:rPr>
            </w:pPr>
            <w:r>
              <w:rPr>
                <w:rFonts w:cs="Arial" w:hint="eastAsia"/>
                <w:lang w:eastAsia="ko-KR"/>
              </w:rPr>
              <w:t>see0.choi@lge.com</w:t>
            </w:r>
          </w:p>
        </w:tc>
      </w:tr>
      <w:tr w:rsidR="009D0C8C" w14:paraId="41A2477A"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7C5920C4" w14:textId="15A00C27" w:rsidR="009D0C8C" w:rsidRDefault="009D0C8C" w:rsidP="009D0C8C">
            <w:pPr>
              <w:pStyle w:val="TAC"/>
              <w:spacing w:before="20" w:after="20"/>
              <w:ind w:left="57" w:right="57"/>
              <w:jc w:val="left"/>
              <w:rPr>
                <w:rFonts w:cs="Arial"/>
                <w:lang w:eastAsia="ko-KR"/>
              </w:rPr>
            </w:pPr>
            <w:r>
              <w:rPr>
                <w:rFonts w:eastAsia="PMingLiU" w:cs="Arial" w:hint="eastAsia"/>
                <w:lang w:eastAsia="zh-TW"/>
              </w:rPr>
              <w:t>I</w:t>
            </w:r>
            <w:r>
              <w:rPr>
                <w:rFonts w:eastAsia="PMingLiU" w:cs="Arial"/>
                <w:lang w:eastAsia="zh-TW"/>
              </w:rPr>
              <w:t>TRI</w:t>
            </w:r>
          </w:p>
        </w:tc>
        <w:tc>
          <w:tcPr>
            <w:tcW w:w="2835" w:type="dxa"/>
            <w:tcBorders>
              <w:top w:val="single" w:sz="4" w:space="0" w:color="auto"/>
              <w:left w:val="single" w:sz="4" w:space="0" w:color="auto"/>
              <w:bottom w:val="single" w:sz="4" w:space="0" w:color="auto"/>
              <w:right w:val="single" w:sz="4" w:space="0" w:color="auto"/>
            </w:tcBorders>
          </w:tcPr>
          <w:p w14:paraId="024AEF00" w14:textId="37FEEEEA" w:rsidR="009D0C8C" w:rsidRDefault="009D0C8C" w:rsidP="009D0C8C">
            <w:pPr>
              <w:pStyle w:val="TAC"/>
              <w:spacing w:before="20" w:after="20"/>
              <w:ind w:left="57" w:right="57"/>
              <w:jc w:val="left"/>
              <w:rPr>
                <w:rFonts w:cs="Arial"/>
                <w:lang w:eastAsia="ko-KR"/>
              </w:rPr>
            </w:pPr>
            <w:proofErr w:type="spellStart"/>
            <w:r>
              <w:rPr>
                <w:rFonts w:eastAsia="PMingLiU" w:cs="Arial" w:hint="eastAsia"/>
                <w:lang w:eastAsia="zh-TW"/>
              </w:rPr>
              <w:t>T</w:t>
            </w:r>
            <w:r>
              <w:rPr>
                <w:rFonts w:eastAsia="PMingLiU" w:cs="Arial"/>
                <w:lang w:eastAsia="zh-TW"/>
              </w:rPr>
              <w:t>zujen</w:t>
            </w:r>
            <w:proofErr w:type="spellEnd"/>
            <w:r>
              <w:rPr>
                <w:rFonts w:eastAsia="PMingLiU" w:cs="Arial"/>
                <w:lang w:eastAsia="zh-TW"/>
              </w:rPr>
              <w:t xml:space="preserve"> Tsai</w:t>
            </w:r>
          </w:p>
        </w:tc>
        <w:tc>
          <w:tcPr>
            <w:tcW w:w="4391" w:type="dxa"/>
            <w:tcBorders>
              <w:top w:val="single" w:sz="4" w:space="0" w:color="auto"/>
              <w:left w:val="single" w:sz="4" w:space="0" w:color="auto"/>
              <w:bottom w:val="single" w:sz="4" w:space="0" w:color="auto"/>
              <w:right w:val="single" w:sz="4" w:space="0" w:color="auto"/>
            </w:tcBorders>
          </w:tcPr>
          <w:p w14:paraId="0FBF86C7" w14:textId="4A205592" w:rsidR="009D0C8C" w:rsidRDefault="009D0C8C" w:rsidP="009D0C8C">
            <w:pPr>
              <w:pStyle w:val="TAC"/>
              <w:spacing w:before="20" w:after="20"/>
              <w:ind w:left="57" w:right="57"/>
              <w:jc w:val="left"/>
              <w:rPr>
                <w:rFonts w:cs="Arial"/>
                <w:lang w:eastAsia="ko-KR"/>
              </w:rPr>
            </w:pPr>
            <w:r>
              <w:rPr>
                <w:rFonts w:eastAsia="PMingLiU" w:hint="eastAsia"/>
                <w:lang w:eastAsia="zh-TW"/>
              </w:rPr>
              <w:t>t</w:t>
            </w:r>
            <w:r>
              <w:rPr>
                <w:rFonts w:eastAsia="PMingLiU"/>
                <w:lang w:eastAsia="zh-TW"/>
              </w:rPr>
              <w:t>jtsai@itri.org.tw</w:t>
            </w:r>
          </w:p>
        </w:tc>
      </w:tr>
      <w:tr w:rsidR="00090D37" w14:paraId="3E812AF9" w14:textId="77777777" w:rsidTr="008A22DE">
        <w:trPr>
          <w:trHeight w:val="240"/>
          <w:jc w:val="center"/>
        </w:trPr>
        <w:tc>
          <w:tcPr>
            <w:tcW w:w="2405" w:type="dxa"/>
            <w:tcBorders>
              <w:top w:val="single" w:sz="4" w:space="0" w:color="auto"/>
              <w:left w:val="single" w:sz="4" w:space="0" w:color="auto"/>
              <w:bottom w:val="single" w:sz="4" w:space="0" w:color="auto"/>
              <w:right w:val="single" w:sz="4" w:space="0" w:color="auto"/>
            </w:tcBorders>
          </w:tcPr>
          <w:p w14:paraId="6099F11A" w14:textId="0465BA23" w:rsidR="00090D37" w:rsidRDefault="00090D37" w:rsidP="00090D37">
            <w:pPr>
              <w:pStyle w:val="TAC"/>
              <w:spacing w:before="20" w:after="20"/>
              <w:ind w:left="57" w:right="57"/>
              <w:jc w:val="left"/>
              <w:rPr>
                <w:rFonts w:eastAsia="PMingLiU" w:cs="Arial" w:hint="eastAsia"/>
                <w:lang w:eastAsia="zh-TW"/>
              </w:rPr>
            </w:pPr>
            <w:r>
              <w:rPr>
                <w:rFonts w:eastAsiaTheme="minorEastAsia" w:cs="Arial" w:hint="eastAsia"/>
                <w:lang w:eastAsia="zh-CN"/>
              </w:rPr>
              <w:t>C</w:t>
            </w:r>
            <w:r>
              <w:rPr>
                <w:rFonts w:eastAsiaTheme="minorEastAsia" w:cs="Arial"/>
                <w:lang w:eastAsia="zh-CN"/>
              </w:rPr>
              <w:t>hina Unicom</w:t>
            </w:r>
          </w:p>
        </w:tc>
        <w:tc>
          <w:tcPr>
            <w:tcW w:w="2835" w:type="dxa"/>
            <w:tcBorders>
              <w:top w:val="single" w:sz="4" w:space="0" w:color="auto"/>
              <w:left w:val="single" w:sz="4" w:space="0" w:color="auto"/>
              <w:bottom w:val="single" w:sz="4" w:space="0" w:color="auto"/>
              <w:right w:val="single" w:sz="4" w:space="0" w:color="auto"/>
            </w:tcBorders>
          </w:tcPr>
          <w:p w14:paraId="0CC34C70" w14:textId="4DA27222" w:rsidR="00090D37" w:rsidRDefault="00090D37" w:rsidP="00090D37">
            <w:pPr>
              <w:pStyle w:val="TAC"/>
              <w:spacing w:before="20" w:after="20"/>
              <w:ind w:left="57" w:right="57"/>
              <w:jc w:val="left"/>
              <w:rPr>
                <w:rFonts w:eastAsia="PMingLiU" w:cs="Arial" w:hint="eastAsia"/>
                <w:lang w:eastAsia="zh-TW"/>
              </w:rPr>
            </w:pPr>
            <w:r>
              <w:rPr>
                <w:rFonts w:eastAsiaTheme="minorEastAsia" w:cs="Arial" w:hint="eastAsia"/>
                <w:lang w:eastAsia="zh-CN"/>
              </w:rPr>
              <w:t>S</w:t>
            </w:r>
            <w:r>
              <w:rPr>
                <w:rFonts w:eastAsiaTheme="minorEastAsia" w:cs="Arial"/>
                <w:lang w:eastAsia="zh-CN"/>
              </w:rPr>
              <w:t>huai Gao</w:t>
            </w:r>
          </w:p>
        </w:tc>
        <w:tc>
          <w:tcPr>
            <w:tcW w:w="4391" w:type="dxa"/>
            <w:tcBorders>
              <w:top w:val="single" w:sz="4" w:space="0" w:color="auto"/>
              <w:left w:val="single" w:sz="4" w:space="0" w:color="auto"/>
              <w:bottom w:val="single" w:sz="4" w:space="0" w:color="auto"/>
              <w:right w:val="single" w:sz="4" w:space="0" w:color="auto"/>
            </w:tcBorders>
          </w:tcPr>
          <w:p w14:paraId="3B581DEF" w14:textId="6C015CA3" w:rsidR="00090D37" w:rsidRDefault="00090D37" w:rsidP="00090D37">
            <w:pPr>
              <w:pStyle w:val="TAC"/>
              <w:spacing w:before="20" w:after="20"/>
              <w:ind w:left="57" w:right="57"/>
              <w:jc w:val="left"/>
              <w:rPr>
                <w:rFonts w:eastAsia="PMingLiU" w:hint="eastAsia"/>
                <w:lang w:eastAsia="zh-TW"/>
              </w:rPr>
            </w:pPr>
            <w:r>
              <w:rPr>
                <w:rFonts w:eastAsiaTheme="minorEastAsia" w:cs="Arial"/>
                <w:lang w:eastAsia="zh-CN"/>
              </w:rPr>
              <w:t>gaos30@chinaunicom.cn</w:t>
            </w:r>
          </w:p>
        </w:tc>
      </w:tr>
    </w:tbl>
    <w:p w14:paraId="3715AFE1" w14:textId="77777777" w:rsidR="00902D7C" w:rsidRDefault="00902D7C">
      <w:pPr>
        <w:rPr>
          <w:rFonts w:ascii="Arial" w:hAnsi="Arial" w:cs="Arial"/>
        </w:rPr>
      </w:pPr>
    </w:p>
    <w:bookmarkEnd w:id="4"/>
    <w:p w14:paraId="56091930" w14:textId="77777777" w:rsidR="00902D7C" w:rsidRDefault="00717CD7">
      <w:pPr>
        <w:pStyle w:val="1"/>
        <w:rPr>
          <w:rFonts w:cs="Arial"/>
        </w:rPr>
      </w:pPr>
      <w:r>
        <w:rPr>
          <w:rFonts w:cs="Arial"/>
          <w:lang w:eastAsia="ko-KR"/>
        </w:rPr>
        <w:t>3</w:t>
      </w:r>
      <w:r>
        <w:rPr>
          <w:rFonts w:cs="Arial"/>
        </w:rPr>
        <w:t xml:space="preserve"> </w:t>
      </w:r>
      <w:bookmarkEnd w:id="5"/>
      <w:r>
        <w:rPr>
          <w:rFonts w:cs="Arial"/>
        </w:rPr>
        <w:tab/>
        <w:t>Discussion</w:t>
      </w:r>
    </w:p>
    <w:p w14:paraId="36182719" w14:textId="77777777" w:rsidR="00902D7C" w:rsidRDefault="00717CD7">
      <w:pPr>
        <w:pStyle w:val="3"/>
        <w:spacing w:before="0" w:after="0"/>
        <w:rPr>
          <w:rFonts w:cs="Arial"/>
        </w:rPr>
      </w:pPr>
      <w:r>
        <w:rPr>
          <w:rFonts w:cs="Arial"/>
        </w:rPr>
        <w:t>3.0 RAN3 agreements</w:t>
      </w:r>
    </w:p>
    <w:p w14:paraId="57A0A9B2" w14:textId="77777777" w:rsidR="00902D7C" w:rsidRDefault="00717CD7">
      <w:pPr>
        <w:rPr>
          <w:rFonts w:ascii="Arial" w:hAnsi="Arial" w:cs="Arial"/>
          <w:bCs/>
        </w:rPr>
      </w:pPr>
      <w:r>
        <w:rPr>
          <w:rFonts w:ascii="Arial" w:hAnsi="Arial" w:cs="Arial"/>
          <w:bCs/>
        </w:rPr>
        <w:t>In the incoming LS from RAN3, the following agreements were achieved by RAN3. This email discussion intends to discuss RAN2 impact based on RAN3 agreements.</w:t>
      </w:r>
    </w:p>
    <w:p w14:paraId="499AF3AC"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metrics</w:t>
      </w:r>
    </w:p>
    <w:p w14:paraId="5882D77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Interaction latency or comparable quality viewport switching latency metric is NOT considered as a RAN visible QoE metric in Rel-17</w:t>
      </w:r>
    </w:p>
    <w:p w14:paraId="2E8FC83E"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Buffer level</w:t>
      </w:r>
      <w:r>
        <w:rPr>
          <w:rFonts w:asciiTheme="minorHAnsi" w:hAnsiTheme="minorHAnsi" w:cstheme="minorHAnsi"/>
          <w:color w:val="00B050"/>
        </w:rPr>
        <w:t xml:space="preserve"> is confirmed as a RAN visible QoE metric for DASH and VR service types </w:t>
      </w:r>
    </w:p>
    <w:p w14:paraId="5D01C338"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lastRenderedPageBreak/>
        <w:t xml:space="preserve">Playout delay for media </w:t>
      </w:r>
      <w:proofErr w:type="spellStart"/>
      <w:r>
        <w:rPr>
          <w:rFonts w:asciiTheme="minorHAnsi" w:hAnsiTheme="minorHAnsi" w:cstheme="minorHAnsi"/>
          <w:color w:val="00B050"/>
          <w:highlight w:val="yellow"/>
        </w:rPr>
        <w:t>startup</w:t>
      </w:r>
      <w:proofErr w:type="spellEnd"/>
      <w:r>
        <w:rPr>
          <w:rFonts w:asciiTheme="minorHAnsi" w:hAnsiTheme="minorHAnsi" w:cstheme="minorHAnsi"/>
          <w:color w:val="00B050"/>
        </w:rPr>
        <w:t xml:space="preserve"> is confirmed as a RAN visible QoE metric for DASH and VR service types</w:t>
      </w:r>
    </w:p>
    <w:p w14:paraId="27AB2D3D"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configuration</w:t>
      </w:r>
    </w:p>
    <w:p w14:paraId="6CF3343B"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RAN Visible QoE and legacy QoE can be configured together or separately. In case RAN visible QoE is configured separately, it can be configured only after configuring legacy QoE.</w:t>
      </w:r>
    </w:p>
    <w:p w14:paraId="4927A8AE"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117EEEC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4D9A504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RAN visible QoE configuration can include at least the RAN visible QoE metrics to be reported, service type and a measurement ID for the RAN visible QoE. Whether existing IEs can be reused for service type and measurement ID and the signaling design is up to RAN2</w:t>
      </w:r>
    </w:p>
    <w:p w14:paraId="3405CE44"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There is no need to consider Start Time, Duration and Sample Percentage in the RAN Visible QoE configuration in Rel-17</w:t>
      </w:r>
    </w:p>
    <w:p w14:paraId="5DC6DBD2"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reporting</w:t>
      </w:r>
    </w:p>
    <w:p w14:paraId="30EBEE51" w14:textId="77777777" w:rsidR="00902D7C" w:rsidRDefault="00717CD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Pr>
          <w:rFonts w:asciiTheme="minorHAnsi" w:hAnsiTheme="minorHAnsi" w:cstheme="minorHAnsi"/>
          <w:color w:val="00B050"/>
          <w:szCs w:val="22"/>
        </w:rPr>
        <w:t>RAN3 should discuss whether the existing identified RAN visible QoE metrics (or values if agreed) justifies the need of a separate reporting periodicity for RAN visible QoE</w:t>
      </w:r>
    </w:p>
    <w:p w14:paraId="662269E6" w14:textId="77777777" w:rsidR="00902D7C" w:rsidRDefault="00902D7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5145798A" w14:textId="77777777" w:rsidR="00902D7C" w:rsidRDefault="00717CD7">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r>
        <w:rPr>
          <w:rFonts w:asciiTheme="minorHAnsi" w:hAnsiTheme="minorHAnsi" w:cstheme="minorHAnsi"/>
          <w:color w:val="00B050"/>
          <w:szCs w:val="22"/>
        </w:rPr>
        <w:t>RAN3’s decision on whether to have a different reporting periodicity for RAN visible QoE is independent of RAN2’s decision on which SRB to use for RAN visible QoE</w:t>
      </w:r>
    </w:p>
    <w:p w14:paraId="71548CEE" w14:textId="77777777" w:rsidR="00902D7C" w:rsidRDefault="00902D7C">
      <w:pPr>
        <w:pBdr>
          <w:top w:val="single" w:sz="4" w:space="1" w:color="auto"/>
          <w:left w:val="single" w:sz="4" w:space="4" w:color="auto"/>
          <w:bottom w:val="single" w:sz="4" w:space="1" w:color="auto"/>
          <w:right w:val="single" w:sz="4" w:space="4" w:color="auto"/>
        </w:pBdr>
        <w:contextualSpacing/>
        <w:rPr>
          <w:rFonts w:asciiTheme="minorHAnsi" w:hAnsiTheme="minorHAnsi" w:cstheme="minorHAnsi"/>
          <w:color w:val="00B050"/>
          <w:szCs w:val="22"/>
        </w:rPr>
      </w:pPr>
    </w:p>
    <w:p w14:paraId="53AF7295" w14:textId="77777777" w:rsidR="00902D7C" w:rsidRDefault="00717CD7">
      <w:pPr>
        <w:pBdr>
          <w:top w:val="single" w:sz="4" w:space="1" w:color="auto"/>
          <w:left w:val="single" w:sz="4" w:space="4" w:color="auto"/>
          <w:bottom w:val="single" w:sz="4" w:space="1" w:color="auto"/>
          <w:right w:val="single" w:sz="4" w:space="4" w:color="auto"/>
        </w:pBdr>
        <w:rPr>
          <w:rFonts w:ascii="Calibri" w:hAnsi="Calibri" w:cs="Calibri"/>
          <w:b/>
          <w:bCs/>
          <w:u w:val="single"/>
        </w:rPr>
      </w:pPr>
      <w:r>
        <w:rPr>
          <w:rFonts w:ascii="Calibri" w:hAnsi="Calibri" w:cs="Calibri"/>
          <w:b/>
          <w:bCs/>
          <w:u w:val="single"/>
        </w:rPr>
        <w:t>Misc proposals</w:t>
      </w:r>
    </w:p>
    <w:p w14:paraId="0CCB9C2B"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Pr>
          <w:rFonts w:asciiTheme="minorHAnsi" w:hAnsiTheme="minorHAnsi" w:cstheme="minorHAnsi"/>
          <w:color w:val="00B050"/>
          <w:szCs w:val="22"/>
        </w:rPr>
        <w:t xml:space="preserve">NG-RAN can configure RAN visible QoE for only a subset of those metrics which are already configured as part of legacy QoE configuration. </w:t>
      </w:r>
    </w:p>
    <w:p w14:paraId="7A32CF85"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szCs w:val="22"/>
        </w:rPr>
      </w:pPr>
      <w:r>
        <w:rPr>
          <w:rFonts w:asciiTheme="minorHAnsi" w:hAnsiTheme="minorHAnsi" w:cstheme="minorHAnsi"/>
          <w:color w:val="00B050"/>
          <w:szCs w:val="22"/>
        </w:rPr>
        <w:t>The OAM sends a list of the available RAN visible QoE metrics to the RAN node, outside the legacy QoE configuration container.</w:t>
      </w:r>
    </w:p>
    <w:p w14:paraId="0A502079" w14:textId="77777777" w:rsidR="00902D7C" w:rsidRDefault="00717CD7">
      <w:pPr>
        <w:pStyle w:val="3"/>
        <w:spacing w:before="0" w:after="0"/>
        <w:rPr>
          <w:rFonts w:cs="Arial"/>
        </w:rPr>
      </w:pPr>
      <w:r>
        <w:rPr>
          <w:rFonts w:cs="Arial"/>
        </w:rPr>
        <w:t xml:space="preserve">3.1 RVQOE configuration </w:t>
      </w:r>
    </w:p>
    <w:p w14:paraId="3EFA7EE0" w14:textId="77777777" w:rsidR="00902D7C" w:rsidRDefault="00717CD7">
      <w:pPr>
        <w:spacing w:before="120" w:after="0"/>
        <w:rPr>
          <w:rFonts w:ascii="Arial" w:hAnsi="Arial" w:cs="Arial"/>
          <w:b/>
          <w:bCs/>
          <w:u w:val="single"/>
        </w:rPr>
      </w:pPr>
      <w:r>
        <w:rPr>
          <w:rFonts w:ascii="Arial" w:hAnsi="Arial" w:cs="Arial"/>
          <w:b/>
          <w:bCs/>
          <w:u w:val="single"/>
        </w:rPr>
        <w:t>Issue 1: RVQOE configuration</w:t>
      </w:r>
    </w:p>
    <w:p w14:paraId="2AE224B4" w14:textId="77777777" w:rsidR="00902D7C" w:rsidRDefault="00717CD7">
      <w:pPr>
        <w:spacing w:before="120" w:after="0"/>
        <w:rPr>
          <w:rFonts w:ascii="Arial" w:hAnsi="Arial" w:cs="Arial"/>
          <w:bCs/>
        </w:rPr>
      </w:pPr>
      <w:r>
        <w:rPr>
          <w:rFonts w:ascii="Arial" w:hAnsi="Arial" w:cs="Arial"/>
          <w:bCs/>
        </w:rPr>
        <w:t xml:space="preserve">RAN3 has the following agreements for RVQoE configuration, these agreements descript the relationship between legacy QoE configuration and RVQoE configuration. </w:t>
      </w:r>
    </w:p>
    <w:p w14:paraId="40A6D24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configuration</w:t>
      </w:r>
    </w:p>
    <w:p w14:paraId="5ADCB851"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RAN Visible QoE and legacy QoE can be configured together or separately. In case RAN visible QoE is configured separately, it can be configured only after configuring legacy QoE.</w:t>
      </w:r>
    </w:p>
    <w:p w14:paraId="6097D7D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 xml:space="preserve">NG-RAN can release a list of RAN visible QoE configurations while not releasing the corresponding legacy QoE configurations  </w:t>
      </w:r>
    </w:p>
    <w:p w14:paraId="3C3F1EF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5C94438C"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color w:val="00B050"/>
        </w:rPr>
      </w:pPr>
      <w:r>
        <w:rPr>
          <w:rFonts w:asciiTheme="minorHAnsi" w:hAnsiTheme="minorHAnsi" w:cstheme="minorHAnsi"/>
          <w:color w:val="00B050"/>
        </w:rPr>
        <w:t xml:space="preserve">RAN visible QoE configuration can include at least the RAN visible QoE metrics to be reported, service type and a measurement ID for the RAN visible QoE. </w:t>
      </w:r>
      <w:r>
        <w:rPr>
          <w:rFonts w:asciiTheme="minorHAnsi" w:hAnsiTheme="minorHAnsi" w:cstheme="minorHAnsi"/>
          <w:color w:val="00B050"/>
          <w:highlight w:val="yellow"/>
        </w:rPr>
        <w:t>Whether existing IEs can be reused for service type and measurement ID and the signaling design is up to RAN2</w:t>
      </w:r>
    </w:p>
    <w:p w14:paraId="3EF02CD3" w14:textId="77777777" w:rsidR="00902D7C" w:rsidRDefault="00717CD7">
      <w:pPr>
        <w:spacing w:before="120" w:after="0"/>
        <w:rPr>
          <w:rFonts w:ascii="Arial" w:hAnsi="Arial"/>
        </w:rPr>
      </w:pPr>
      <w:r>
        <w:rPr>
          <w:rFonts w:ascii="Arial" w:hAnsi="Arial" w:cs="Arial"/>
          <w:lang w:val="en-US" w:eastAsia="zh-CN"/>
        </w:rPr>
        <w:t>One issue needed to be discussed in RAN2 is whether the existing legacy QoE RRC IEs (i.e. service type and</w:t>
      </w:r>
      <w:r>
        <w:rPr>
          <w:rFonts w:ascii="Arial" w:hAnsi="Arial"/>
        </w:rPr>
        <w:t xml:space="preserve"> </w:t>
      </w:r>
      <w:proofErr w:type="spellStart"/>
      <w:r>
        <w:rPr>
          <w:rFonts w:ascii="Arial" w:hAnsi="Arial"/>
        </w:rPr>
        <w:t>measConfigAppLayerId</w:t>
      </w:r>
      <w:proofErr w:type="spellEnd"/>
      <w:r>
        <w:rPr>
          <w:rFonts w:ascii="Arial" w:hAnsi="Arial" w:cs="Arial"/>
          <w:lang w:val="en-US" w:eastAsia="zh-CN"/>
        </w:rPr>
        <w:t xml:space="preserve">). Some contributions [propose to use the same configuration framework for </w:t>
      </w:r>
      <w:r>
        <w:rPr>
          <w:rFonts w:ascii="Arial" w:hAnsi="Arial" w:cs="Arial"/>
          <w:lang w:val="en-US" w:eastAsia="zh-CN"/>
        </w:rPr>
        <w:lastRenderedPageBreak/>
        <w:t xml:space="preserve">legacy </w:t>
      </w:r>
      <w:proofErr w:type="spellStart"/>
      <w:r>
        <w:rPr>
          <w:rFonts w:ascii="Arial" w:hAnsi="Arial" w:cs="Arial"/>
          <w:lang w:val="en-US" w:eastAsia="zh-CN"/>
        </w:rPr>
        <w:t>QoE</w:t>
      </w:r>
      <w:proofErr w:type="spellEnd"/>
      <w:r>
        <w:rPr>
          <w:rFonts w:ascii="Arial" w:hAnsi="Arial" w:cs="Arial"/>
          <w:lang w:val="en-US" w:eastAsia="zh-CN"/>
        </w:rPr>
        <w:t xml:space="preserve"> and </w:t>
      </w:r>
      <w:proofErr w:type="spellStart"/>
      <w:r>
        <w:rPr>
          <w:rFonts w:ascii="Arial" w:hAnsi="Arial" w:cs="Arial"/>
          <w:lang w:val="en-US" w:eastAsia="zh-CN"/>
        </w:rPr>
        <w:t>RVQoE</w:t>
      </w:r>
      <w:proofErr w:type="spellEnd"/>
      <w:r>
        <w:rPr>
          <w:rFonts w:ascii="Arial" w:hAnsi="Arial" w:cs="Arial"/>
          <w:lang w:val="en-US" w:eastAsia="zh-CN"/>
        </w:rPr>
        <w:t xml:space="preserve"> configuration, and [5][6][10] show the detailed ASN.1 example to explain how the </w:t>
      </w:r>
      <w:proofErr w:type="spellStart"/>
      <w:r>
        <w:rPr>
          <w:rFonts w:ascii="Arial" w:hAnsi="Arial" w:cs="Arial"/>
          <w:lang w:val="en-US" w:eastAsia="zh-CN"/>
        </w:rPr>
        <w:t>RVQoE</w:t>
      </w:r>
      <w:proofErr w:type="spellEnd"/>
      <w:r>
        <w:rPr>
          <w:rFonts w:ascii="Arial" w:hAnsi="Arial" w:cs="Arial"/>
          <w:lang w:val="en-US" w:eastAsia="zh-CN"/>
        </w:rPr>
        <w:t xml:space="preserve"> can be configured using the share service type and </w:t>
      </w:r>
      <w:proofErr w:type="spellStart"/>
      <w:r>
        <w:rPr>
          <w:rFonts w:ascii="Arial" w:hAnsi="Arial"/>
        </w:rPr>
        <w:t>measConfigAppLayerId</w:t>
      </w:r>
      <w:proofErr w:type="spellEnd"/>
      <w:r>
        <w:rPr>
          <w:rFonts w:ascii="Arial" w:hAnsi="Arial"/>
        </w:rPr>
        <w:t xml:space="preserve"> RRC IEs.</w:t>
      </w:r>
    </w:p>
    <w:p w14:paraId="1EF461C3" w14:textId="77777777" w:rsidR="00902D7C" w:rsidRDefault="00717CD7">
      <w:pPr>
        <w:spacing w:before="120" w:after="0"/>
        <w:rPr>
          <w:rFonts w:ascii="Arial" w:hAnsi="Arial"/>
        </w:rPr>
      </w:pPr>
      <w:r>
        <w:rPr>
          <w:rFonts w:ascii="Arial" w:hAnsi="Arial"/>
        </w:rPr>
        <w:t>According to the explanation of ASN.1 example in [5][6]</w:t>
      </w:r>
      <w:r>
        <w:rPr>
          <w:rFonts w:ascii="Arial" w:hAnsi="Arial" w:cs="Arial"/>
          <w:lang w:val="en-US" w:eastAsia="zh-CN"/>
        </w:rPr>
        <w:t xml:space="preserve">[10] </w:t>
      </w:r>
      <w:r>
        <w:rPr>
          <w:rFonts w:ascii="Arial" w:hAnsi="Arial"/>
        </w:rPr>
        <w:t>(please note this is only example, not ASN.1 agreements), companies please reply to the question:</w:t>
      </w:r>
    </w:p>
    <w:p w14:paraId="205737C7" w14:textId="77777777" w:rsidR="00902D7C" w:rsidRDefault="00717CD7">
      <w:pPr>
        <w:spacing w:before="120" w:after="0"/>
        <w:rPr>
          <w:rFonts w:ascii="Arial" w:hAnsi="Arial" w:cs="Arial"/>
          <w:b/>
          <w:bCs/>
          <w:lang w:val="en-US" w:eastAsia="zh-CN"/>
        </w:rPr>
      </w:pPr>
      <w:r>
        <w:rPr>
          <w:rFonts w:ascii="Arial" w:hAnsi="Arial"/>
          <w:b/>
          <w:bCs/>
        </w:rPr>
        <w:t xml:space="preserve">Q1: Whether companies agree RVQoE configuration can share the same </w:t>
      </w:r>
      <w:proofErr w:type="spellStart"/>
      <w:r>
        <w:rPr>
          <w:rFonts w:ascii="Arial" w:hAnsi="Arial"/>
          <w:b/>
          <w:bCs/>
        </w:rPr>
        <w:t>measConfigAppLayerId</w:t>
      </w:r>
      <w:proofErr w:type="spellEnd"/>
      <w:r>
        <w:rPr>
          <w:rFonts w:ascii="Arial" w:hAnsi="Arial"/>
          <w:b/>
          <w:bCs/>
        </w:rPr>
        <w:t xml:space="preserve"> and service type RRC IEs with legacy QoE configuration?</w:t>
      </w:r>
    </w:p>
    <w:tbl>
      <w:tblPr>
        <w:tblStyle w:val="af"/>
        <w:tblW w:w="0" w:type="auto"/>
        <w:tblLook w:val="04A0" w:firstRow="1" w:lastRow="0" w:firstColumn="1" w:lastColumn="0" w:noHBand="0" w:noVBand="1"/>
      </w:tblPr>
      <w:tblGrid>
        <w:gridCol w:w="1980"/>
        <w:gridCol w:w="1134"/>
        <w:gridCol w:w="6515"/>
      </w:tblGrid>
      <w:tr w:rsidR="00902D7C" w14:paraId="02FEFF0C" w14:textId="77777777">
        <w:tc>
          <w:tcPr>
            <w:tcW w:w="1980" w:type="dxa"/>
          </w:tcPr>
          <w:p w14:paraId="4D03A12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F499F5F"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6673C950"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5D5C73C8" w14:textId="77777777">
        <w:tc>
          <w:tcPr>
            <w:tcW w:w="1980" w:type="dxa"/>
          </w:tcPr>
          <w:p w14:paraId="0B8B21F1"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3A1BEF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1F28053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AN3 has agreed that RAN visible QoE metrics collection can be configured only if QoE measurements are configured for the same service type, so both IEs can be used for RAN visible QoE purpose.</w:t>
            </w:r>
          </w:p>
        </w:tc>
      </w:tr>
      <w:tr w:rsidR="00902D7C" w14:paraId="7CB8C9C5" w14:textId="77777777">
        <w:tc>
          <w:tcPr>
            <w:tcW w:w="1980" w:type="dxa"/>
          </w:tcPr>
          <w:p w14:paraId="3ED29BF8" w14:textId="77777777" w:rsidR="00902D7C" w:rsidRDefault="00717CD7">
            <w:pPr>
              <w:spacing w:before="120" w:after="0"/>
              <w:rPr>
                <w:rFonts w:ascii="Arial" w:hAnsi="Arial" w:cs="Arial"/>
              </w:rPr>
            </w:pPr>
            <w:r>
              <w:rPr>
                <w:rFonts w:ascii="Arial" w:hAnsi="Arial" w:cs="Arial"/>
              </w:rPr>
              <w:t>Ericsson</w:t>
            </w:r>
          </w:p>
        </w:tc>
        <w:tc>
          <w:tcPr>
            <w:tcW w:w="1134" w:type="dxa"/>
          </w:tcPr>
          <w:p w14:paraId="30B64A8B" w14:textId="77777777" w:rsidR="00902D7C" w:rsidRDefault="00717CD7">
            <w:pPr>
              <w:spacing w:before="120" w:after="0"/>
              <w:rPr>
                <w:rFonts w:ascii="Arial" w:hAnsi="Arial" w:cs="Arial"/>
              </w:rPr>
            </w:pPr>
            <w:r>
              <w:rPr>
                <w:rFonts w:ascii="Arial" w:hAnsi="Arial" w:cs="Arial"/>
              </w:rPr>
              <w:t>Yes</w:t>
            </w:r>
          </w:p>
        </w:tc>
        <w:tc>
          <w:tcPr>
            <w:tcW w:w="6515" w:type="dxa"/>
          </w:tcPr>
          <w:p w14:paraId="5C567AFB" w14:textId="77777777" w:rsidR="00902D7C" w:rsidRDefault="00717CD7">
            <w:pPr>
              <w:spacing w:before="120" w:after="0"/>
              <w:rPr>
                <w:rFonts w:ascii="Arial" w:hAnsi="Arial" w:cs="Arial"/>
              </w:rPr>
            </w:pPr>
            <w:r>
              <w:rPr>
                <w:rFonts w:ascii="Arial" w:hAnsi="Arial" w:cs="Arial"/>
              </w:rPr>
              <w:t>Agree with Huawei.</w:t>
            </w:r>
          </w:p>
        </w:tc>
      </w:tr>
      <w:tr w:rsidR="00902D7C" w14:paraId="04210B61" w14:textId="77777777">
        <w:tc>
          <w:tcPr>
            <w:tcW w:w="1980" w:type="dxa"/>
          </w:tcPr>
          <w:p w14:paraId="58217B8F" w14:textId="77777777" w:rsidR="00902D7C" w:rsidRDefault="00717CD7">
            <w:pPr>
              <w:spacing w:before="120" w:after="0"/>
              <w:rPr>
                <w:rFonts w:ascii="Arial" w:hAnsi="Arial" w:cs="Arial"/>
              </w:rPr>
            </w:pPr>
            <w:r>
              <w:rPr>
                <w:rFonts w:ascii="Arial" w:hAnsi="Arial" w:cs="Arial"/>
              </w:rPr>
              <w:t>Nokia</w:t>
            </w:r>
          </w:p>
        </w:tc>
        <w:tc>
          <w:tcPr>
            <w:tcW w:w="1134" w:type="dxa"/>
          </w:tcPr>
          <w:p w14:paraId="178DF37F" w14:textId="77777777" w:rsidR="00902D7C" w:rsidRDefault="00717CD7">
            <w:pPr>
              <w:spacing w:before="120" w:after="0"/>
              <w:rPr>
                <w:rFonts w:ascii="Arial" w:hAnsi="Arial" w:cs="Arial"/>
              </w:rPr>
            </w:pPr>
            <w:r>
              <w:rPr>
                <w:rFonts w:ascii="Arial" w:hAnsi="Arial" w:cs="Arial"/>
              </w:rPr>
              <w:t>See comment</w:t>
            </w:r>
          </w:p>
        </w:tc>
        <w:tc>
          <w:tcPr>
            <w:tcW w:w="6515" w:type="dxa"/>
          </w:tcPr>
          <w:p w14:paraId="3BC2FABF"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In general, to identify two QoE configurations (either container or RAN-visible) a “dedicated” ids might be useful for the separate network configuration. Otherwise, the context of the configurations will be difficult to manage. We see also dependency on the decision for UE capabilities, if </w:t>
            </w:r>
            <w:r>
              <w:rPr>
                <w:rFonts w:ascii="Arial" w:eastAsia="Times New Roman" w:hAnsi="Arial" w:cs="Arial"/>
                <w:u w:val="single"/>
                <w:lang w:eastAsia="en-GB"/>
              </w:rPr>
              <w:t>a separate capability is defined for RAN visible QoE</w:t>
            </w:r>
            <w:r>
              <w:rPr>
                <w:rFonts w:ascii="Arial" w:eastAsia="Times New Roman" w:hAnsi="Arial" w:cs="Arial"/>
                <w:lang w:eastAsia="en-GB"/>
              </w:rPr>
              <w:t>, from RRC procedures and signalling perspective it would be desired to keep the configuration parameters separate. </w:t>
            </w:r>
          </w:p>
          <w:p w14:paraId="421A4049"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 xml:space="preserve">However, it depends on the RAN visible modelling – if the framework assumes that most sensible is to configure RAN-visible only if the QoE container configuration is provided to RAN and/or the QoE container configuration is configured to UE , then the two parameters (ID and </w:t>
            </w:r>
            <w:proofErr w:type="spellStart"/>
            <w:r>
              <w:rPr>
                <w:rFonts w:ascii="Arial" w:eastAsia="Times New Roman" w:hAnsi="Arial" w:cs="Arial"/>
                <w:lang w:eastAsia="en-GB"/>
              </w:rPr>
              <w:t>serviceType</w:t>
            </w:r>
            <w:proofErr w:type="spellEnd"/>
            <w:r>
              <w:rPr>
                <w:rFonts w:ascii="Arial" w:eastAsia="Times New Roman" w:hAnsi="Arial" w:cs="Arial"/>
                <w:lang w:eastAsia="en-GB"/>
              </w:rPr>
              <w:t>) can be considered as “shared” for the two configurations. </w:t>
            </w:r>
          </w:p>
          <w:p w14:paraId="042114A1"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The option to have the parameters shared should be then possible and resolved by ASN.1, but it has further impacts on the handling of “joint” QoE configurations. See answer to Q3 </w:t>
            </w:r>
          </w:p>
        </w:tc>
      </w:tr>
      <w:tr w:rsidR="00902D7C" w14:paraId="18D0015D" w14:textId="77777777">
        <w:tc>
          <w:tcPr>
            <w:tcW w:w="1980" w:type="dxa"/>
          </w:tcPr>
          <w:p w14:paraId="02BE4622" w14:textId="77777777" w:rsidR="00902D7C" w:rsidRDefault="00717CD7">
            <w:pPr>
              <w:spacing w:before="120" w:after="0"/>
              <w:rPr>
                <w:rFonts w:ascii="Arial" w:hAnsi="Arial" w:cs="Arial"/>
              </w:rPr>
            </w:pPr>
            <w:r>
              <w:rPr>
                <w:rFonts w:ascii="Arial" w:hAnsi="Arial" w:cs="Arial"/>
              </w:rPr>
              <w:t>T-Mobile, USA</w:t>
            </w:r>
          </w:p>
        </w:tc>
        <w:tc>
          <w:tcPr>
            <w:tcW w:w="1134" w:type="dxa"/>
          </w:tcPr>
          <w:p w14:paraId="58953B2D" w14:textId="77777777" w:rsidR="00902D7C" w:rsidRDefault="00717CD7">
            <w:pPr>
              <w:spacing w:before="120" w:after="0"/>
              <w:rPr>
                <w:rFonts w:ascii="Arial" w:hAnsi="Arial" w:cs="Arial"/>
              </w:rPr>
            </w:pPr>
            <w:r>
              <w:rPr>
                <w:rFonts w:ascii="Arial" w:hAnsi="Arial" w:cs="Arial"/>
              </w:rPr>
              <w:t>See comment</w:t>
            </w:r>
          </w:p>
        </w:tc>
        <w:tc>
          <w:tcPr>
            <w:tcW w:w="6515" w:type="dxa"/>
          </w:tcPr>
          <w:p w14:paraId="700C095C" w14:textId="77777777" w:rsidR="00902D7C" w:rsidRDefault="00717CD7">
            <w:pPr>
              <w:spacing w:before="120" w:after="0"/>
              <w:rPr>
                <w:rFonts w:ascii="Arial" w:hAnsi="Arial" w:cs="Arial"/>
              </w:rPr>
            </w:pPr>
            <w:r>
              <w:rPr>
                <w:rFonts w:ascii="Arial" w:hAnsi="Arial" w:cs="Arial"/>
              </w:rPr>
              <w:t>Agree with Nokia that flexibility is better. Not opposed in sharing the same IE.</w:t>
            </w:r>
          </w:p>
        </w:tc>
      </w:tr>
      <w:tr w:rsidR="00902D7C" w14:paraId="2D7C1729" w14:textId="77777777">
        <w:tc>
          <w:tcPr>
            <w:tcW w:w="1980" w:type="dxa"/>
          </w:tcPr>
          <w:p w14:paraId="7ED118D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36B2B19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0053E4C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Sharing the same IEs is the most straight-forward approach which requires the least extra standardized work.</w:t>
            </w:r>
          </w:p>
        </w:tc>
      </w:tr>
      <w:tr w:rsidR="00902D7C" w14:paraId="0E5B5F81" w14:textId="77777777">
        <w:tc>
          <w:tcPr>
            <w:tcW w:w="1980" w:type="dxa"/>
          </w:tcPr>
          <w:p w14:paraId="0C913F3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3B32CF2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741475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RAN visible QoE configuration has dependency on legacy QoE configuration, share the same IE is </w:t>
            </w:r>
            <w:proofErr w:type="gramStart"/>
            <w:r>
              <w:rPr>
                <w:rFonts w:ascii="Arial" w:eastAsiaTheme="minorEastAsia" w:hAnsi="Arial" w:cs="Arial"/>
                <w:lang w:eastAsia="zh-CN"/>
              </w:rPr>
              <w:t>more easy</w:t>
            </w:r>
            <w:proofErr w:type="gramEnd"/>
            <w:r>
              <w:rPr>
                <w:rFonts w:ascii="Arial" w:eastAsiaTheme="minorEastAsia" w:hAnsi="Arial" w:cs="Arial"/>
                <w:lang w:eastAsia="zh-CN"/>
              </w:rPr>
              <w:t xml:space="preserve"> for specification description and implementation. Otherwise, UE and the RAN node need to maintain the mapping of the two different </w:t>
            </w:r>
            <w:proofErr w:type="spellStart"/>
            <w:r>
              <w:rPr>
                <w:rFonts w:ascii="Arial" w:hAnsi="Arial"/>
                <w:b/>
                <w:bCs/>
              </w:rPr>
              <w:t>measConfigAppLayerIds</w:t>
            </w:r>
            <w:proofErr w:type="spellEnd"/>
            <w:r>
              <w:rPr>
                <w:rFonts w:ascii="Arial" w:hAnsi="Arial"/>
                <w:b/>
                <w:bCs/>
              </w:rPr>
              <w:t xml:space="preserve"> </w:t>
            </w:r>
            <w:r>
              <w:rPr>
                <w:rFonts w:ascii="Arial" w:hAnsi="Arial"/>
              </w:rPr>
              <w:t>allocating to the legacy QoE configuration and RVQoE configuration.</w:t>
            </w:r>
          </w:p>
        </w:tc>
      </w:tr>
      <w:tr w:rsidR="00902D7C" w14:paraId="3A708CB5" w14:textId="77777777">
        <w:tc>
          <w:tcPr>
            <w:tcW w:w="1980" w:type="dxa"/>
          </w:tcPr>
          <w:p w14:paraId="626B8B7D"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52D31A05"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079A02F8" w14:textId="77777777" w:rsidR="00902D7C" w:rsidRDefault="00717CD7">
            <w:pPr>
              <w:spacing w:before="120" w:after="0"/>
              <w:rPr>
                <w:rFonts w:ascii="Arial" w:eastAsiaTheme="minorEastAsia" w:hAnsi="Arial" w:cs="Arial"/>
                <w:lang w:eastAsia="zh-CN"/>
              </w:rPr>
            </w:pPr>
            <w:r>
              <w:rPr>
                <w:rFonts w:ascii="Arial" w:hAnsi="Arial" w:cs="Arial"/>
              </w:rPr>
              <w:t>Even there is a separate capability, the capability of supporting RVQoE shall be associated with the prerequisite to support the legacy QoE.</w:t>
            </w:r>
          </w:p>
        </w:tc>
      </w:tr>
      <w:tr w:rsidR="00902D7C" w14:paraId="4D61CE63" w14:textId="77777777">
        <w:tc>
          <w:tcPr>
            <w:tcW w:w="1980" w:type="dxa"/>
          </w:tcPr>
          <w:p w14:paraId="0AD2C07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522E5E5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7E6D40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w:t>
            </w:r>
            <w:r>
              <w:rPr>
                <w:rFonts w:ascii="Arial" w:eastAsiaTheme="minorEastAsia" w:hAnsi="Arial" w:cs="Arial" w:hint="eastAsia"/>
                <w:lang w:eastAsia="zh-CN"/>
              </w:rPr>
              <w:t xml:space="preserve">euse </w:t>
            </w:r>
            <w:r>
              <w:rPr>
                <w:rFonts w:ascii="Arial" w:eastAsiaTheme="minorEastAsia" w:hAnsi="Arial" w:cs="Arial"/>
                <w:lang w:eastAsia="zh-CN"/>
              </w:rPr>
              <w:t xml:space="preserve">the legacy framework and IEs </w:t>
            </w:r>
            <w:r>
              <w:rPr>
                <w:rFonts w:ascii="Arial" w:eastAsiaTheme="minorEastAsia" w:hAnsi="Arial" w:cs="Arial" w:hint="eastAsia"/>
                <w:lang w:eastAsia="zh-CN"/>
              </w:rPr>
              <w:t xml:space="preserve">for RVQOE is </w:t>
            </w:r>
            <w:r>
              <w:rPr>
                <w:rFonts w:ascii="Arial" w:eastAsiaTheme="minorEastAsia" w:hAnsi="Arial" w:cs="Arial"/>
                <w:lang w:eastAsia="zh-CN"/>
              </w:rPr>
              <w:t>efficient</w:t>
            </w:r>
            <w:r>
              <w:rPr>
                <w:rFonts w:ascii="Arial" w:eastAsiaTheme="minorEastAsia" w:hAnsi="Arial" w:cs="Arial" w:hint="eastAsia"/>
                <w:lang w:eastAsia="zh-CN"/>
              </w:rPr>
              <w:t xml:space="preserve"> and easy to handle </w:t>
            </w:r>
            <w:r>
              <w:rPr>
                <w:rFonts w:ascii="Arial" w:eastAsiaTheme="minorEastAsia" w:hAnsi="Arial" w:cs="Arial"/>
                <w:lang w:eastAsia="zh-CN"/>
              </w:rPr>
              <w:t>the</w:t>
            </w:r>
            <w:r>
              <w:rPr>
                <w:rFonts w:ascii="Arial" w:eastAsiaTheme="minorEastAsia" w:hAnsi="Arial" w:cs="Arial" w:hint="eastAsia"/>
                <w:lang w:eastAsia="zh-CN"/>
              </w:rPr>
              <w:t xml:space="preserve"> relation between RVQoE and legacy QoE</w:t>
            </w:r>
          </w:p>
        </w:tc>
      </w:tr>
      <w:tr w:rsidR="00902D7C" w14:paraId="41E11E8F" w14:textId="77777777">
        <w:tc>
          <w:tcPr>
            <w:tcW w:w="1980" w:type="dxa"/>
          </w:tcPr>
          <w:p w14:paraId="3C3799BC"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C119F1C"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0B11B889"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Same view with HW</w:t>
            </w:r>
          </w:p>
        </w:tc>
      </w:tr>
      <w:tr w:rsidR="00AB4EFF" w14:paraId="452F6F19" w14:textId="77777777">
        <w:tc>
          <w:tcPr>
            <w:tcW w:w="1980" w:type="dxa"/>
          </w:tcPr>
          <w:p w14:paraId="59B76818" w14:textId="4F213661" w:rsidR="00AB4EFF" w:rsidRDefault="00AB4EFF">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134" w:type="dxa"/>
          </w:tcPr>
          <w:p w14:paraId="6C215142" w14:textId="37B88579" w:rsidR="00AB4EFF" w:rsidRDefault="00AB4EFF">
            <w:pPr>
              <w:spacing w:before="120"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15" w:type="dxa"/>
          </w:tcPr>
          <w:p w14:paraId="55374A6F" w14:textId="77777777" w:rsidR="00AB4EFF" w:rsidRDefault="00AB4EFF">
            <w:pPr>
              <w:spacing w:before="120" w:after="0"/>
              <w:rPr>
                <w:rFonts w:ascii="Arial" w:eastAsiaTheme="minorEastAsia" w:hAnsi="Arial" w:cs="Arial"/>
                <w:lang w:val="en-US" w:eastAsia="zh-CN"/>
              </w:rPr>
            </w:pPr>
          </w:p>
        </w:tc>
      </w:tr>
      <w:tr w:rsidR="008A22DE" w14:paraId="14B5A35C" w14:textId="77777777">
        <w:tc>
          <w:tcPr>
            <w:tcW w:w="1980" w:type="dxa"/>
          </w:tcPr>
          <w:p w14:paraId="3F610749" w14:textId="7845469A"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1134" w:type="dxa"/>
          </w:tcPr>
          <w:p w14:paraId="086151C4" w14:textId="14B28C57"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Yes</w:t>
            </w:r>
          </w:p>
        </w:tc>
        <w:tc>
          <w:tcPr>
            <w:tcW w:w="6515" w:type="dxa"/>
          </w:tcPr>
          <w:p w14:paraId="188A824E" w14:textId="20BEABF7" w:rsidR="008A22DE" w:rsidRDefault="008A22DE" w:rsidP="008A22DE">
            <w:pPr>
              <w:spacing w:before="120" w:after="0"/>
              <w:rPr>
                <w:rFonts w:ascii="Arial" w:eastAsiaTheme="minorEastAsia" w:hAnsi="Arial" w:cs="Arial"/>
                <w:lang w:val="en-US" w:eastAsia="zh-CN"/>
              </w:rPr>
            </w:pPr>
            <w:r>
              <w:rPr>
                <w:rFonts w:ascii="Arial" w:hAnsi="Arial" w:cs="Arial"/>
                <w:lang w:eastAsia="ko-KR"/>
              </w:rPr>
              <w:t xml:space="preserve">We agree with </w:t>
            </w:r>
            <w:r w:rsidRPr="00F642F2">
              <w:rPr>
                <w:rFonts w:ascii="Arial" w:hAnsi="Arial" w:cs="Arial"/>
                <w:lang w:eastAsia="ko-KR"/>
              </w:rPr>
              <w:t>rapporteur</w:t>
            </w:r>
            <w:r>
              <w:rPr>
                <w:rFonts w:ascii="Arial" w:hAnsi="Arial" w:cs="Arial"/>
                <w:lang w:eastAsia="ko-KR"/>
              </w:rPr>
              <w:t xml:space="preserve">’s opinion that the ASN.1 examples given in [5, 6, </w:t>
            </w:r>
            <w:proofErr w:type="gramStart"/>
            <w:r>
              <w:rPr>
                <w:rFonts w:ascii="Arial" w:hAnsi="Arial" w:cs="Arial"/>
                <w:lang w:eastAsia="ko-KR"/>
              </w:rPr>
              <w:t>10</w:t>
            </w:r>
            <w:proofErr w:type="gramEnd"/>
            <w:r>
              <w:rPr>
                <w:rFonts w:ascii="Arial" w:hAnsi="Arial" w:cs="Arial"/>
                <w:lang w:eastAsia="ko-KR"/>
              </w:rPr>
              <w:t>] is only example, not agreements.</w:t>
            </w:r>
          </w:p>
        </w:tc>
      </w:tr>
      <w:tr w:rsidR="00196771" w14:paraId="62C5921C" w14:textId="77777777">
        <w:tc>
          <w:tcPr>
            <w:tcW w:w="1980" w:type="dxa"/>
          </w:tcPr>
          <w:p w14:paraId="7486A1FD" w14:textId="4DCB2327"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6C016995" w14:textId="0510754D" w:rsidR="00196771" w:rsidRDefault="00196771" w:rsidP="00196771">
            <w:pPr>
              <w:spacing w:before="120" w:after="0"/>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0D3C70F1" w14:textId="6370AE30" w:rsidR="00196771" w:rsidRDefault="00196771" w:rsidP="00196771">
            <w:pPr>
              <w:spacing w:before="120" w:after="0"/>
              <w:rPr>
                <w:rFonts w:ascii="Arial" w:hAnsi="Arial" w:cs="Arial"/>
                <w:lang w:eastAsia="ko-KR"/>
              </w:rPr>
            </w:pPr>
            <w:r>
              <w:rPr>
                <w:rFonts w:ascii="Arial" w:eastAsia="PMingLiU" w:hAnsi="Arial" w:cs="Arial" w:hint="eastAsia"/>
                <w:lang w:eastAsia="zh-TW"/>
              </w:rPr>
              <w:t>A</w:t>
            </w:r>
            <w:r>
              <w:rPr>
                <w:rFonts w:ascii="Arial" w:eastAsia="PMingLiU" w:hAnsi="Arial" w:cs="Arial"/>
                <w:lang w:eastAsia="zh-TW"/>
              </w:rPr>
              <w:t xml:space="preserve">gree with Huawei. </w:t>
            </w:r>
          </w:p>
        </w:tc>
      </w:tr>
      <w:tr w:rsidR="00090D37" w14:paraId="5BF68A5E" w14:textId="77777777">
        <w:tc>
          <w:tcPr>
            <w:tcW w:w="1980" w:type="dxa"/>
          </w:tcPr>
          <w:p w14:paraId="37ED5611" w14:textId="420653FC" w:rsidR="00090D37" w:rsidRDefault="00090D37" w:rsidP="00090D37">
            <w:pPr>
              <w:spacing w:before="120" w:after="0"/>
              <w:rPr>
                <w:rFonts w:ascii="Arial" w:eastAsia="PMingLiU" w:hAnsi="Arial" w:cs="Arial" w:hint="eastAsia"/>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270B9B8D" w14:textId="07D0CAC2" w:rsidR="00090D37" w:rsidRDefault="00090D37" w:rsidP="00090D37">
            <w:pPr>
              <w:spacing w:before="120" w:after="0"/>
              <w:rPr>
                <w:rFonts w:ascii="Arial" w:eastAsia="PMingLiU" w:hAnsi="Arial" w:cs="Arial" w:hint="eastAsia"/>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035B2DBE" w14:textId="6FFF30A4" w:rsidR="00090D37" w:rsidRDefault="00090D37" w:rsidP="00090D37">
            <w:pPr>
              <w:spacing w:before="120" w:after="0"/>
              <w:rPr>
                <w:rFonts w:ascii="Arial" w:eastAsia="PMingLiU" w:hAnsi="Arial" w:cs="Arial" w:hint="eastAsia"/>
                <w:lang w:eastAsia="zh-TW"/>
              </w:rPr>
            </w:pPr>
            <w:r>
              <w:rPr>
                <w:rFonts w:ascii="Arial" w:eastAsiaTheme="minorEastAsia" w:hAnsi="Arial" w:cs="Arial"/>
                <w:lang w:eastAsia="zh-CN"/>
              </w:rPr>
              <w:t>Share the same view with Huawei.</w:t>
            </w:r>
          </w:p>
        </w:tc>
      </w:tr>
    </w:tbl>
    <w:p w14:paraId="745E3607" w14:textId="77777777" w:rsidR="00902D7C" w:rsidRDefault="00717CD7">
      <w:pPr>
        <w:spacing w:before="120" w:after="0"/>
        <w:rPr>
          <w:rFonts w:ascii="Arial" w:hAnsi="Arial" w:cs="Arial"/>
          <w:b/>
          <w:bCs/>
          <w:u w:val="single"/>
        </w:rPr>
      </w:pPr>
      <w:r>
        <w:rPr>
          <w:rFonts w:ascii="Arial" w:hAnsi="Arial" w:cs="Arial"/>
          <w:b/>
          <w:bCs/>
          <w:u w:val="single"/>
        </w:rPr>
        <w:t xml:space="preserve">Issue 2: </w:t>
      </w:r>
      <w:proofErr w:type="spellStart"/>
      <w:r>
        <w:rPr>
          <w:rFonts w:ascii="Arial" w:hAnsi="Arial" w:cs="Arial"/>
          <w:b/>
          <w:bCs/>
          <w:u w:val="single"/>
        </w:rPr>
        <w:t>RVQoE</w:t>
      </w:r>
      <w:proofErr w:type="spellEnd"/>
      <w:r>
        <w:rPr>
          <w:rFonts w:ascii="Arial" w:hAnsi="Arial" w:cs="Arial"/>
          <w:b/>
          <w:bCs/>
          <w:u w:val="single"/>
        </w:rPr>
        <w:t xml:space="preserve"> modification</w:t>
      </w:r>
    </w:p>
    <w:p w14:paraId="5D4BA1D4" w14:textId="77777777" w:rsidR="00902D7C" w:rsidRDefault="00717CD7">
      <w:pPr>
        <w:spacing w:before="120" w:after="0"/>
        <w:rPr>
          <w:rFonts w:ascii="Arial" w:hAnsi="Arial" w:cs="Arial"/>
        </w:rPr>
      </w:pPr>
      <w:r>
        <w:rPr>
          <w:rFonts w:ascii="Arial" w:hAnsi="Arial" w:cs="Arial"/>
        </w:rPr>
        <w:lastRenderedPageBreak/>
        <w:t>Contribution [6] proposes to support RVQoE modification which provides gNB flexibility to configure RVQoE, e.g. change RVQoE metrics. Rapporteur thinks it reasonable and technically feasible to support modification from RRC message point of view.</w:t>
      </w:r>
    </w:p>
    <w:p w14:paraId="398C2273" w14:textId="77777777" w:rsidR="00902D7C" w:rsidRDefault="00717CD7">
      <w:pPr>
        <w:spacing w:before="120" w:after="0"/>
        <w:rPr>
          <w:rFonts w:ascii="Arial" w:hAnsi="Arial" w:cs="Arial"/>
        </w:rPr>
      </w:pPr>
      <w:r>
        <w:rPr>
          <w:rFonts w:ascii="Arial" w:hAnsi="Arial" w:cs="Arial"/>
        </w:rPr>
        <w:t>Companies please reply to the question:</w:t>
      </w:r>
    </w:p>
    <w:p w14:paraId="501266D9" w14:textId="77777777" w:rsidR="00902D7C" w:rsidRDefault="00717CD7">
      <w:pPr>
        <w:spacing w:before="120" w:after="0"/>
        <w:rPr>
          <w:rFonts w:ascii="Arial" w:hAnsi="Arial" w:cs="Arial"/>
          <w:bCs/>
        </w:rPr>
      </w:pPr>
      <w:r>
        <w:rPr>
          <w:rFonts w:ascii="Arial" w:hAnsi="Arial" w:cs="Arial"/>
          <w:b/>
          <w:bCs/>
        </w:rPr>
        <w:t>Q2: Whether RVQoE modification can be supported from RRC layer point of view?</w:t>
      </w:r>
    </w:p>
    <w:tbl>
      <w:tblPr>
        <w:tblStyle w:val="af"/>
        <w:tblW w:w="0" w:type="auto"/>
        <w:tblLook w:val="04A0" w:firstRow="1" w:lastRow="0" w:firstColumn="1" w:lastColumn="0" w:noHBand="0" w:noVBand="1"/>
      </w:tblPr>
      <w:tblGrid>
        <w:gridCol w:w="1980"/>
        <w:gridCol w:w="1134"/>
        <w:gridCol w:w="6515"/>
      </w:tblGrid>
      <w:tr w:rsidR="00902D7C" w14:paraId="75879284" w14:textId="77777777">
        <w:tc>
          <w:tcPr>
            <w:tcW w:w="1980" w:type="dxa"/>
          </w:tcPr>
          <w:p w14:paraId="6D00813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476970B9"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331631F7"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3F836EE1" w14:textId="77777777">
        <w:tc>
          <w:tcPr>
            <w:tcW w:w="1980" w:type="dxa"/>
          </w:tcPr>
          <w:p w14:paraId="6D0CBE3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1CEA7CA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6ABDEF4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ur understanding on modification handling is that, gNB can modify RAN visible QoE specific configurations, i.e.:</w:t>
            </w:r>
          </w:p>
          <w:p w14:paraId="13928A36"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rPr>
              <w:t>From “visible metric A” to “visible metric B”</w:t>
            </w:r>
          </w:p>
          <w:p w14:paraId="77CCEB4B"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rPr>
              <w:t>From “visible metric A” to “visible metric A, B”</w:t>
            </w:r>
          </w:p>
          <w:p w14:paraId="0B6B867F"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rPr>
              <w:t>From “visible metric A, B” to “visible metric A”</w:t>
            </w:r>
          </w:p>
          <w:p w14:paraId="37137F7E" w14:textId="77777777" w:rsidR="00902D7C" w:rsidRDefault="00902D7C">
            <w:pPr>
              <w:spacing w:before="120" w:after="0"/>
              <w:rPr>
                <w:rFonts w:ascii="Arial" w:eastAsiaTheme="minorEastAsia" w:hAnsi="Arial" w:cs="Arial"/>
                <w:lang w:eastAsia="zh-CN"/>
              </w:rPr>
            </w:pPr>
          </w:p>
          <w:p w14:paraId="020ED7F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this handling, firstly it is initiated by gNB so it is reasonable for gNB to have a possibility to modify the configuration. Secondly, it does not impact container based QoE handling.</w:t>
            </w:r>
          </w:p>
          <w:p w14:paraId="0E7F2A3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If RAN visible QoE modification is not allowed, there may be extra complexities, e.g. only setup/release handling is allowed.</w:t>
            </w:r>
          </w:p>
        </w:tc>
      </w:tr>
      <w:tr w:rsidR="00902D7C" w14:paraId="6204B614" w14:textId="77777777">
        <w:tc>
          <w:tcPr>
            <w:tcW w:w="1980" w:type="dxa"/>
          </w:tcPr>
          <w:p w14:paraId="304171A0" w14:textId="77777777" w:rsidR="00902D7C" w:rsidRDefault="00717CD7">
            <w:pPr>
              <w:spacing w:before="120" w:after="0"/>
              <w:rPr>
                <w:rFonts w:ascii="Arial" w:hAnsi="Arial" w:cs="Arial"/>
              </w:rPr>
            </w:pPr>
            <w:r>
              <w:rPr>
                <w:rFonts w:ascii="Arial" w:hAnsi="Arial" w:cs="Arial"/>
              </w:rPr>
              <w:t>Ericsson</w:t>
            </w:r>
          </w:p>
        </w:tc>
        <w:tc>
          <w:tcPr>
            <w:tcW w:w="1134" w:type="dxa"/>
          </w:tcPr>
          <w:p w14:paraId="59B0D054" w14:textId="77777777" w:rsidR="00902D7C" w:rsidRDefault="00717CD7">
            <w:pPr>
              <w:spacing w:before="120" w:after="0"/>
              <w:rPr>
                <w:rFonts w:ascii="Arial" w:hAnsi="Arial" w:cs="Arial"/>
              </w:rPr>
            </w:pPr>
            <w:r>
              <w:rPr>
                <w:rFonts w:ascii="Arial" w:hAnsi="Arial" w:cs="Arial"/>
              </w:rPr>
              <w:t>Yes</w:t>
            </w:r>
          </w:p>
        </w:tc>
        <w:tc>
          <w:tcPr>
            <w:tcW w:w="6515" w:type="dxa"/>
          </w:tcPr>
          <w:p w14:paraId="6F35121C" w14:textId="77777777" w:rsidR="00902D7C" w:rsidRDefault="00717CD7">
            <w:pPr>
              <w:spacing w:before="120" w:after="0"/>
              <w:rPr>
                <w:rFonts w:ascii="Arial" w:hAnsi="Arial" w:cs="Arial"/>
              </w:rPr>
            </w:pPr>
            <w:r>
              <w:rPr>
                <w:rFonts w:ascii="Arial" w:hAnsi="Arial" w:cs="Arial"/>
              </w:rPr>
              <w:t xml:space="preserve">RRC parameters should be possible to modify as usual. No reason to add extra complexity to not allow it. </w:t>
            </w:r>
          </w:p>
        </w:tc>
      </w:tr>
      <w:tr w:rsidR="00902D7C" w14:paraId="4467BD1C" w14:textId="77777777">
        <w:tc>
          <w:tcPr>
            <w:tcW w:w="1980" w:type="dxa"/>
          </w:tcPr>
          <w:p w14:paraId="69CA0B7C" w14:textId="77777777" w:rsidR="00902D7C" w:rsidRDefault="00717CD7">
            <w:pPr>
              <w:spacing w:before="120" w:after="0"/>
              <w:rPr>
                <w:rFonts w:ascii="Arial" w:hAnsi="Arial" w:cs="Arial"/>
              </w:rPr>
            </w:pPr>
            <w:r>
              <w:rPr>
                <w:rFonts w:ascii="Arial" w:hAnsi="Arial" w:cs="Arial"/>
              </w:rPr>
              <w:t>Nokia</w:t>
            </w:r>
          </w:p>
        </w:tc>
        <w:tc>
          <w:tcPr>
            <w:tcW w:w="1134" w:type="dxa"/>
          </w:tcPr>
          <w:p w14:paraId="0727754F" w14:textId="77777777" w:rsidR="00902D7C" w:rsidRDefault="00717CD7">
            <w:pPr>
              <w:spacing w:before="120" w:after="0"/>
              <w:rPr>
                <w:rFonts w:ascii="Arial" w:hAnsi="Arial" w:cs="Arial"/>
              </w:rPr>
            </w:pPr>
            <w:r>
              <w:rPr>
                <w:rFonts w:ascii="Arial" w:hAnsi="Arial" w:cs="Arial"/>
              </w:rPr>
              <w:t>No</w:t>
            </w:r>
          </w:p>
        </w:tc>
        <w:tc>
          <w:tcPr>
            <w:tcW w:w="6515" w:type="dxa"/>
          </w:tcPr>
          <w:p w14:paraId="0FCC0256" w14:textId="77777777" w:rsidR="00902D7C" w:rsidRDefault="00717CD7">
            <w:pPr>
              <w:spacing w:after="0"/>
              <w:textAlignment w:val="baseline"/>
              <w:rPr>
                <w:rFonts w:ascii="Segoe UI" w:eastAsia="Times New Roman" w:hAnsi="Segoe UI" w:cs="Segoe UI"/>
                <w:sz w:val="18"/>
                <w:szCs w:val="18"/>
                <w:lang w:eastAsia="en-GB"/>
              </w:rPr>
            </w:pPr>
            <w:r>
              <w:rPr>
                <w:rFonts w:ascii="Arial" w:eastAsia="Times New Roman" w:hAnsi="Arial" w:cs="Arial"/>
                <w:lang w:eastAsia="en-GB"/>
              </w:rPr>
              <w:t>For gNB (</w:t>
            </w:r>
            <w:proofErr w:type="gramStart"/>
            <w:r>
              <w:rPr>
                <w:rFonts w:ascii="Arial" w:eastAsia="Times New Roman" w:hAnsi="Arial" w:cs="Arial"/>
                <w:lang w:eastAsia="en-GB"/>
              </w:rPr>
              <w:t>and  RRC</w:t>
            </w:r>
            <w:proofErr w:type="gramEnd"/>
            <w:r>
              <w:rPr>
                <w:rFonts w:ascii="Arial" w:eastAsia="Times New Roman" w:hAnsi="Arial" w:cs="Arial"/>
                <w:lang w:eastAsia="en-GB"/>
              </w:rPr>
              <w:t xml:space="preserve"> signalling) we believe the simplest option should support change by releasing and adding new configuration</w:t>
            </w:r>
            <w:r>
              <w:rPr>
                <w:rFonts w:ascii="Arial" w:eastAsia="Times New Roman" w:hAnsi="Arial" w:cs="Arial"/>
                <w:color w:val="D13438"/>
                <w:u w:val="single"/>
                <w:lang w:eastAsia="en-GB"/>
              </w:rPr>
              <w:t>. </w:t>
            </w:r>
            <w:r>
              <w:rPr>
                <w:rFonts w:ascii="Arial" w:eastAsia="Times New Roman" w:hAnsi="Arial" w:cs="Arial"/>
                <w:lang w:eastAsia="en-GB"/>
              </w:rPr>
              <w:t> </w:t>
            </w:r>
          </w:p>
          <w:p w14:paraId="20825E48" w14:textId="77777777" w:rsidR="00902D7C" w:rsidRDefault="00717CD7">
            <w:pPr>
              <w:spacing w:after="0"/>
              <w:textAlignment w:val="baseline"/>
              <w:rPr>
                <w:rFonts w:ascii="Arial" w:hAnsi="Arial" w:cs="Arial"/>
              </w:rPr>
            </w:pPr>
            <w:r>
              <w:rPr>
                <w:rFonts w:ascii="Arial" w:eastAsia="Times New Roman" w:hAnsi="Arial" w:cs="Arial"/>
                <w:lang w:eastAsia="en-GB"/>
              </w:rPr>
              <w:t xml:space="preserve">The question is rather which entity would trigger a change of configuration of </w:t>
            </w:r>
            <w:proofErr w:type="gramStart"/>
            <w:r>
              <w:rPr>
                <w:rFonts w:ascii="Arial" w:eastAsia="Times New Roman" w:hAnsi="Arial" w:cs="Arial"/>
                <w:lang w:eastAsia="en-GB"/>
              </w:rPr>
              <w:t>RVQoE ?</w:t>
            </w:r>
            <w:proofErr w:type="gramEnd"/>
            <w:r>
              <w:rPr>
                <w:rFonts w:ascii="Arial" w:eastAsia="Times New Roman" w:hAnsi="Arial" w:cs="Arial"/>
                <w:lang w:eastAsia="en-GB"/>
              </w:rPr>
              <w:t xml:space="preserve"> This would depend on which node is aware of the QoE / RVQoE configuration and is able to change it.  </w:t>
            </w:r>
          </w:p>
        </w:tc>
      </w:tr>
      <w:tr w:rsidR="00902D7C" w14:paraId="6EA51D69" w14:textId="77777777">
        <w:tc>
          <w:tcPr>
            <w:tcW w:w="1980" w:type="dxa"/>
          </w:tcPr>
          <w:p w14:paraId="5ACEA38D" w14:textId="77777777" w:rsidR="00902D7C" w:rsidRDefault="00717CD7">
            <w:pPr>
              <w:spacing w:before="120" w:after="0"/>
              <w:rPr>
                <w:rFonts w:ascii="Arial" w:hAnsi="Arial" w:cs="Arial"/>
              </w:rPr>
            </w:pPr>
            <w:r>
              <w:rPr>
                <w:rFonts w:ascii="Arial" w:hAnsi="Arial" w:cs="Arial"/>
              </w:rPr>
              <w:t>T-Mobile, USA</w:t>
            </w:r>
          </w:p>
        </w:tc>
        <w:tc>
          <w:tcPr>
            <w:tcW w:w="1134" w:type="dxa"/>
          </w:tcPr>
          <w:p w14:paraId="446543E5" w14:textId="77777777" w:rsidR="00902D7C" w:rsidRDefault="00717CD7">
            <w:pPr>
              <w:spacing w:before="120" w:after="0"/>
              <w:rPr>
                <w:rFonts w:ascii="Arial" w:hAnsi="Arial" w:cs="Arial"/>
              </w:rPr>
            </w:pPr>
            <w:r>
              <w:rPr>
                <w:rFonts w:ascii="Arial" w:hAnsi="Arial" w:cs="Arial"/>
              </w:rPr>
              <w:t>Yes</w:t>
            </w:r>
          </w:p>
        </w:tc>
        <w:tc>
          <w:tcPr>
            <w:tcW w:w="6515" w:type="dxa"/>
          </w:tcPr>
          <w:p w14:paraId="7BEA82B4" w14:textId="77777777" w:rsidR="00902D7C" w:rsidRDefault="00902D7C">
            <w:pPr>
              <w:spacing w:before="120" w:after="0"/>
              <w:rPr>
                <w:rFonts w:ascii="Arial" w:hAnsi="Arial" w:cs="Arial"/>
              </w:rPr>
            </w:pPr>
          </w:p>
        </w:tc>
      </w:tr>
      <w:tr w:rsidR="00902D7C" w14:paraId="1B3023FE" w14:textId="77777777">
        <w:tc>
          <w:tcPr>
            <w:tcW w:w="1980" w:type="dxa"/>
          </w:tcPr>
          <w:p w14:paraId="4F66463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1A1B78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540A8B4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RVQoE configuration is controlled by NG-RAN, so there</w:t>
            </w:r>
            <w:r>
              <w:rPr>
                <w:rFonts w:ascii="Arial" w:eastAsiaTheme="minorEastAsia" w:hAnsi="Arial" w:cs="Arial"/>
                <w:lang w:eastAsia="zh-CN"/>
              </w:rPr>
              <w:t>’</w:t>
            </w:r>
            <w:r>
              <w:rPr>
                <w:rFonts w:ascii="Arial" w:eastAsiaTheme="minorEastAsia" w:hAnsi="Arial" w:cs="Arial" w:hint="eastAsia"/>
                <w:lang w:eastAsia="zh-CN"/>
              </w:rPr>
              <w:t>s no reason not supporting modification.</w:t>
            </w:r>
          </w:p>
          <w:p w14:paraId="338F4AA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And we do not think release and setup is a good approach since it introduces extra overhead compared to modification.</w:t>
            </w:r>
          </w:p>
        </w:tc>
      </w:tr>
      <w:tr w:rsidR="00902D7C" w14:paraId="7A3AEBE4" w14:textId="77777777">
        <w:tc>
          <w:tcPr>
            <w:tcW w:w="1980" w:type="dxa"/>
          </w:tcPr>
          <w:p w14:paraId="20E17EA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05C462B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5A0B2FF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RVQoE is generated by RAN node, and modification can be supported as usual.</w:t>
            </w:r>
          </w:p>
        </w:tc>
      </w:tr>
      <w:tr w:rsidR="00902D7C" w14:paraId="6EC6090C" w14:textId="77777777">
        <w:tc>
          <w:tcPr>
            <w:tcW w:w="1980" w:type="dxa"/>
          </w:tcPr>
          <w:p w14:paraId="417884A3"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47852FF7" w14:textId="77777777" w:rsidR="00902D7C" w:rsidRDefault="00717CD7">
            <w:pPr>
              <w:spacing w:before="120" w:after="0"/>
              <w:rPr>
                <w:rFonts w:ascii="Arial" w:eastAsiaTheme="minorEastAsia" w:hAnsi="Arial" w:cs="Arial"/>
                <w:lang w:eastAsia="zh-CN"/>
              </w:rPr>
            </w:pPr>
            <w:r>
              <w:rPr>
                <w:rFonts w:ascii="Arial" w:hAnsi="Arial" w:cs="Arial"/>
              </w:rPr>
              <w:t>Depends on stage3 design</w:t>
            </w:r>
          </w:p>
        </w:tc>
        <w:tc>
          <w:tcPr>
            <w:tcW w:w="6515" w:type="dxa"/>
          </w:tcPr>
          <w:p w14:paraId="5B8DECE6" w14:textId="77777777" w:rsidR="00902D7C" w:rsidRDefault="00717CD7">
            <w:pPr>
              <w:spacing w:before="120" w:after="0"/>
              <w:rPr>
                <w:rFonts w:ascii="Arial" w:eastAsiaTheme="minorEastAsia" w:hAnsi="Arial" w:cs="Arial"/>
                <w:lang w:eastAsia="zh-CN"/>
              </w:rPr>
            </w:pPr>
            <w:r>
              <w:rPr>
                <w:rFonts w:ascii="Arial" w:hAnsi="Arial" w:cs="Arial"/>
              </w:rPr>
              <w:t>If only limit IE in RVQoE configuration or most of the IE are static, add and release is enough. Otherwise, modification can provide flexibility.</w:t>
            </w:r>
          </w:p>
        </w:tc>
      </w:tr>
      <w:tr w:rsidR="00902D7C" w14:paraId="161815C2" w14:textId="77777777">
        <w:tc>
          <w:tcPr>
            <w:tcW w:w="1980" w:type="dxa"/>
          </w:tcPr>
          <w:p w14:paraId="3E55F4D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029FA485" w14:textId="77777777" w:rsidR="00902D7C" w:rsidRDefault="00902D7C">
            <w:pPr>
              <w:spacing w:before="120" w:after="0"/>
              <w:rPr>
                <w:rFonts w:ascii="Arial" w:eastAsiaTheme="minorEastAsia" w:hAnsi="Arial" w:cs="Arial"/>
                <w:lang w:eastAsia="zh-CN"/>
              </w:rPr>
            </w:pPr>
          </w:p>
        </w:tc>
        <w:tc>
          <w:tcPr>
            <w:tcW w:w="6515" w:type="dxa"/>
          </w:tcPr>
          <w:p w14:paraId="41773AD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are open for </w:t>
            </w:r>
            <w:r>
              <w:rPr>
                <w:rFonts w:ascii="Arial" w:eastAsiaTheme="minorEastAsia" w:hAnsi="Arial" w:cs="Arial"/>
                <w:lang w:eastAsia="zh-CN"/>
              </w:rPr>
              <w:t>the</w:t>
            </w:r>
            <w:r>
              <w:rPr>
                <w:rFonts w:ascii="Arial" w:eastAsiaTheme="minorEastAsia" w:hAnsi="Arial" w:cs="Arial" w:hint="eastAsia"/>
                <w:lang w:eastAsia="zh-CN"/>
              </w:rPr>
              <w:t xml:space="preserve"> modification. </w:t>
            </w:r>
            <w:r>
              <w:rPr>
                <w:rFonts w:ascii="Arial" w:eastAsiaTheme="minorEastAsia" w:hAnsi="Arial" w:cs="Arial"/>
                <w:lang w:eastAsia="zh-CN"/>
              </w:rPr>
              <w:t>E</w:t>
            </w:r>
            <w:r>
              <w:rPr>
                <w:rFonts w:ascii="Arial" w:eastAsiaTheme="minorEastAsia" w:hAnsi="Arial" w:cs="Arial" w:hint="eastAsia"/>
                <w:lang w:eastAsia="zh-CN"/>
              </w:rPr>
              <w:t xml:space="preserve">ither use modification message or use release/add message as </w:t>
            </w:r>
            <w:r>
              <w:rPr>
                <w:rFonts w:ascii="Arial" w:eastAsiaTheme="minorEastAsia" w:hAnsi="Arial" w:cs="Arial"/>
                <w:lang w:eastAsia="zh-CN"/>
              </w:rPr>
              <w:t>legacy</w:t>
            </w:r>
            <w:r>
              <w:rPr>
                <w:rFonts w:ascii="Arial" w:eastAsiaTheme="minorEastAsia" w:hAnsi="Arial" w:cs="Arial" w:hint="eastAsia"/>
                <w:lang w:eastAsia="zh-CN"/>
              </w:rPr>
              <w:t xml:space="preserve"> QoE</w:t>
            </w:r>
          </w:p>
        </w:tc>
      </w:tr>
      <w:tr w:rsidR="00902D7C" w14:paraId="067B86FF" w14:textId="77777777">
        <w:tc>
          <w:tcPr>
            <w:tcW w:w="1980" w:type="dxa"/>
          </w:tcPr>
          <w:p w14:paraId="350775F0"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7A445672"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2AB54096" w14:textId="77777777" w:rsidR="00902D7C" w:rsidRDefault="00902D7C">
            <w:pPr>
              <w:spacing w:before="120" w:after="0"/>
              <w:rPr>
                <w:rFonts w:ascii="Arial" w:eastAsiaTheme="minorEastAsia" w:hAnsi="Arial" w:cs="Arial"/>
                <w:lang w:eastAsia="zh-CN"/>
              </w:rPr>
            </w:pPr>
          </w:p>
        </w:tc>
      </w:tr>
      <w:tr w:rsidR="006C66C7" w14:paraId="2930EC30" w14:textId="77777777">
        <w:tc>
          <w:tcPr>
            <w:tcW w:w="1980" w:type="dxa"/>
          </w:tcPr>
          <w:p w14:paraId="46476AF7" w14:textId="2AC13BF7" w:rsidR="006C66C7" w:rsidRDefault="006C66C7" w:rsidP="006C66C7">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3CDF5215" w14:textId="52264F6A" w:rsidR="006C66C7" w:rsidRDefault="006C66C7" w:rsidP="006C66C7">
            <w:pPr>
              <w:spacing w:before="120" w:after="0"/>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5E5CCCFD" w14:textId="22C189CC" w:rsidR="006C66C7" w:rsidRDefault="006C66C7" w:rsidP="006C66C7">
            <w:pPr>
              <w:spacing w:before="120" w:after="0"/>
              <w:rPr>
                <w:rFonts w:ascii="Arial" w:eastAsiaTheme="minorEastAsia" w:hAnsi="Arial" w:cs="Arial"/>
                <w:lang w:eastAsia="zh-CN"/>
              </w:rPr>
            </w:pPr>
            <w:r>
              <w:rPr>
                <w:rFonts w:ascii="Arial" w:eastAsiaTheme="minorEastAsia" w:hAnsi="Arial" w:cs="Arial"/>
                <w:lang w:eastAsia="zh-CN"/>
              </w:rPr>
              <w:t>If network changes the RVQoE metrics to be reported frequently, the processing load of the UE is very high. At least a prohibit timer should be defined, which prevents the UE to be impacted from frequent changing RVQoE metrics.</w:t>
            </w:r>
          </w:p>
        </w:tc>
      </w:tr>
      <w:tr w:rsidR="008A22DE" w14:paraId="25BE6FC1" w14:textId="77777777">
        <w:tc>
          <w:tcPr>
            <w:tcW w:w="1980" w:type="dxa"/>
          </w:tcPr>
          <w:p w14:paraId="36FABCD5" w14:textId="076920E3"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4C2AF5DE" w14:textId="77777777" w:rsidR="008A22DE" w:rsidRDefault="008A22DE" w:rsidP="008A22DE">
            <w:pPr>
              <w:spacing w:before="120" w:after="0"/>
              <w:rPr>
                <w:rFonts w:ascii="Arial" w:eastAsiaTheme="minorEastAsia" w:hAnsi="Arial" w:cs="Arial"/>
                <w:lang w:eastAsia="zh-CN"/>
              </w:rPr>
            </w:pPr>
          </w:p>
        </w:tc>
        <w:tc>
          <w:tcPr>
            <w:tcW w:w="6515" w:type="dxa"/>
          </w:tcPr>
          <w:p w14:paraId="27273239" w14:textId="671F46B4"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Open for the modification.</w:t>
            </w:r>
          </w:p>
        </w:tc>
      </w:tr>
      <w:tr w:rsidR="00196771" w14:paraId="7DE31BD9" w14:textId="77777777">
        <w:tc>
          <w:tcPr>
            <w:tcW w:w="1980" w:type="dxa"/>
          </w:tcPr>
          <w:p w14:paraId="5D898083" w14:textId="2B70526C"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7F1419D9" w14:textId="0F16CECE" w:rsidR="00196771" w:rsidRDefault="00196771" w:rsidP="00196771">
            <w:pPr>
              <w:spacing w:before="120" w:after="0"/>
              <w:rPr>
                <w:rFonts w:ascii="Arial" w:eastAsiaTheme="minorEastAsia" w:hAnsi="Arial" w:cs="Arial"/>
                <w:lang w:eastAsia="zh-CN"/>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41308820" w14:textId="790878F1" w:rsidR="00196771" w:rsidRDefault="00196771" w:rsidP="00196771">
            <w:pPr>
              <w:spacing w:before="120" w:after="0"/>
              <w:rPr>
                <w:rFonts w:ascii="Arial" w:hAnsi="Arial" w:cs="Arial"/>
                <w:lang w:eastAsia="ko-KR"/>
              </w:rPr>
            </w:pPr>
            <w:r>
              <w:rPr>
                <w:rFonts w:ascii="Arial" w:eastAsia="PMingLiU" w:hAnsi="Arial" w:cs="Arial"/>
                <w:lang w:eastAsia="zh-TW"/>
              </w:rPr>
              <w:t xml:space="preserve">Since </w:t>
            </w:r>
            <w:proofErr w:type="spellStart"/>
            <w:r>
              <w:rPr>
                <w:rFonts w:ascii="Arial" w:eastAsia="PMingLiU" w:hAnsi="Arial" w:cs="Arial" w:hint="eastAsia"/>
                <w:lang w:eastAsia="zh-TW"/>
              </w:rPr>
              <w:t>g</w:t>
            </w:r>
            <w:r>
              <w:rPr>
                <w:rFonts w:ascii="Arial" w:eastAsia="PMingLiU" w:hAnsi="Arial" w:cs="Arial"/>
                <w:lang w:eastAsia="zh-TW"/>
              </w:rPr>
              <w:t>NB</w:t>
            </w:r>
            <w:proofErr w:type="spellEnd"/>
            <w:r>
              <w:rPr>
                <w:rFonts w:ascii="Arial" w:eastAsia="PMingLiU" w:hAnsi="Arial" w:cs="Arial"/>
                <w:lang w:eastAsia="zh-TW"/>
              </w:rPr>
              <w:t xml:space="preserve"> assembles the </w:t>
            </w:r>
            <w:proofErr w:type="spellStart"/>
            <w:r>
              <w:rPr>
                <w:rFonts w:ascii="Arial" w:eastAsia="PMingLiU" w:hAnsi="Arial" w:cs="Arial"/>
                <w:lang w:eastAsia="zh-TW"/>
              </w:rPr>
              <w:t>RVQoE</w:t>
            </w:r>
            <w:proofErr w:type="spellEnd"/>
            <w:r>
              <w:rPr>
                <w:rFonts w:ascii="Arial" w:eastAsia="PMingLiU" w:hAnsi="Arial" w:cs="Arial"/>
                <w:lang w:eastAsia="zh-TW"/>
              </w:rPr>
              <w:t xml:space="preserve"> configuration, we think that it is reasonable for </w:t>
            </w:r>
            <w:proofErr w:type="spellStart"/>
            <w:r>
              <w:rPr>
                <w:rFonts w:ascii="Arial" w:eastAsia="PMingLiU" w:hAnsi="Arial" w:cs="Arial"/>
                <w:lang w:eastAsia="zh-TW"/>
              </w:rPr>
              <w:t>gNB</w:t>
            </w:r>
            <w:proofErr w:type="spellEnd"/>
            <w:r>
              <w:rPr>
                <w:rFonts w:ascii="Arial" w:eastAsia="PMingLiU" w:hAnsi="Arial" w:cs="Arial"/>
                <w:lang w:eastAsia="zh-TW"/>
              </w:rPr>
              <w:t xml:space="preserve"> to have the modification flexibility. </w:t>
            </w:r>
          </w:p>
        </w:tc>
      </w:tr>
      <w:tr w:rsidR="00090D37" w14:paraId="6919A150" w14:textId="77777777">
        <w:tc>
          <w:tcPr>
            <w:tcW w:w="1980" w:type="dxa"/>
          </w:tcPr>
          <w:p w14:paraId="6EA5837C" w14:textId="2D03C6F9" w:rsidR="00090D37" w:rsidRDefault="00090D37" w:rsidP="00090D37">
            <w:pPr>
              <w:spacing w:before="120" w:after="0"/>
              <w:rPr>
                <w:rFonts w:ascii="Arial" w:eastAsia="PMingLiU" w:hAnsi="Arial" w:cs="Arial" w:hint="eastAsia"/>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5EB21372" w14:textId="04F519CC" w:rsidR="00090D37" w:rsidRDefault="00090D37" w:rsidP="00090D37">
            <w:pPr>
              <w:spacing w:before="120" w:after="0"/>
              <w:rPr>
                <w:rFonts w:ascii="Arial" w:eastAsia="PMingLiU" w:hAnsi="Arial" w:cs="Arial" w:hint="eastAsia"/>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70A0EFBA" w14:textId="49EB6AB2" w:rsidR="00090D37" w:rsidRDefault="00090D37" w:rsidP="00090D37">
            <w:pPr>
              <w:spacing w:before="120" w:after="0"/>
              <w:rPr>
                <w:rFonts w:ascii="Arial" w:eastAsia="PMingLiU" w:hAnsi="Arial" w:cs="Arial"/>
                <w:lang w:eastAsia="zh-TW"/>
              </w:rPr>
            </w:pPr>
            <w:r>
              <w:rPr>
                <w:rFonts w:ascii="Arial" w:eastAsiaTheme="minorEastAsia" w:hAnsi="Arial" w:cs="Arial"/>
                <w:lang w:eastAsia="zh-CN"/>
              </w:rPr>
              <w:t xml:space="preserve">We </w:t>
            </w:r>
            <w:r>
              <w:rPr>
                <w:rFonts w:ascii="Arial" w:eastAsiaTheme="minorEastAsia" w:hAnsi="Arial" w:cs="Arial" w:hint="eastAsia"/>
                <w:lang w:eastAsia="zh-CN"/>
              </w:rPr>
              <w:t>share</w:t>
            </w:r>
            <w:r>
              <w:rPr>
                <w:rFonts w:ascii="Arial" w:eastAsiaTheme="minorEastAsia" w:hAnsi="Arial" w:cs="Arial"/>
                <w:lang w:eastAsia="zh-CN"/>
              </w:rPr>
              <w:t xml:space="preserve"> the same view with Huawei.</w:t>
            </w:r>
          </w:p>
        </w:tc>
      </w:tr>
    </w:tbl>
    <w:p w14:paraId="4BF6A992" w14:textId="77777777" w:rsidR="00902D7C" w:rsidRDefault="00717CD7">
      <w:pPr>
        <w:spacing w:before="120" w:after="0"/>
        <w:rPr>
          <w:rFonts w:ascii="Arial" w:hAnsi="Arial" w:cs="Arial"/>
          <w:b/>
          <w:bCs/>
          <w:u w:val="single"/>
        </w:rPr>
      </w:pPr>
      <w:r>
        <w:rPr>
          <w:rFonts w:ascii="Arial" w:hAnsi="Arial" w:cs="Arial"/>
          <w:b/>
          <w:bCs/>
          <w:u w:val="single"/>
        </w:rPr>
        <w:t>Issue 3: RVQOE configuration release</w:t>
      </w:r>
    </w:p>
    <w:p w14:paraId="50D42413" w14:textId="77777777" w:rsidR="00902D7C" w:rsidRDefault="00717CD7">
      <w:pPr>
        <w:spacing w:before="120" w:after="0"/>
        <w:rPr>
          <w:rFonts w:ascii="Arial" w:hAnsi="Arial" w:cs="Arial"/>
        </w:rPr>
      </w:pPr>
      <w:r>
        <w:rPr>
          <w:rFonts w:ascii="Arial" w:hAnsi="Arial" w:cs="Arial"/>
        </w:rPr>
        <w:t>RAN3 has agreement for RVQoE release as following,</w:t>
      </w:r>
    </w:p>
    <w:p w14:paraId="7578C52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lastRenderedPageBreak/>
        <w:t xml:space="preserve">NG-RAN can release a list of RAN visible QoE configurations while not releasing the corresponding legacy QoE configurations  </w:t>
      </w:r>
    </w:p>
    <w:p w14:paraId="3530DB6A"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If the legacy QoE configuration is released, the corresponding RAN visible QoE configuration is released as well</w:t>
      </w:r>
    </w:p>
    <w:p w14:paraId="2E5E2E6D" w14:textId="77777777" w:rsidR="00902D7C" w:rsidRDefault="00717CD7">
      <w:pPr>
        <w:spacing w:before="120" w:after="0"/>
        <w:rPr>
          <w:rFonts w:ascii="Arial" w:hAnsi="Arial" w:cs="Arial"/>
        </w:rPr>
      </w:pPr>
      <w:r>
        <w:rPr>
          <w:rFonts w:ascii="Arial" w:hAnsi="Arial" w:cs="Arial"/>
        </w:rPr>
        <w:t>Contribution [5][10] provides ASN.1 example to show how to support the above RAN3 agreements from RRC layer. And it is technically feasible.</w:t>
      </w:r>
    </w:p>
    <w:p w14:paraId="6E27D8EC" w14:textId="77777777" w:rsidR="00902D7C" w:rsidRDefault="00717CD7">
      <w:pPr>
        <w:spacing w:before="120" w:after="0"/>
        <w:rPr>
          <w:rFonts w:ascii="Arial" w:hAnsi="Arial" w:cs="Arial"/>
        </w:rPr>
      </w:pPr>
      <w:r>
        <w:rPr>
          <w:rFonts w:ascii="Arial" w:hAnsi="Arial" w:cs="Arial"/>
        </w:rPr>
        <w:t>Companies please reply to the question:</w:t>
      </w:r>
    </w:p>
    <w:p w14:paraId="09B9C0F6" w14:textId="77777777" w:rsidR="00902D7C" w:rsidRDefault="00717CD7">
      <w:pPr>
        <w:spacing w:before="120" w:after="0"/>
        <w:rPr>
          <w:rFonts w:ascii="Arial" w:hAnsi="Arial" w:cs="Arial"/>
          <w:b/>
          <w:bCs/>
        </w:rPr>
      </w:pPr>
      <w:r>
        <w:rPr>
          <w:rFonts w:ascii="Arial" w:hAnsi="Arial" w:cs="Arial"/>
          <w:b/>
          <w:bCs/>
        </w:rPr>
        <w:t>Q3: Whether companies have concerns from RAN2 point of view to support RAN3 agreements on RVQoE release?</w:t>
      </w:r>
    </w:p>
    <w:tbl>
      <w:tblPr>
        <w:tblStyle w:val="af"/>
        <w:tblW w:w="0" w:type="auto"/>
        <w:tblLook w:val="04A0" w:firstRow="1" w:lastRow="0" w:firstColumn="1" w:lastColumn="0" w:noHBand="0" w:noVBand="1"/>
      </w:tblPr>
      <w:tblGrid>
        <w:gridCol w:w="1980"/>
        <w:gridCol w:w="1134"/>
        <w:gridCol w:w="6515"/>
      </w:tblGrid>
      <w:tr w:rsidR="00902D7C" w14:paraId="4F804885" w14:textId="77777777">
        <w:tc>
          <w:tcPr>
            <w:tcW w:w="1980" w:type="dxa"/>
          </w:tcPr>
          <w:p w14:paraId="362C4E25"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5CBEC4CB"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1D909A68"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6E5125E4" w14:textId="77777777">
        <w:tc>
          <w:tcPr>
            <w:tcW w:w="1980" w:type="dxa"/>
          </w:tcPr>
          <w:p w14:paraId="076AEDC3"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C30045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492367C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We have no concerns with the agreements, just the ASN.1 signalling has to be designed properly. </w:t>
            </w:r>
          </w:p>
        </w:tc>
      </w:tr>
      <w:tr w:rsidR="00902D7C" w14:paraId="7E230509" w14:textId="77777777">
        <w:tc>
          <w:tcPr>
            <w:tcW w:w="1980" w:type="dxa"/>
          </w:tcPr>
          <w:p w14:paraId="3A278B8C" w14:textId="77777777" w:rsidR="00902D7C" w:rsidRDefault="00717CD7">
            <w:pPr>
              <w:spacing w:before="120" w:after="0"/>
              <w:rPr>
                <w:rFonts w:ascii="Arial" w:hAnsi="Arial" w:cs="Arial"/>
              </w:rPr>
            </w:pPr>
            <w:r>
              <w:rPr>
                <w:rFonts w:ascii="Arial" w:hAnsi="Arial" w:cs="Arial"/>
              </w:rPr>
              <w:t>Ericsson</w:t>
            </w:r>
          </w:p>
        </w:tc>
        <w:tc>
          <w:tcPr>
            <w:tcW w:w="1134" w:type="dxa"/>
          </w:tcPr>
          <w:p w14:paraId="1A214D1B" w14:textId="77777777" w:rsidR="00902D7C" w:rsidRDefault="00717CD7">
            <w:pPr>
              <w:spacing w:before="120" w:after="0"/>
              <w:rPr>
                <w:rFonts w:ascii="Arial" w:hAnsi="Arial" w:cs="Arial"/>
              </w:rPr>
            </w:pPr>
            <w:r>
              <w:rPr>
                <w:rFonts w:ascii="Arial" w:hAnsi="Arial" w:cs="Arial"/>
              </w:rPr>
              <w:t>No</w:t>
            </w:r>
          </w:p>
        </w:tc>
        <w:tc>
          <w:tcPr>
            <w:tcW w:w="6515" w:type="dxa"/>
          </w:tcPr>
          <w:p w14:paraId="0A97D715" w14:textId="77777777" w:rsidR="00902D7C" w:rsidRDefault="00717CD7">
            <w:pPr>
              <w:spacing w:before="120" w:after="0"/>
              <w:rPr>
                <w:rFonts w:ascii="Arial" w:hAnsi="Arial" w:cs="Arial"/>
              </w:rPr>
            </w:pPr>
            <w:r>
              <w:rPr>
                <w:rFonts w:ascii="Arial" w:hAnsi="Arial" w:cs="Arial"/>
              </w:rPr>
              <w:t xml:space="preserve">We should follow the RAN3 agreements. </w:t>
            </w:r>
          </w:p>
        </w:tc>
      </w:tr>
      <w:tr w:rsidR="00902D7C" w14:paraId="1DF29723" w14:textId="77777777">
        <w:tc>
          <w:tcPr>
            <w:tcW w:w="1980" w:type="dxa"/>
          </w:tcPr>
          <w:p w14:paraId="20852441" w14:textId="77777777" w:rsidR="00902D7C" w:rsidRDefault="00717CD7">
            <w:pPr>
              <w:spacing w:before="120" w:after="0"/>
              <w:rPr>
                <w:rFonts w:ascii="Arial" w:hAnsi="Arial" w:cs="Arial"/>
              </w:rPr>
            </w:pPr>
            <w:r>
              <w:rPr>
                <w:rFonts w:ascii="Arial" w:hAnsi="Arial" w:cs="Arial"/>
              </w:rPr>
              <w:t>Nokia</w:t>
            </w:r>
          </w:p>
        </w:tc>
        <w:tc>
          <w:tcPr>
            <w:tcW w:w="1134" w:type="dxa"/>
          </w:tcPr>
          <w:p w14:paraId="2ECCA05D" w14:textId="77777777" w:rsidR="00902D7C" w:rsidRDefault="00717CD7">
            <w:pPr>
              <w:spacing w:before="120" w:after="0"/>
              <w:rPr>
                <w:rFonts w:ascii="Arial" w:hAnsi="Arial" w:cs="Arial"/>
              </w:rPr>
            </w:pPr>
            <w:r>
              <w:rPr>
                <w:rFonts w:ascii="Arial" w:hAnsi="Arial" w:cs="Arial"/>
              </w:rPr>
              <w:t>Yes, See comment</w:t>
            </w:r>
          </w:p>
        </w:tc>
        <w:tc>
          <w:tcPr>
            <w:tcW w:w="6515" w:type="dxa"/>
          </w:tcPr>
          <w:p w14:paraId="7B30E5F3"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In case the measurement ID is shared (as a result of Q1) it is not feasible to release one QoE configuration and keep the other, or the ID should be linked with a configuration that makes RVQoE active or not. This may be a bit complex to handle.</w:t>
            </w:r>
            <w:r>
              <w:rPr>
                <w:rStyle w:val="eop"/>
                <w:rFonts w:ascii="Arial" w:hAnsi="Arial" w:cs="Arial"/>
                <w:color w:val="000000"/>
                <w:shd w:val="clear" w:color="auto" w:fill="FFFFFF"/>
              </w:rPr>
              <w:t> </w:t>
            </w:r>
          </w:p>
        </w:tc>
      </w:tr>
      <w:tr w:rsidR="00902D7C" w14:paraId="67AF3FEA" w14:textId="77777777">
        <w:tc>
          <w:tcPr>
            <w:tcW w:w="1980" w:type="dxa"/>
          </w:tcPr>
          <w:p w14:paraId="7E9CD6E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1EE51A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0EBF9B2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 concern. We can just follow RAN3 agreements and find a simplest way to support it in RRC signalling.</w:t>
            </w:r>
          </w:p>
        </w:tc>
      </w:tr>
      <w:tr w:rsidR="00902D7C" w14:paraId="2F94F16E" w14:textId="77777777">
        <w:tc>
          <w:tcPr>
            <w:tcW w:w="1980" w:type="dxa"/>
          </w:tcPr>
          <w:p w14:paraId="4933E8A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6771E134"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No</w:t>
            </w:r>
          </w:p>
        </w:tc>
        <w:tc>
          <w:tcPr>
            <w:tcW w:w="6515" w:type="dxa"/>
          </w:tcPr>
          <w:p w14:paraId="16D9761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RAN3 agreements can be supported by RRC signalling</w:t>
            </w:r>
          </w:p>
        </w:tc>
      </w:tr>
      <w:tr w:rsidR="00902D7C" w14:paraId="7D21D9C0" w14:textId="77777777">
        <w:tc>
          <w:tcPr>
            <w:tcW w:w="1980" w:type="dxa"/>
          </w:tcPr>
          <w:p w14:paraId="7FFED9F4"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6EFC7367" w14:textId="77777777" w:rsidR="00902D7C" w:rsidRDefault="00717CD7">
            <w:pPr>
              <w:spacing w:before="120" w:after="0"/>
              <w:rPr>
                <w:rFonts w:ascii="Arial" w:eastAsiaTheme="minorEastAsia" w:hAnsi="Arial" w:cs="Arial"/>
                <w:lang w:eastAsia="zh-CN"/>
              </w:rPr>
            </w:pPr>
            <w:r>
              <w:rPr>
                <w:rFonts w:ascii="Arial" w:hAnsi="Arial" w:cs="Arial"/>
              </w:rPr>
              <w:t>No</w:t>
            </w:r>
          </w:p>
        </w:tc>
        <w:tc>
          <w:tcPr>
            <w:tcW w:w="6515" w:type="dxa"/>
          </w:tcPr>
          <w:p w14:paraId="65E429BB" w14:textId="77777777" w:rsidR="00902D7C" w:rsidRDefault="00717CD7">
            <w:pPr>
              <w:spacing w:before="120" w:after="0"/>
              <w:rPr>
                <w:rFonts w:ascii="Arial" w:eastAsiaTheme="minorEastAsia" w:hAnsi="Arial" w:cs="Arial"/>
                <w:lang w:eastAsia="zh-CN"/>
              </w:rPr>
            </w:pPr>
            <w:r>
              <w:rPr>
                <w:rFonts w:ascii="Arial" w:hAnsi="Arial" w:cs="Arial"/>
              </w:rPr>
              <w:t>No issue even with the same ID, the configuration of RVQoE and legacy QoE are in different IEs.</w:t>
            </w:r>
          </w:p>
        </w:tc>
      </w:tr>
      <w:tr w:rsidR="00902D7C" w14:paraId="074A0173" w14:textId="77777777">
        <w:tc>
          <w:tcPr>
            <w:tcW w:w="1980" w:type="dxa"/>
          </w:tcPr>
          <w:p w14:paraId="16AB8D6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4E5C0BD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No</w:t>
            </w:r>
          </w:p>
        </w:tc>
        <w:tc>
          <w:tcPr>
            <w:tcW w:w="6515" w:type="dxa"/>
          </w:tcPr>
          <w:p w14:paraId="3C403BF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should follow </w:t>
            </w:r>
            <w:r>
              <w:rPr>
                <w:rFonts w:ascii="Arial" w:eastAsiaTheme="minorEastAsia" w:hAnsi="Arial" w:cs="Arial"/>
                <w:lang w:eastAsia="zh-CN"/>
              </w:rPr>
              <w:t>the</w:t>
            </w:r>
            <w:r>
              <w:rPr>
                <w:rFonts w:ascii="Arial" w:eastAsiaTheme="minorEastAsia" w:hAnsi="Arial" w:cs="Arial" w:hint="eastAsia"/>
                <w:lang w:eastAsia="zh-CN"/>
              </w:rPr>
              <w:t xml:space="preserve"> agreements. </w:t>
            </w:r>
            <w:r>
              <w:rPr>
                <w:rFonts w:ascii="Arial" w:eastAsiaTheme="minorEastAsia" w:hAnsi="Arial" w:cs="Arial"/>
                <w:lang w:eastAsia="zh-CN"/>
              </w:rPr>
              <w:t>I</w:t>
            </w:r>
            <w:r>
              <w:rPr>
                <w:rFonts w:ascii="Arial" w:eastAsiaTheme="minorEastAsia" w:hAnsi="Arial" w:cs="Arial" w:hint="eastAsia"/>
                <w:lang w:eastAsia="zh-CN"/>
              </w:rPr>
              <w:t xml:space="preserve">f we use the share ID in release, </w:t>
            </w:r>
            <w:r>
              <w:rPr>
                <w:rFonts w:ascii="Arial" w:eastAsiaTheme="minorEastAsia" w:hAnsi="Arial" w:cs="Arial"/>
                <w:lang w:eastAsia="zh-CN"/>
              </w:rPr>
              <w:t>the</w:t>
            </w:r>
            <w:r>
              <w:rPr>
                <w:rFonts w:ascii="Arial" w:eastAsiaTheme="minorEastAsia" w:hAnsi="Arial" w:cs="Arial" w:hint="eastAsia"/>
                <w:lang w:eastAsia="zh-CN"/>
              </w:rPr>
              <w:t xml:space="preserve"> release </w:t>
            </w:r>
            <w:r>
              <w:rPr>
                <w:rFonts w:ascii="Arial" w:eastAsiaTheme="minorEastAsia" w:hAnsi="Arial" w:cs="Arial"/>
                <w:lang w:eastAsia="zh-CN"/>
              </w:rPr>
              <w:t>type</w:t>
            </w:r>
            <w:r>
              <w:rPr>
                <w:rFonts w:ascii="Arial" w:eastAsiaTheme="minorEastAsia" w:hAnsi="Arial" w:cs="Arial" w:hint="eastAsia"/>
                <w:lang w:eastAsia="zh-CN"/>
              </w:rPr>
              <w:t xml:space="preserve"> can be added for </w:t>
            </w:r>
            <w:r>
              <w:rPr>
                <w:rFonts w:ascii="Arial" w:eastAsiaTheme="minorEastAsia" w:hAnsi="Arial" w:cs="Arial"/>
                <w:lang w:eastAsia="zh-CN"/>
              </w:rPr>
              <w:t>the</w:t>
            </w:r>
            <w:r>
              <w:rPr>
                <w:rFonts w:ascii="Arial" w:eastAsiaTheme="minorEastAsia" w:hAnsi="Arial" w:cs="Arial" w:hint="eastAsia"/>
                <w:lang w:eastAsia="zh-CN"/>
              </w:rPr>
              <w:t xml:space="preserve"> different QoE release</w:t>
            </w:r>
          </w:p>
        </w:tc>
      </w:tr>
      <w:tr w:rsidR="00902D7C" w14:paraId="1CE96CA7" w14:textId="77777777">
        <w:tc>
          <w:tcPr>
            <w:tcW w:w="1980" w:type="dxa"/>
          </w:tcPr>
          <w:p w14:paraId="3D265685"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02D1F992"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No</w:t>
            </w:r>
          </w:p>
        </w:tc>
        <w:tc>
          <w:tcPr>
            <w:tcW w:w="6515" w:type="dxa"/>
          </w:tcPr>
          <w:p w14:paraId="4C6013EE"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 xml:space="preserve">We prefer to follow RAN3 agreements. </w:t>
            </w:r>
          </w:p>
        </w:tc>
      </w:tr>
      <w:tr w:rsidR="006C66C7" w14:paraId="30471932" w14:textId="77777777">
        <w:tc>
          <w:tcPr>
            <w:tcW w:w="1980" w:type="dxa"/>
          </w:tcPr>
          <w:p w14:paraId="057FFF44" w14:textId="7A361390" w:rsidR="006C66C7" w:rsidRDefault="006C66C7" w:rsidP="006C66C7">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1A70865B" w14:textId="079964AA" w:rsidR="006C66C7" w:rsidRDefault="006C66C7" w:rsidP="006C66C7">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69DF22CE" w14:textId="77777777" w:rsidR="006C66C7" w:rsidRDefault="006C66C7" w:rsidP="006C66C7">
            <w:pPr>
              <w:spacing w:before="120" w:after="0"/>
              <w:outlineLvl w:val="2"/>
              <w:rPr>
                <w:rFonts w:ascii="Arial" w:eastAsiaTheme="minorEastAsia" w:hAnsi="Arial" w:cs="Arial"/>
                <w:lang w:val="en-US" w:eastAsia="zh-CN"/>
              </w:rPr>
            </w:pPr>
          </w:p>
        </w:tc>
      </w:tr>
      <w:tr w:rsidR="008A22DE" w14:paraId="1D1066DD" w14:textId="77777777">
        <w:tc>
          <w:tcPr>
            <w:tcW w:w="1980" w:type="dxa"/>
          </w:tcPr>
          <w:p w14:paraId="076B9296" w14:textId="7E62A9DF"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LG</w:t>
            </w:r>
          </w:p>
        </w:tc>
        <w:tc>
          <w:tcPr>
            <w:tcW w:w="1134" w:type="dxa"/>
          </w:tcPr>
          <w:p w14:paraId="44E33EA3" w14:textId="2A1BDDB4"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No</w:t>
            </w:r>
          </w:p>
        </w:tc>
        <w:tc>
          <w:tcPr>
            <w:tcW w:w="6515" w:type="dxa"/>
          </w:tcPr>
          <w:p w14:paraId="5CE6CB41" w14:textId="0A150874" w:rsidR="008A22DE" w:rsidRDefault="008A22DE" w:rsidP="008A22DE">
            <w:pPr>
              <w:spacing w:before="120" w:after="0"/>
              <w:outlineLvl w:val="2"/>
              <w:rPr>
                <w:rFonts w:ascii="Arial" w:eastAsiaTheme="minorEastAsia" w:hAnsi="Arial" w:cs="Arial"/>
                <w:lang w:val="en-US" w:eastAsia="zh-CN"/>
              </w:rPr>
            </w:pPr>
            <w:r>
              <w:rPr>
                <w:rFonts w:ascii="Arial" w:hAnsi="Arial" w:cs="Arial" w:hint="eastAsia"/>
                <w:lang w:eastAsia="ko-KR"/>
              </w:rPr>
              <w:t>We should follow the RAN3 agreements.</w:t>
            </w:r>
          </w:p>
        </w:tc>
      </w:tr>
      <w:tr w:rsidR="00196771" w14:paraId="6F6960E5" w14:textId="77777777">
        <w:tc>
          <w:tcPr>
            <w:tcW w:w="1980" w:type="dxa"/>
          </w:tcPr>
          <w:p w14:paraId="43A46BED" w14:textId="69DF02CD" w:rsidR="00196771" w:rsidRDefault="00196771" w:rsidP="00196771">
            <w:pPr>
              <w:spacing w:before="120" w:after="0"/>
              <w:outlineLvl w:val="2"/>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15CD4C4D" w14:textId="2B7B62F1" w:rsidR="00196771" w:rsidRDefault="00196771" w:rsidP="00196771">
            <w:pPr>
              <w:spacing w:before="120" w:after="0"/>
              <w:outlineLvl w:val="2"/>
              <w:rPr>
                <w:rFonts w:ascii="Arial" w:hAnsi="Arial" w:cs="Arial"/>
                <w:lang w:eastAsia="ko-KR"/>
              </w:rPr>
            </w:pPr>
            <w:r>
              <w:rPr>
                <w:rFonts w:ascii="Arial" w:eastAsia="PMingLiU" w:hAnsi="Arial" w:cs="Arial" w:hint="eastAsia"/>
                <w:lang w:eastAsia="zh-TW"/>
              </w:rPr>
              <w:t>N</w:t>
            </w:r>
            <w:r>
              <w:rPr>
                <w:rFonts w:ascii="Arial" w:eastAsia="PMingLiU" w:hAnsi="Arial" w:cs="Arial"/>
                <w:lang w:eastAsia="zh-TW"/>
              </w:rPr>
              <w:t>o</w:t>
            </w:r>
          </w:p>
        </w:tc>
        <w:tc>
          <w:tcPr>
            <w:tcW w:w="6515" w:type="dxa"/>
          </w:tcPr>
          <w:p w14:paraId="7FF4DA58" w14:textId="77777777" w:rsidR="00196771" w:rsidRDefault="00196771" w:rsidP="00196771">
            <w:pPr>
              <w:spacing w:before="120" w:after="0"/>
              <w:outlineLvl w:val="2"/>
              <w:rPr>
                <w:rFonts w:ascii="Arial" w:hAnsi="Arial" w:cs="Arial"/>
                <w:lang w:eastAsia="ko-KR"/>
              </w:rPr>
            </w:pPr>
          </w:p>
        </w:tc>
      </w:tr>
      <w:tr w:rsidR="00090D37" w14:paraId="665D202D" w14:textId="77777777">
        <w:tc>
          <w:tcPr>
            <w:tcW w:w="1980" w:type="dxa"/>
          </w:tcPr>
          <w:p w14:paraId="69C07D7E" w14:textId="009EF159" w:rsidR="00090D37" w:rsidRDefault="00090D37" w:rsidP="00090D37">
            <w:pPr>
              <w:spacing w:before="120" w:after="0"/>
              <w:outlineLvl w:val="2"/>
              <w:rPr>
                <w:rFonts w:ascii="Arial" w:eastAsia="PMingLiU" w:hAnsi="Arial" w:cs="Arial" w:hint="eastAsia"/>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189B2AC2" w14:textId="6C9D8F16" w:rsidR="00090D37" w:rsidRDefault="00090D37" w:rsidP="00090D37">
            <w:pPr>
              <w:spacing w:before="120" w:after="0"/>
              <w:outlineLvl w:val="2"/>
              <w:rPr>
                <w:rFonts w:ascii="Arial" w:eastAsia="PMingLiU" w:hAnsi="Arial" w:cs="Arial" w:hint="eastAsia"/>
                <w:lang w:eastAsia="zh-TW"/>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13C4221B" w14:textId="77777777" w:rsidR="00090D37" w:rsidRDefault="00090D37" w:rsidP="00090D37">
            <w:pPr>
              <w:spacing w:before="120" w:after="0"/>
              <w:outlineLvl w:val="2"/>
              <w:rPr>
                <w:rFonts w:ascii="Arial" w:hAnsi="Arial" w:cs="Arial"/>
                <w:lang w:eastAsia="ko-KR"/>
              </w:rPr>
            </w:pPr>
          </w:p>
        </w:tc>
      </w:tr>
    </w:tbl>
    <w:p w14:paraId="41FA0F52" w14:textId="77777777" w:rsidR="00902D7C" w:rsidRDefault="00717CD7">
      <w:pPr>
        <w:pStyle w:val="3"/>
        <w:spacing w:after="0"/>
        <w:rPr>
          <w:rFonts w:cs="Arial"/>
        </w:rPr>
      </w:pPr>
      <w:r>
        <w:rPr>
          <w:rFonts w:cs="Arial"/>
        </w:rPr>
        <w:t>3.2 RVQOE metrics</w:t>
      </w:r>
    </w:p>
    <w:p w14:paraId="312A8FA9" w14:textId="77777777" w:rsidR="00902D7C" w:rsidRDefault="00717CD7">
      <w:pPr>
        <w:rPr>
          <w:rFonts w:ascii="Arial" w:hAnsi="Arial" w:cs="Arial"/>
        </w:rPr>
      </w:pPr>
      <w:r>
        <w:rPr>
          <w:rFonts w:ascii="Arial" w:hAnsi="Arial" w:cs="Arial"/>
        </w:rPr>
        <w:t xml:space="preserve">RAN3 has confirmed Buffer level and Playout delay for media </w:t>
      </w:r>
      <w:proofErr w:type="spellStart"/>
      <w:r>
        <w:rPr>
          <w:rFonts w:ascii="Arial" w:hAnsi="Arial" w:cs="Arial"/>
        </w:rPr>
        <w:t>startup</w:t>
      </w:r>
      <w:proofErr w:type="spellEnd"/>
      <w:r>
        <w:rPr>
          <w:rFonts w:ascii="Arial" w:hAnsi="Arial" w:cs="Arial"/>
        </w:rPr>
        <w:t xml:space="preserve"> as </w:t>
      </w:r>
      <w:proofErr w:type="spellStart"/>
      <w:r>
        <w:rPr>
          <w:rFonts w:ascii="Arial" w:hAnsi="Arial" w:cs="Arial"/>
        </w:rPr>
        <w:t>RVQoE</w:t>
      </w:r>
      <w:proofErr w:type="spellEnd"/>
      <w:r>
        <w:rPr>
          <w:rFonts w:ascii="Arial" w:hAnsi="Arial" w:cs="Arial"/>
        </w:rPr>
        <w:t xml:space="preserve"> metrics for DASH and VE service types. RAN2 needs to discuss how to support these two metrics from RRC layer, including format, value range, value definition etc.</w:t>
      </w:r>
    </w:p>
    <w:p w14:paraId="48D61C30"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b/>
          <w:bCs/>
          <w:u w:val="single"/>
        </w:rPr>
      </w:pPr>
      <w:r>
        <w:rPr>
          <w:rFonts w:asciiTheme="minorHAnsi" w:hAnsiTheme="minorHAnsi" w:cstheme="minorHAnsi"/>
          <w:b/>
          <w:bCs/>
          <w:u w:val="single"/>
        </w:rPr>
        <w:t>RVQoE metrics</w:t>
      </w:r>
    </w:p>
    <w:p w14:paraId="59043673"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rPr>
        <w:t>Interaction latency or comparable quality viewport switching latency metric is NOT considered as a RAN visible QoE metric in Rel-17</w:t>
      </w:r>
    </w:p>
    <w:p w14:paraId="11A9D1E4"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Buffer level</w:t>
      </w:r>
      <w:r>
        <w:rPr>
          <w:rFonts w:asciiTheme="minorHAnsi" w:hAnsiTheme="minorHAnsi" w:cstheme="minorHAnsi"/>
          <w:color w:val="00B050"/>
        </w:rPr>
        <w:t xml:space="preserve"> is confirmed as a RAN visible QoE metric for DASH and VR service types </w:t>
      </w:r>
    </w:p>
    <w:p w14:paraId="3AE5D1D3" w14:textId="77777777" w:rsidR="00902D7C" w:rsidRDefault="00717CD7">
      <w:pPr>
        <w:pBdr>
          <w:top w:val="single" w:sz="4" w:space="1" w:color="auto"/>
          <w:left w:val="single" w:sz="4" w:space="4" w:color="auto"/>
          <w:bottom w:val="single" w:sz="4" w:space="1" w:color="auto"/>
          <w:right w:val="single" w:sz="4" w:space="4" w:color="auto"/>
        </w:pBdr>
        <w:rPr>
          <w:rFonts w:asciiTheme="minorHAnsi" w:hAnsiTheme="minorHAnsi" w:cstheme="minorHAnsi"/>
          <w:color w:val="00B050"/>
        </w:rPr>
      </w:pPr>
      <w:r>
        <w:rPr>
          <w:rFonts w:asciiTheme="minorHAnsi" w:hAnsiTheme="minorHAnsi" w:cstheme="minorHAnsi"/>
          <w:color w:val="00B050"/>
          <w:highlight w:val="yellow"/>
        </w:rPr>
        <w:t xml:space="preserve">Playout delay for media </w:t>
      </w:r>
      <w:proofErr w:type="spellStart"/>
      <w:r>
        <w:rPr>
          <w:rFonts w:asciiTheme="minorHAnsi" w:hAnsiTheme="minorHAnsi" w:cstheme="minorHAnsi"/>
          <w:color w:val="00B050"/>
          <w:highlight w:val="yellow"/>
        </w:rPr>
        <w:t>startup</w:t>
      </w:r>
      <w:proofErr w:type="spellEnd"/>
      <w:r>
        <w:rPr>
          <w:rFonts w:asciiTheme="minorHAnsi" w:hAnsiTheme="minorHAnsi" w:cstheme="minorHAnsi"/>
          <w:color w:val="00B050"/>
        </w:rPr>
        <w:t xml:space="preserve"> is confirmed as a RAN visible QoE metric for DASH and VR service types</w:t>
      </w:r>
    </w:p>
    <w:p w14:paraId="1DAF55C2" w14:textId="77777777" w:rsidR="00902D7C" w:rsidRDefault="00717CD7">
      <w:pPr>
        <w:spacing w:before="120"/>
        <w:rPr>
          <w:rFonts w:ascii="Arial" w:hAnsi="Arial" w:cs="Arial"/>
          <w:b/>
          <w:bCs/>
          <w:u w:val="single"/>
        </w:rPr>
      </w:pPr>
      <w:r>
        <w:rPr>
          <w:rFonts w:ascii="Arial" w:hAnsi="Arial" w:cs="Arial"/>
          <w:b/>
          <w:bCs/>
          <w:u w:val="single"/>
        </w:rPr>
        <w:t xml:space="preserve">Issue 1: Buffer level reporting </w:t>
      </w:r>
    </w:p>
    <w:p w14:paraId="6A79BF9A" w14:textId="77777777" w:rsidR="00902D7C" w:rsidRDefault="00717CD7">
      <w:pPr>
        <w:spacing w:before="120"/>
        <w:rPr>
          <w:rFonts w:ascii="Arial" w:hAnsi="Arial" w:cs="Arial"/>
        </w:rPr>
      </w:pPr>
      <w:r>
        <w:rPr>
          <w:rFonts w:ascii="Arial" w:hAnsi="Arial" w:cs="Arial"/>
        </w:rPr>
        <w:t>ISO/IEC 23009-1 defines the metrics for buffer level status events, as following. And it allows one measurement contains buffer level entry list.</w:t>
      </w:r>
    </w:p>
    <w:p w14:paraId="5BB865C3" w14:textId="77777777" w:rsidR="00902D7C" w:rsidRDefault="00717CD7">
      <w:pPr>
        <w:spacing w:before="120"/>
        <w:rPr>
          <w:rFonts w:ascii="Arial" w:hAnsi="Arial" w:cs="Arial"/>
          <w:b/>
          <w:bCs/>
          <w:u w:val="single"/>
          <w:lang w:val="en-US"/>
        </w:rPr>
      </w:pPr>
      <w:r>
        <w:rPr>
          <w:noProof/>
          <w:lang w:val="en-US" w:eastAsia="zh-CN"/>
        </w:rPr>
        <w:lastRenderedPageBreak/>
        <w:drawing>
          <wp:inline distT="0" distB="0" distL="0" distR="0" wp14:anchorId="7F33C93D" wp14:editId="00BC241F">
            <wp:extent cx="5589270" cy="3254375"/>
            <wp:effectExtent l="0" t="0" r="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stretch>
                      <a:fillRect/>
                    </a:stretch>
                  </pic:blipFill>
                  <pic:spPr>
                    <a:xfrm>
                      <a:off x="0" y="0"/>
                      <a:ext cx="5589494" cy="3254789"/>
                    </a:xfrm>
                    <a:prstGeom prst="rect">
                      <a:avLst/>
                    </a:prstGeom>
                  </pic:spPr>
                </pic:pic>
              </a:graphicData>
            </a:graphic>
          </wp:inline>
        </w:drawing>
      </w:r>
    </w:p>
    <w:p w14:paraId="4C24DC7B" w14:textId="77777777" w:rsidR="00902D7C" w:rsidRDefault="00717CD7">
      <w:pPr>
        <w:spacing w:before="120"/>
        <w:rPr>
          <w:rFonts w:ascii="Arial" w:hAnsi="Arial" w:cs="Arial"/>
        </w:rPr>
      </w:pPr>
      <w:r>
        <w:rPr>
          <w:rFonts w:ascii="Arial" w:hAnsi="Arial" w:cs="Arial"/>
        </w:rPr>
        <w:t>Some contributions discuss the manner to report buffer level, and several options are raised, e.g. a list of buffer level values, average value, minimum value, maximum value during one report interval. The benefit of reporting a list of buffer level values with the parameter “t” reported could provide gNB more accurate information; one single value could save signalling overhead but cannot provide accurate information to gNB.</w:t>
      </w:r>
    </w:p>
    <w:p w14:paraId="3D2B3114" w14:textId="77777777" w:rsidR="00902D7C" w:rsidRDefault="00717CD7">
      <w:pPr>
        <w:spacing w:before="120"/>
        <w:rPr>
          <w:rFonts w:ascii="Arial" w:hAnsi="Arial" w:cs="Arial"/>
        </w:rPr>
      </w:pPr>
      <w:r>
        <w:rPr>
          <w:rFonts w:ascii="Arial" w:hAnsi="Arial" w:cs="Arial"/>
        </w:rPr>
        <w:t>Companies please provide view in which manner buffer level should be reported.</w:t>
      </w:r>
    </w:p>
    <w:p w14:paraId="3D06904D" w14:textId="77777777" w:rsidR="00902D7C" w:rsidRDefault="00717CD7">
      <w:pPr>
        <w:spacing w:before="120" w:after="0"/>
        <w:rPr>
          <w:rFonts w:ascii="Arial" w:hAnsi="Arial" w:cs="Arial"/>
          <w:b/>
          <w:bCs/>
        </w:rPr>
      </w:pPr>
      <w:r>
        <w:rPr>
          <w:rFonts w:ascii="Arial" w:hAnsi="Arial" w:cs="Arial"/>
          <w:b/>
          <w:bCs/>
        </w:rPr>
        <w:t>Q4: Companies please provide view in which manner buffer level should be reported</w:t>
      </w:r>
    </w:p>
    <w:tbl>
      <w:tblPr>
        <w:tblStyle w:val="af"/>
        <w:tblW w:w="0" w:type="auto"/>
        <w:tblLook w:val="04A0" w:firstRow="1" w:lastRow="0" w:firstColumn="1" w:lastColumn="0" w:noHBand="0" w:noVBand="1"/>
      </w:tblPr>
      <w:tblGrid>
        <w:gridCol w:w="1980"/>
        <w:gridCol w:w="6515"/>
      </w:tblGrid>
      <w:tr w:rsidR="00902D7C" w14:paraId="25956720" w14:textId="77777777">
        <w:tc>
          <w:tcPr>
            <w:tcW w:w="1980" w:type="dxa"/>
          </w:tcPr>
          <w:p w14:paraId="3FDAB11D"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43C988E4" w14:textId="77777777" w:rsidR="00902D7C" w:rsidRDefault="00717CD7">
            <w:pPr>
              <w:spacing w:before="120" w:after="0"/>
              <w:jc w:val="center"/>
              <w:rPr>
                <w:rFonts w:ascii="Arial" w:hAnsi="Arial" w:cs="Arial"/>
                <w:b/>
              </w:rPr>
            </w:pPr>
            <w:r>
              <w:rPr>
                <w:rFonts w:ascii="Arial" w:hAnsi="Arial" w:cs="Arial"/>
                <w:b/>
              </w:rPr>
              <w:t>Views</w:t>
            </w:r>
          </w:p>
        </w:tc>
      </w:tr>
      <w:tr w:rsidR="00902D7C" w14:paraId="67DF1988" w14:textId="77777777">
        <w:tc>
          <w:tcPr>
            <w:tcW w:w="1980" w:type="dxa"/>
          </w:tcPr>
          <w:p w14:paraId="6FA1F75C"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339B823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open about the following approaches:</w:t>
            </w:r>
          </w:p>
          <w:p w14:paraId="6FDFC402"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rPr>
              <w:t>A list of buffer level values</w:t>
            </w:r>
          </w:p>
          <w:p w14:paraId="766F71DE" w14:textId="77777777" w:rsidR="00902D7C" w:rsidRDefault="00717CD7">
            <w:pPr>
              <w:pStyle w:val="af4"/>
              <w:numPr>
                <w:ilvl w:val="0"/>
                <w:numId w:val="4"/>
              </w:numPr>
              <w:spacing w:before="120"/>
              <w:rPr>
                <w:rFonts w:ascii="Arial" w:eastAsiaTheme="minorEastAsia" w:hAnsi="Arial" w:cs="Arial"/>
              </w:rPr>
            </w:pPr>
            <w:r>
              <w:rPr>
                <w:rFonts w:ascii="Arial" w:eastAsiaTheme="minorEastAsia" w:hAnsi="Arial" w:cs="Arial" w:hint="eastAsia"/>
              </w:rPr>
              <w:t>A</w:t>
            </w:r>
            <w:r>
              <w:rPr>
                <w:rFonts w:ascii="Arial" w:eastAsiaTheme="minorEastAsia" w:hAnsi="Arial" w:cs="Arial"/>
              </w:rPr>
              <w:t>verage value</w:t>
            </w:r>
          </w:p>
          <w:p w14:paraId="2C70364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E</w:t>
            </w:r>
            <w:r>
              <w:rPr>
                <w:rFonts w:ascii="Arial" w:eastAsiaTheme="minorEastAsia" w:hAnsi="Arial" w:cs="Arial"/>
                <w:lang w:eastAsia="zh-CN"/>
              </w:rPr>
              <w:t>ach approach has pros/cons, and we think both are feasible from RAN2 point of view.</w:t>
            </w:r>
          </w:p>
        </w:tc>
      </w:tr>
      <w:tr w:rsidR="00902D7C" w14:paraId="2D4C902A" w14:textId="77777777">
        <w:tc>
          <w:tcPr>
            <w:tcW w:w="1980" w:type="dxa"/>
          </w:tcPr>
          <w:p w14:paraId="74E36B24" w14:textId="77777777" w:rsidR="00902D7C" w:rsidRDefault="00717CD7">
            <w:pPr>
              <w:spacing w:before="120" w:after="0"/>
              <w:rPr>
                <w:rFonts w:ascii="Arial" w:hAnsi="Arial" w:cs="Arial"/>
              </w:rPr>
            </w:pPr>
            <w:r>
              <w:rPr>
                <w:rFonts w:ascii="Arial" w:hAnsi="Arial" w:cs="Arial"/>
              </w:rPr>
              <w:t>Ericsson</w:t>
            </w:r>
          </w:p>
        </w:tc>
        <w:tc>
          <w:tcPr>
            <w:tcW w:w="6515" w:type="dxa"/>
          </w:tcPr>
          <w:p w14:paraId="53924421" w14:textId="77777777" w:rsidR="00902D7C" w:rsidRDefault="00717CD7">
            <w:pPr>
              <w:spacing w:before="120" w:after="0"/>
              <w:rPr>
                <w:rFonts w:ascii="Arial" w:hAnsi="Arial" w:cs="Arial"/>
              </w:rPr>
            </w:pPr>
            <w:r>
              <w:rPr>
                <w:rFonts w:ascii="Arial" w:hAnsi="Arial" w:cs="Arial"/>
              </w:rPr>
              <w:t>We think just the current value can be reported, no need to make it more complicated and calculate average or similar. RVQoE is for real-time reporting and then current value is sufficient. For legacy QoE the values are received in a file often after the session and then it is relevant to have a list with time stamp, but not for RVQoE.</w:t>
            </w:r>
          </w:p>
        </w:tc>
      </w:tr>
      <w:tr w:rsidR="00902D7C" w14:paraId="1741A706" w14:textId="77777777">
        <w:tc>
          <w:tcPr>
            <w:tcW w:w="1980" w:type="dxa"/>
          </w:tcPr>
          <w:p w14:paraId="6D435D7E" w14:textId="77777777" w:rsidR="00902D7C" w:rsidRDefault="00717CD7">
            <w:pPr>
              <w:spacing w:before="120" w:after="0"/>
              <w:rPr>
                <w:rFonts w:ascii="Arial" w:hAnsi="Arial" w:cs="Arial"/>
              </w:rPr>
            </w:pPr>
            <w:r>
              <w:rPr>
                <w:rFonts w:ascii="Arial" w:hAnsi="Arial" w:cs="Arial"/>
              </w:rPr>
              <w:t>Nokia</w:t>
            </w:r>
          </w:p>
        </w:tc>
        <w:tc>
          <w:tcPr>
            <w:tcW w:w="6515" w:type="dxa"/>
          </w:tcPr>
          <w:p w14:paraId="4C669A7E"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RAN2 should not discuss format of the buffer level but follow configuration provided by RAN (RAN3 decision how the configuration IEs will look like on the NW interfaces). Following the config, the UE should report back what was provided by Application layer. RRC should not change the provided information neither in configuration from gNB nor report from upper layer input</w:t>
            </w:r>
          </w:p>
        </w:tc>
      </w:tr>
      <w:tr w:rsidR="00902D7C" w14:paraId="6C43B5D2" w14:textId="77777777">
        <w:tc>
          <w:tcPr>
            <w:tcW w:w="1980" w:type="dxa"/>
          </w:tcPr>
          <w:p w14:paraId="4CB13D16" w14:textId="77777777" w:rsidR="00902D7C" w:rsidRDefault="00717CD7">
            <w:pPr>
              <w:spacing w:before="120" w:after="0"/>
              <w:rPr>
                <w:rFonts w:ascii="Arial" w:hAnsi="Arial" w:cs="Arial"/>
              </w:rPr>
            </w:pPr>
            <w:r>
              <w:rPr>
                <w:rFonts w:ascii="Arial" w:hAnsi="Arial" w:cs="Arial"/>
              </w:rPr>
              <w:t>T-Mobile, USA</w:t>
            </w:r>
          </w:p>
        </w:tc>
        <w:tc>
          <w:tcPr>
            <w:tcW w:w="6515" w:type="dxa"/>
          </w:tcPr>
          <w:p w14:paraId="46815FC4" w14:textId="77777777" w:rsidR="00902D7C" w:rsidRDefault="00717CD7">
            <w:pPr>
              <w:spacing w:before="120" w:after="0"/>
              <w:rPr>
                <w:rFonts w:ascii="Arial" w:hAnsi="Arial" w:cs="Arial"/>
              </w:rPr>
            </w:pPr>
            <w:r>
              <w:rPr>
                <w:rFonts w:ascii="Arial" w:hAnsi="Arial" w:cs="Arial"/>
              </w:rPr>
              <w:t>We tend to agree with Ericsson. Realtime value is more meaningful for the scheduler to adapt to the traffic condition of a particular service. Also, it opens the opportunity for the gNB to decide how the data should be processed locally.</w:t>
            </w:r>
          </w:p>
        </w:tc>
      </w:tr>
      <w:tr w:rsidR="00902D7C" w14:paraId="4DBE5EEE" w14:textId="77777777">
        <w:tc>
          <w:tcPr>
            <w:tcW w:w="1980" w:type="dxa"/>
          </w:tcPr>
          <w:p w14:paraId="7CA32E66"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1B37FBA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We can start with a list of buffer level which consists of a list of Integer-type levels and possibly a Real-time-type t indicating the start time of the measurement.</w:t>
            </w:r>
          </w:p>
        </w:tc>
      </w:tr>
      <w:tr w:rsidR="00902D7C" w14:paraId="1C1C97AB" w14:textId="77777777">
        <w:tc>
          <w:tcPr>
            <w:tcW w:w="1980" w:type="dxa"/>
          </w:tcPr>
          <w:p w14:paraId="1B4CB6D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lastRenderedPageBreak/>
              <w:t>Qualcomm</w:t>
            </w:r>
          </w:p>
        </w:tc>
        <w:tc>
          <w:tcPr>
            <w:tcW w:w="6515" w:type="dxa"/>
          </w:tcPr>
          <w:p w14:paraId="690E280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What should be reported depends on how the gNB uses the measurement result. If gNB wants to use it in a real-time usage, then very shorter periodicity of reporting should be configured or event-trigger needs to be defined, like today’s immediate MDT reporting. If the gNB wants to use the information for post-processing, then a list of result is helpful, especially when long periodicity is configured.</w:t>
            </w:r>
          </w:p>
          <w:p w14:paraId="5F23301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In order to save reporting signalling, RAN2 can specify some limitation on the range scope, granularity, and number of buffer level entries.</w:t>
            </w:r>
          </w:p>
          <w:p w14:paraId="63F808F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range scope, 10min or even 5min is enough. There is no difference for gNB receiving 5min buffer level or 1 hour buffer level, and it is not expected gNB buffers the downlink data more than 5min.</w:t>
            </w:r>
          </w:p>
          <w:p w14:paraId="3D7CD12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granularity, we understand 1s is enough, from user experience point of view, 1s is very short time, we don’t think buffer level value lower than 1s make much sense; from gNB scheduling point of view, it should avoid the buffer level is lower than 1s.</w:t>
            </w:r>
          </w:p>
          <w:p w14:paraId="7871CFA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For number of buffer level entries in each result, we can limit it to e.g. 20.</w:t>
            </w:r>
          </w:p>
          <w:p w14:paraId="4138938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So the signalling overhead considering above cases is 9x20=180</w:t>
            </w:r>
          </w:p>
          <w:p w14:paraId="3281B6E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And if RAN2 decides how and what should be reported, should notify SA4 the decision, application layer should handle the measurement results as RAN2 limitation.</w:t>
            </w:r>
          </w:p>
          <w:p w14:paraId="3551BF17" w14:textId="77777777" w:rsidR="00902D7C" w:rsidRDefault="00902D7C">
            <w:pPr>
              <w:spacing w:before="120" w:after="0"/>
              <w:rPr>
                <w:rFonts w:ascii="Arial" w:eastAsiaTheme="minorEastAsia" w:hAnsi="Arial" w:cs="Arial"/>
                <w:lang w:eastAsia="zh-CN"/>
              </w:rPr>
            </w:pPr>
          </w:p>
        </w:tc>
      </w:tr>
      <w:tr w:rsidR="00902D7C" w14:paraId="7E3757E8" w14:textId="77777777">
        <w:tc>
          <w:tcPr>
            <w:tcW w:w="1980" w:type="dxa"/>
          </w:tcPr>
          <w:p w14:paraId="0FF34B73"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6515" w:type="dxa"/>
          </w:tcPr>
          <w:p w14:paraId="03A22378" w14:textId="77777777" w:rsidR="00902D7C" w:rsidRDefault="00717CD7">
            <w:pPr>
              <w:spacing w:before="120" w:after="0"/>
              <w:rPr>
                <w:rFonts w:ascii="Arial" w:eastAsiaTheme="minorEastAsia" w:hAnsi="Arial" w:cs="Arial"/>
                <w:lang w:eastAsia="zh-CN"/>
              </w:rPr>
            </w:pPr>
            <w:r>
              <w:rPr>
                <w:rFonts w:ascii="Arial" w:hAnsi="Arial" w:cs="Arial"/>
              </w:rPr>
              <w:t>It’s a simple way to follow the current structure as a list. But ok to follow the further guideline of RAN3, if any.</w:t>
            </w:r>
          </w:p>
        </w:tc>
      </w:tr>
      <w:tr w:rsidR="00902D7C" w14:paraId="67A3968D" w14:textId="77777777">
        <w:tc>
          <w:tcPr>
            <w:tcW w:w="1980" w:type="dxa"/>
          </w:tcPr>
          <w:p w14:paraId="2C344AA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6D20CDB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We would like suggest that RAN3 and SA4 to decide </w:t>
            </w:r>
            <w:r>
              <w:rPr>
                <w:rFonts w:ascii="Arial" w:eastAsiaTheme="minorEastAsia" w:hAnsi="Arial" w:cs="Arial"/>
                <w:lang w:eastAsia="zh-CN"/>
              </w:rPr>
              <w:t>the</w:t>
            </w:r>
            <w:r>
              <w:rPr>
                <w:rFonts w:ascii="Arial" w:eastAsiaTheme="minorEastAsia" w:hAnsi="Arial" w:cs="Arial" w:hint="eastAsia"/>
                <w:lang w:eastAsia="zh-CN"/>
              </w:rPr>
              <w:t xml:space="preserve"> report format and value.</w:t>
            </w:r>
          </w:p>
          <w:p w14:paraId="1E81F38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 xml:space="preserve">f we RAN2 wants to take this </w:t>
            </w:r>
            <w:r>
              <w:rPr>
                <w:rFonts w:ascii="Arial" w:eastAsiaTheme="minorEastAsia" w:hAnsi="Arial" w:cs="Arial"/>
                <w:lang w:eastAsia="zh-CN"/>
              </w:rPr>
              <w:t>responsibility</w:t>
            </w:r>
            <w:r>
              <w:rPr>
                <w:rFonts w:ascii="Arial" w:eastAsiaTheme="minorEastAsia" w:hAnsi="Arial" w:cs="Arial" w:hint="eastAsia"/>
                <w:lang w:eastAsia="zh-CN"/>
              </w:rPr>
              <w:t xml:space="preserve">. </w:t>
            </w:r>
            <w:r>
              <w:rPr>
                <w:rFonts w:ascii="Arial" w:eastAsiaTheme="minorEastAsia" w:hAnsi="Arial" w:cs="Arial"/>
                <w:lang w:eastAsia="zh-CN"/>
              </w:rPr>
              <w:t>W</w:t>
            </w:r>
            <w:r>
              <w:rPr>
                <w:rFonts w:ascii="Arial" w:eastAsiaTheme="minorEastAsia" w:hAnsi="Arial" w:cs="Arial" w:hint="eastAsia"/>
                <w:lang w:eastAsia="zh-CN"/>
              </w:rPr>
              <w:t xml:space="preserve">e may </w:t>
            </w:r>
            <w:r>
              <w:rPr>
                <w:rFonts w:ascii="Arial" w:eastAsiaTheme="minorEastAsia" w:hAnsi="Arial" w:cs="Arial"/>
                <w:lang w:eastAsia="zh-CN"/>
              </w:rPr>
              <w:t>consider</w:t>
            </w:r>
            <w:r>
              <w:rPr>
                <w:rFonts w:ascii="Arial" w:eastAsiaTheme="minorEastAsia" w:hAnsi="Arial" w:cs="Arial" w:hint="eastAsia"/>
                <w:lang w:eastAsia="zh-CN"/>
              </w:rPr>
              <w:t xml:space="preserve"> the report periodicity of </w:t>
            </w:r>
            <w:r>
              <w:rPr>
                <w:rFonts w:ascii="Arial" w:eastAsiaTheme="minorEastAsia" w:hAnsi="Arial" w:cs="Arial"/>
                <w:lang w:eastAsia="zh-CN"/>
              </w:rPr>
              <w:t>the</w:t>
            </w:r>
            <w:r>
              <w:rPr>
                <w:rFonts w:ascii="Arial" w:eastAsiaTheme="minorEastAsia" w:hAnsi="Arial" w:cs="Arial" w:hint="eastAsia"/>
                <w:lang w:eastAsia="zh-CN"/>
              </w:rPr>
              <w:t xml:space="preserve"> </w:t>
            </w:r>
            <w:proofErr w:type="gramStart"/>
            <w:r>
              <w:rPr>
                <w:rFonts w:ascii="Arial" w:eastAsiaTheme="minorEastAsia" w:hAnsi="Arial" w:cs="Arial" w:hint="eastAsia"/>
                <w:lang w:eastAsia="zh-CN"/>
              </w:rPr>
              <w:t>RVQoE  which</w:t>
            </w:r>
            <w:proofErr w:type="gramEnd"/>
            <w:r>
              <w:rPr>
                <w:rFonts w:ascii="Arial" w:eastAsiaTheme="minorEastAsia" w:hAnsi="Arial" w:cs="Arial" w:hint="eastAsia"/>
                <w:lang w:eastAsia="zh-CN"/>
              </w:rPr>
              <w:t xml:space="preserve"> is also apply to other metrics.</w:t>
            </w:r>
          </w:p>
          <w:p w14:paraId="7A674A8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 xml:space="preserve">e may use </w:t>
            </w:r>
            <w:r>
              <w:rPr>
                <w:rFonts w:ascii="Arial" w:eastAsiaTheme="minorEastAsia" w:hAnsi="Arial" w:cs="Arial"/>
                <w:lang w:eastAsia="zh-CN"/>
              </w:rPr>
              <w:t>the</w:t>
            </w:r>
            <w:r>
              <w:rPr>
                <w:rFonts w:ascii="Arial" w:eastAsiaTheme="minorEastAsia" w:hAnsi="Arial" w:cs="Arial" w:hint="eastAsia"/>
                <w:lang w:eastAsia="zh-CN"/>
              </w:rPr>
              <w:t xml:space="preserve"> current value App layer can provide and not to introduce more complex. </w:t>
            </w:r>
            <w:r>
              <w:rPr>
                <w:rFonts w:ascii="Arial" w:eastAsiaTheme="minorEastAsia" w:hAnsi="Arial" w:cs="Arial"/>
                <w:lang w:eastAsia="zh-CN"/>
              </w:rPr>
              <w:t>S</w:t>
            </w:r>
            <w:r>
              <w:rPr>
                <w:rFonts w:ascii="Arial" w:eastAsiaTheme="minorEastAsia" w:hAnsi="Arial" w:cs="Arial" w:hint="eastAsia"/>
                <w:lang w:eastAsia="zh-CN"/>
              </w:rPr>
              <w:t>hare with CMCC on this issue</w:t>
            </w:r>
          </w:p>
        </w:tc>
      </w:tr>
      <w:tr w:rsidR="00902D7C" w14:paraId="124F11E5" w14:textId="77777777">
        <w:tc>
          <w:tcPr>
            <w:tcW w:w="1980" w:type="dxa"/>
          </w:tcPr>
          <w:p w14:paraId="09D39A5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6515" w:type="dxa"/>
          </w:tcPr>
          <w:p w14:paraId="15D47311"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We are flexible on this question and slightly prefer HW’s suggestion.</w:t>
            </w:r>
          </w:p>
        </w:tc>
      </w:tr>
      <w:tr w:rsidR="004E5518" w14:paraId="54607699" w14:textId="77777777">
        <w:tc>
          <w:tcPr>
            <w:tcW w:w="1980" w:type="dxa"/>
          </w:tcPr>
          <w:p w14:paraId="1B5375A2" w14:textId="3531D677" w:rsidR="004E5518" w:rsidRDefault="004E551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6515" w:type="dxa"/>
          </w:tcPr>
          <w:p w14:paraId="6BD48E35" w14:textId="3B63BEB9" w:rsidR="004E5518" w:rsidRDefault="004E5518">
            <w:pPr>
              <w:spacing w:before="120" w:after="0"/>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o follow the current structure is OK</w:t>
            </w:r>
          </w:p>
        </w:tc>
      </w:tr>
      <w:tr w:rsidR="008A22DE" w14:paraId="35476C54" w14:textId="77777777">
        <w:tc>
          <w:tcPr>
            <w:tcW w:w="1980" w:type="dxa"/>
          </w:tcPr>
          <w:p w14:paraId="28932B39" w14:textId="2E5EAD95"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6515" w:type="dxa"/>
          </w:tcPr>
          <w:p w14:paraId="30EDFE74" w14:textId="0135E6D4" w:rsidR="008A22DE" w:rsidRDefault="008A22DE" w:rsidP="008A22DE">
            <w:pPr>
              <w:spacing w:before="120" w:after="0"/>
              <w:rPr>
                <w:rFonts w:ascii="Arial" w:eastAsiaTheme="minorEastAsia" w:hAnsi="Arial" w:cs="Arial"/>
                <w:lang w:val="en-US" w:eastAsia="zh-CN"/>
              </w:rPr>
            </w:pPr>
            <w:r>
              <w:rPr>
                <w:rFonts w:ascii="Arial" w:hAnsi="Arial" w:cs="Arial"/>
                <w:lang w:eastAsia="ko-KR"/>
              </w:rPr>
              <w:t xml:space="preserve">Since </w:t>
            </w:r>
            <w:r>
              <w:rPr>
                <w:rFonts w:ascii="Arial" w:hAnsi="Arial" w:cs="Arial" w:hint="eastAsia"/>
                <w:lang w:eastAsia="ko-KR"/>
              </w:rPr>
              <w:t xml:space="preserve">RVQoE </w:t>
            </w:r>
            <w:r>
              <w:rPr>
                <w:rFonts w:ascii="Arial" w:hAnsi="Arial" w:cs="Arial"/>
                <w:lang w:eastAsia="ko-KR"/>
              </w:rPr>
              <w:t>is optional measurement, i</w:t>
            </w:r>
            <w:r w:rsidRPr="004F49FF">
              <w:rPr>
                <w:rFonts w:ascii="Arial" w:hAnsi="Arial" w:cs="Arial"/>
                <w:lang w:eastAsia="ko-KR"/>
              </w:rPr>
              <w:t>t is sufficient to include only representative values such as avera</w:t>
            </w:r>
            <w:r>
              <w:rPr>
                <w:rFonts w:ascii="Arial" w:hAnsi="Arial" w:cs="Arial"/>
                <w:lang w:eastAsia="ko-KR"/>
              </w:rPr>
              <w:t xml:space="preserve">ge, maximum, and minimum values, </w:t>
            </w:r>
            <w:proofErr w:type="gramStart"/>
            <w:r>
              <w:rPr>
                <w:rFonts w:ascii="Arial" w:hAnsi="Arial" w:cs="Arial"/>
                <w:lang w:eastAsia="ko-KR"/>
              </w:rPr>
              <w:t>not</w:t>
            </w:r>
            <w:proofErr w:type="gramEnd"/>
            <w:r>
              <w:rPr>
                <w:rFonts w:ascii="Arial" w:hAnsi="Arial" w:cs="Arial"/>
                <w:lang w:eastAsia="ko-KR"/>
              </w:rPr>
              <w:t xml:space="preserve"> raw data.</w:t>
            </w:r>
          </w:p>
        </w:tc>
      </w:tr>
      <w:tr w:rsidR="00196771" w14:paraId="418F48D0" w14:textId="77777777">
        <w:tc>
          <w:tcPr>
            <w:tcW w:w="1980" w:type="dxa"/>
          </w:tcPr>
          <w:p w14:paraId="0D2AD667" w14:textId="7A6A9646"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6515" w:type="dxa"/>
          </w:tcPr>
          <w:p w14:paraId="3F6FDD73" w14:textId="6613F749" w:rsidR="00196771" w:rsidRDefault="00196771" w:rsidP="00196771">
            <w:pPr>
              <w:spacing w:before="120" w:after="0"/>
              <w:rPr>
                <w:rFonts w:ascii="Arial" w:hAnsi="Arial" w:cs="Arial"/>
                <w:lang w:eastAsia="ko-KR"/>
              </w:rPr>
            </w:pPr>
            <w:r>
              <w:rPr>
                <w:rFonts w:ascii="Arial" w:eastAsia="PMingLiU" w:hAnsi="Arial" w:cs="Arial" w:hint="eastAsia"/>
                <w:lang w:eastAsia="zh-TW"/>
              </w:rPr>
              <w:t>W</w:t>
            </w:r>
            <w:r>
              <w:rPr>
                <w:rFonts w:ascii="Arial" w:eastAsia="PMingLiU" w:hAnsi="Arial" w:cs="Arial"/>
                <w:lang w:eastAsia="zh-TW"/>
              </w:rPr>
              <w:t xml:space="preserve">e share the same view with Nokia that RAN2 is not suggested to change the format of the buffer level which should be based on RAN3’s progress (e.g., a </w:t>
            </w:r>
            <w:r>
              <w:rPr>
                <w:rFonts w:ascii="Arial" w:eastAsiaTheme="minorEastAsia" w:hAnsi="Arial" w:cs="Arial"/>
                <w:lang w:eastAsia="zh-CN"/>
              </w:rPr>
              <w:t>shorter periodicity</w:t>
            </w:r>
            <w:r>
              <w:rPr>
                <w:rFonts w:ascii="Arial" w:eastAsia="PMingLiU" w:hAnsi="Arial" w:cs="Arial"/>
                <w:lang w:eastAsia="zh-TW"/>
              </w:rPr>
              <w:t xml:space="preserve">). </w:t>
            </w:r>
          </w:p>
        </w:tc>
      </w:tr>
      <w:tr w:rsidR="00090D37" w14:paraId="7516B6DF" w14:textId="77777777">
        <w:tc>
          <w:tcPr>
            <w:tcW w:w="1980" w:type="dxa"/>
          </w:tcPr>
          <w:p w14:paraId="0E0C7680" w14:textId="0C072A46" w:rsidR="00090D37" w:rsidRDefault="00090D37" w:rsidP="00090D37">
            <w:pPr>
              <w:spacing w:before="120" w:after="0"/>
              <w:rPr>
                <w:rFonts w:ascii="Arial" w:eastAsia="PMingLiU" w:hAnsi="Arial" w:cs="Arial" w:hint="eastAsia"/>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6515" w:type="dxa"/>
          </w:tcPr>
          <w:p w14:paraId="09ED790E" w14:textId="77777777" w:rsidR="00090D37" w:rsidRDefault="00090D37" w:rsidP="00090D37">
            <w:pPr>
              <w:spacing w:before="120" w:after="0"/>
              <w:rPr>
                <w:rFonts w:ascii="Arial" w:eastAsiaTheme="minorEastAsia" w:hAnsi="Arial" w:cs="Arial"/>
                <w:lang w:eastAsia="zh-CN"/>
              </w:rPr>
            </w:pPr>
            <w:r>
              <w:rPr>
                <w:rFonts w:ascii="Arial" w:eastAsiaTheme="minorEastAsia" w:hAnsi="Arial" w:cs="Arial"/>
                <w:lang w:eastAsia="zh-CN"/>
              </w:rPr>
              <w:t>We are fine with the both following options:</w:t>
            </w:r>
          </w:p>
          <w:p w14:paraId="7649B558" w14:textId="77777777" w:rsidR="00090D37" w:rsidRPr="0059431B" w:rsidRDefault="00090D37" w:rsidP="00090D37">
            <w:pPr>
              <w:pStyle w:val="af4"/>
              <w:numPr>
                <w:ilvl w:val="0"/>
                <w:numId w:val="4"/>
              </w:numPr>
              <w:spacing w:before="120"/>
              <w:rPr>
                <w:rFonts w:ascii="Arial" w:eastAsiaTheme="minorEastAsia" w:hAnsi="Arial" w:cs="Arial"/>
              </w:rPr>
            </w:pPr>
            <w:r w:rsidRPr="0059431B">
              <w:rPr>
                <w:rFonts w:ascii="Arial" w:eastAsiaTheme="minorEastAsia" w:hAnsi="Arial" w:cs="Arial"/>
              </w:rPr>
              <w:t>A list of buffer level values</w:t>
            </w:r>
          </w:p>
          <w:p w14:paraId="04BEF812" w14:textId="77777777" w:rsidR="00090D37" w:rsidRDefault="00090D37" w:rsidP="00090D37">
            <w:pPr>
              <w:pStyle w:val="af4"/>
              <w:numPr>
                <w:ilvl w:val="0"/>
                <w:numId w:val="4"/>
              </w:numPr>
              <w:spacing w:before="120"/>
              <w:rPr>
                <w:rFonts w:ascii="Arial" w:eastAsiaTheme="minorEastAsia" w:hAnsi="Arial" w:cs="Arial"/>
              </w:rPr>
            </w:pPr>
            <w:r w:rsidRPr="0059431B">
              <w:rPr>
                <w:rFonts w:ascii="Arial" w:eastAsiaTheme="minorEastAsia" w:hAnsi="Arial" w:cs="Arial" w:hint="eastAsia"/>
              </w:rPr>
              <w:t>A</w:t>
            </w:r>
            <w:r w:rsidRPr="0059431B">
              <w:rPr>
                <w:rFonts w:ascii="Arial" w:eastAsiaTheme="minorEastAsia" w:hAnsi="Arial" w:cs="Arial"/>
              </w:rPr>
              <w:t>verage value</w:t>
            </w:r>
          </w:p>
          <w:p w14:paraId="0F2AB963" w14:textId="2D3F6AD6" w:rsidR="00090D37" w:rsidRDefault="00090D37" w:rsidP="00090D37">
            <w:pPr>
              <w:spacing w:before="120" w:after="0"/>
              <w:rPr>
                <w:rFonts w:ascii="Arial" w:eastAsia="PMingLiU" w:hAnsi="Arial" w:cs="Arial" w:hint="eastAsia"/>
                <w:lang w:eastAsia="zh-TW"/>
              </w:rPr>
            </w:pPr>
            <w:r>
              <w:rPr>
                <w:rFonts w:ascii="Arial" w:eastAsiaTheme="minorEastAsia" w:hAnsi="Arial" w:cs="Arial"/>
                <w:lang w:eastAsia="zh-CN"/>
              </w:rPr>
              <w:t xml:space="preserve">From our view, RAN </w:t>
            </w:r>
            <w:proofErr w:type="spellStart"/>
            <w:r>
              <w:rPr>
                <w:rFonts w:ascii="Arial" w:eastAsiaTheme="minorEastAsia" w:hAnsi="Arial" w:cs="Arial"/>
                <w:lang w:eastAsia="zh-CN"/>
              </w:rPr>
              <w:t>visble</w:t>
            </w:r>
            <w:proofErr w:type="spellEnd"/>
            <w:r>
              <w:rPr>
                <w:rFonts w:ascii="Arial" w:eastAsiaTheme="minorEastAsia" w:hAnsi="Arial" w:cs="Arial"/>
                <w:lang w:eastAsia="zh-CN"/>
              </w:rPr>
              <w:t xml:space="preserve"> metrics are collected to meet the requirements for RAN</w:t>
            </w:r>
            <w:r>
              <w:rPr>
                <w:rFonts w:ascii="Arial" w:eastAsiaTheme="minorEastAsia" w:hAnsi="Arial" w:cs="Arial" w:hint="eastAsia"/>
                <w:lang w:eastAsia="zh-CN"/>
              </w:rPr>
              <w:t xml:space="preserve"> optimization</w:t>
            </w:r>
            <w:r>
              <w:rPr>
                <w:rFonts w:ascii="Arial" w:eastAsiaTheme="minorEastAsia" w:hAnsi="Arial" w:cs="Arial"/>
                <w:lang w:eastAsia="zh-CN"/>
              </w:rPr>
              <w:t xml:space="preserve">, So RAN2 can make decision from RAN side on the design of RRC </w:t>
            </w:r>
            <w:proofErr w:type="spellStart"/>
            <w:r>
              <w:rPr>
                <w:rFonts w:ascii="Arial" w:eastAsiaTheme="minorEastAsia" w:hAnsi="Arial" w:cs="Arial"/>
                <w:lang w:eastAsia="zh-CN"/>
              </w:rPr>
              <w:t>structrure</w:t>
            </w:r>
            <w:proofErr w:type="spellEnd"/>
            <w:r>
              <w:rPr>
                <w:rFonts w:ascii="Arial" w:eastAsiaTheme="minorEastAsia" w:hAnsi="Arial" w:cs="Arial"/>
                <w:lang w:eastAsia="zh-CN"/>
              </w:rPr>
              <w:t xml:space="preserve"> of RAN visible metrics.</w:t>
            </w:r>
          </w:p>
        </w:tc>
      </w:tr>
    </w:tbl>
    <w:p w14:paraId="7E6E32F0" w14:textId="77777777" w:rsidR="00902D7C" w:rsidRDefault="00717CD7">
      <w:pPr>
        <w:spacing w:before="120"/>
        <w:rPr>
          <w:rFonts w:ascii="Arial" w:hAnsi="Arial" w:cs="Arial"/>
        </w:rPr>
      </w:pPr>
      <w:r>
        <w:rPr>
          <w:rFonts w:ascii="Arial" w:hAnsi="Arial" w:cs="Arial"/>
        </w:rPr>
        <w:t xml:space="preserve">For each buffer level measurement entry, there are two parameters: t and level. The parameter “t” denotes the time of the measurement of the buffer level; and the parameter “level” denotes the level of the buffer in milliseconds. If the “level” is reported using a list of buffer level values, then “t” needs to be reported to inform gNB the time for each “level” value and provide more accurate information to gNB. </w:t>
      </w:r>
    </w:p>
    <w:p w14:paraId="64A51C98" w14:textId="77777777" w:rsidR="00902D7C" w:rsidRDefault="00717CD7">
      <w:pPr>
        <w:spacing w:before="120"/>
        <w:rPr>
          <w:rFonts w:ascii="Arial" w:hAnsi="Arial" w:cs="Arial"/>
        </w:rPr>
      </w:pPr>
      <w:r>
        <w:rPr>
          <w:rFonts w:ascii="Arial" w:hAnsi="Arial" w:cs="Arial"/>
        </w:rPr>
        <w:lastRenderedPageBreak/>
        <w:t xml:space="preserve">But as some contribution mentioned, the time is using the XML type </w:t>
      </w:r>
      <w:proofErr w:type="spellStart"/>
      <w:r>
        <w:rPr>
          <w:rFonts w:ascii="Arial" w:hAnsi="Arial" w:cs="Arial"/>
        </w:rPr>
        <w:t>xs</w:t>
      </w:r>
      <w:proofErr w:type="gramStart"/>
      <w:r>
        <w:rPr>
          <w:rFonts w:ascii="Arial" w:hAnsi="Arial" w:cs="Arial"/>
        </w:rPr>
        <w:t>:dateTime</w:t>
      </w:r>
      <w:proofErr w:type="spellEnd"/>
      <w:proofErr w:type="gramEnd"/>
      <w:r>
        <w:rPr>
          <w:rFonts w:ascii="Arial" w:hAnsi="Arial" w:cs="Arial"/>
        </w:rPr>
        <w:t>, which is  a string representation in the form of "</w:t>
      </w:r>
      <w:proofErr w:type="spellStart"/>
      <w:r>
        <w:rPr>
          <w:rFonts w:ascii="Arial" w:hAnsi="Arial" w:cs="Arial"/>
        </w:rPr>
        <w:t>yyyy-mm-ddThh:mm:ss.sssssssssssszzzzzz</w:t>
      </w:r>
      <w:proofErr w:type="spellEnd"/>
      <w:r>
        <w:rPr>
          <w:rFonts w:ascii="Arial" w:hAnsi="Arial" w:cs="Arial"/>
        </w:rPr>
        <w:t>". So if it is included in each buffer level, the signalling overhead could be large.</w:t>
      </w:r>
    </w:p>
    <w:p w14:paraId="2D46D35A" w14:textId="77777777" w:rsidR="00902D7C" w:rsidRDefault="00717CD7">
      <w:pPr>
        <w:spacing w:before="120"/>
        <w:rPr>
          <w:rFonts w:ascii="Arial" w:hAnsi="Arial" w:cs="Arial"/>
          <w:b/>
          <w:bCs/>
        </w:rPr>
      </w:pPr>
      <w:r>
        <w:rPr>
          <w:rFonts w:ascii="Arial" w:hAnsi="Arial" w:cs="Arial"/>
          <w:b/>
          <w:bCs/>
        </w:rPr>
        <w:t>Q5: Companies please provide view on whether parameter “t” in the buffer level measurement entry should be reported.</w:t>
      </w:r>
    </w:p>
    <w:tbl>
      <w:tblPr>
        <w:tblStyle w:val="af"/>
        <w:tblW w:w="0" w:type="auto"/>
        <w:tblLook w:val="04A0" w:firstRow="1" w:lastRow="0" w:firstColumn="1" w:lastColumn="0" w:noHBand="0" w:noVBand="1"/>
      </w:tblPr>
      <w:tblGrid>
        <w:gridCol w:w="1980"/>
        <w:gridCol w:w="1134"/>
        <w:gridCol w:w="6515"/>
      </w:tblGrid>
      <w:tr w:rsidR="00902D7C" w14:paraId="51C96BF0" w14:textId="77777777">
        <w:tc>
          <w:tcPr>
            <w:tcW w:w="1980" w:type="dxa"/>
          </w:tcPr>
          <w:p w14:paraId="1126FF43"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201B5F78"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552A45ED"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298C71BA" w14:textId="77777777">
        <w:tc>
          <w:tcPr>
            <w:tcW w:w="1980" w:type="dxa"/>
          </w:tcPr>
          <w:p w14:paraId="373EC40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DF34BA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79AB5E2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would like to understand more about benefits regarding the following sentence:</w:t>
            </w:r>
          </w:p>
          <w:p w14:paraId="3E48C9E0" w14:textId="77777777" w:rsidR="00902D7C" w:rsidRDefault="00717CD7">
            <w:pPr>
              <w:spacing w:before="120" w:after="0"/>
              <w:rPr>
                <w:rFonts w:ascii="Arial" w:eastAsiaTheme="minorEastAsia" w:hAnsi="Arial" w:cs="Arial"/>
                <w:color w:val="F79646" w:themeColor="accent6"/>
                <w:lang w:eastAsia="zh-CN"/>
              </w:rPr>
            </w:pPr>
            <w:r>
              <w:rPr>
                <w:rFonts w:ascii="Arial" w:hAnsi="Arial" w:cs="Arial"/>
                <w:color w:val="F79646" w:themeColor="accent6"/>
              </w:rPr>
              <w:t>The benefit of reporting a list of buffer level values with the parameter “t” reported could provide gNB more accurate information</w:t>
            </w:r>
          </w:p>
          <w:p w14:paraId="09757503" w14:textId="77777777" w:rsidR="00902D7C" w:rsidRDefault="00902D7C">
            <w:pPr>
              <w:spacing w:before="120" w:after="0"/>
              <w:rPr>
                <w:rFonts w:ascii="Arial" w:eastAsiaTheme="minorEastAsia" w:hAnsi="Arial" w:cs="Arial"/>
                <w:lang w:eastAsia="zh-CN"/>
              </w:rPr>
            </w:pPr>
          </w:p>
          <w:p w14:paraId="7A16B75F"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The overhead may be further discussed, e.g. considering multiple entries and long bits for UTC time definition.</w:t>
            </w:r>
          </w:p>
          <w:p w14:paraId="5485BC0F" w14:textId="77777777" w:rsidR="00902D7C" w:rsidRDefault="00717CD7">
            <w:pPr>
              <w:spacing w:before="120" w:after="0"/>
              <w:rPr>
                <w:rFonts w:ascii="Arial" w:hAnsi="Arial" w:cs="Arial"/>
                <w:color w:val="1F497D" w:themeColor="text2"/>
              </w:rPr>
            </w:pPr>
            <w:r>
              <w:rPr>
                <w:rFonts w:ascii="Arial" w:hAnsi="Arial" w:cs="Arial"/>
                <w:color w:val="1F497D" w:themeColor="text2"/>
              </w:rPr>
              <w:t>[QC] that means “t” will tell the gNB the time for each measured level, and the gNB can know the scheduling or configuration situation at the time “t”. If no “t” received, the gNB will not know what happens for each buffer level. But we are open whether to include that.</w:t>
            </w:r>
          </w:p>
        </w:tc>
      </w:tr>
      <w:tr w:rsidR="00902D7C" w14:paraId="133F6D5E" w14:textId="77777777">
        <w:tc>
          <w:tcPr>
            <w:tcW w:w="1980" w:type="dxa"/>
          </w:tcPr>
          <w:p w14:paraId="0BF3C417" w14:textId="77777777" w:rsidR="00902D7C" w:rsidRDefault="00717CD7">
            <w:pPr>
              <w:spacing w:before="120" w:after="0"/>
              <w:rPr>
                <w:rFonts w:ascii="Arial" w:hAnsi="Arial" w:cs="Arial"/>
              </w:rPr>
            </w:pPr>
            <w:r>
              <w:rPr>
                <w:rFonts w:ascii="Arial" w:hAnsi="Arial" w:cs="Arial"/>
              </w:rPr>
              <w:t>Ericsson</w:t>
            </w:r>
          </w:p>
        </w:tc>
        <w:tc>
          <w:tcPr>
            <w:tcW w:w="1134" w:type="dxa"/>
          </w:tcPr>
          <w:p w14:paraId="21B65FD4" w14:textId="77777777" w:rsidR="00902D7C" w:rsidRDefault="00717CD7">
            <w:pPr>
              <w:spacing w:before="120" w:after="0"/>
              <w:rPr>
                <w:rFonts w:ascii="Arial" w:hAnsi="Arial" w:cs="Arial"/>
              </w:rPr>
            </w:pPr>
            <w:r>
              <w:rPr>
                <w:rFonts w:ascii="Arial" w:hAnsi="Arial" w:cs="Arial"/>
              </w:rPr>
              <w:t>No</w:t>
            </w:r>
          </w:p>
        </w:tc>
        <w:tc>
          <w:tcPr>
            <w:tcW w:w="6515" w:type="dxa"/>
          </w:tcPr>
          <w:p w14:paraId="6C8707B4" w14:textId="77777777" w:rsidR="00902D7C" w:rsidRDefault="00717CD7">
            <w:pPr>
              <w:spacing w:before="120" w:after="0"/>
              <w:rPr>
                <w:rFonts w:ascii="Arial" w:hAnsi="Arial" w:cs="Arial"/>
              </w:rPr>
            </w:pPr>
            <w:r>
              <w:rPr>
                <w:rFonts w:ascii="Arial" w:hAnsi="Arial" w:cs="Arial"/>
              </w:rPr>
              <w:t>RVQoE is for real-time reporting and the time is not needed as the gNB knows the time when it gets it. For legacy QoE the values are received in a file often after the session and then it is relevant to have a list with time stamp, but not for RVQoE.</w:t>
            </w:r>
          </w:p>
        </w:tc>
      </w:tr>
      <w:tr w:rsidR="00902D7C" w14:paraId="0110519D" w14:textId="77777777">
        <w:tc>
          <w:tcPr>
            <w:tcW w:w="1980" w:type="dxa"/>
          </w:tcPr>
          <w:p w14:paraId="03537510" w14:textId="77777777" w:rsidR="00902D7C" w:rsidRDefault="00717CD7">
            <w:pPr>
              <w:spacing w:before="120" w:after="0"/>
              <w:rPr>
                <w:rFonts w:ascii="Arial" w:hAnsi="Arial" w:cs="Arial"/>
              </w:rPr>
            </w:pPr>
            <w:r>
              <w:rPr>
                <w:rFonts w:ascii="Arial" w:hAnsi="Arial" w:cs="Arial"/>
              </w:rPr>
              <w:t>N</w:t>
            </w:r>
            <w:r>
              <w:t>okia</w:t>
            </w:r>
          </w:p>
        </w:tc>
        <w:tc>
          <w:tcPr>
            <w:tcW w:w="1134" w:type="dxa"/>
          </w:tcPr>
          <w:p w14:paraId="33BE85FC" w14:textId="77777777" w:rsidR="00902D7C" w:rsidRDefault="00717CD7">
            <w:pPr>
              <w:spacing w:before="120" w:after="0"/>
              <w:rPr>
                <w:rFonts w:ascii="Arial" w:hAnsi="Arial" w:cs="Arial"/>
              </w:rPr>
            </w:pPr>
            <w:r>
              <w:rPr>
                <w:rFonts w:ascii="Arial" w:hAnsi="Arial" w:cs="Arial"/>
              </w:rPr>
              <w:t>No</w:t>
            </w:r>
          </w:p>
        </w:tc>
        <w:tc>
          <w:tcPr>
            <w:tcW w:w="6515" w:type="dxa"/>
          </w:tcPr>
          <w:p w14:paraId="2F26DD9B" w14:textId="77777777" w:rsidR="00902D7C" w:rsidRDefault="00717CD7">
            <w:pPr>
              <w:spacing w:before="120" w:after="0"/>
              <w:rPr>
                <w:rFonts w:ascii="Arial" w:hAnsi="Arial" w:cs="Arial"/>
              </w:rPr>
            </w:pPr>
            <w:r>
              <w:rPr>
                <w:rFonts w:ascii="Arial" w:hAnsi="Arial" w:cs="Arial"/>
              </w:rPr>
              <w:t>See answer to Q4</w:t>
            </w:r>
          </w:p>
        </w:tc>
      </w:tr>
      <w:tr w:rsidR="00902D7C" w14:paraId="60E0E21B" w14:textId="77777777">
        <w:tc>
          <w:tcPr>
            <w:tcW w:w="1980" w:type="dxa"/>
          </w:tcPr>
          <w:p w14:paraId="6A17A064"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7710A8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36AE899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Our understanding is that it is unnecessary to report every t associated with each integer level. But the start time of the buffer level measurement should be reported to NG-RAN so that NG-RAN knows the exact time the measurement begins. And how to encode the start time can be FFS.</w:t>
            </w:r>
          </w:p>
        </w:tc>
      </w:tr>
      <w:tr w:rsidR="00902D7C" w14:paraId="015F2926" w14:textId="77777777">
        <w:tc>
          <w:tcPr>
            <w:tcW w:w="1980" w:type="dxa"/>
          </w:tcPr>
          <w:p w14:paraId="2E4F22DE" w14:textId="77777777" w:rsidR="00902D7C" w:rsidRDefault="00717CD7">
            <w:pPr>
              <w:spacing w:before="120" w:after="0"/>
              <w:rPr>
                <w:rFonts w:ascii="Arial" w:hAnsi="Arial" w:cs="Arial"/>
              </w:rPr>
            </w:pPr>
            <w:r>
              <w:rPr>
                <w:rFonts w:ascii="Arial" w:hAnsi="Arial" w:cs="Arial"/>
              </w:rPr>
              <w:t>Qualcomm</w:t>
            </w:r>
          </w:p>
        </w:tc>
        <w:tc>
          <w:tcPr>
            <w:tcW w:w="1134" w:type="dxa"/>
          </w:tcPr>
          <w:p w14:paraId="2CF95832" w14:textId="77777777" w:rsidR="00902D7C" w:rsidRDefault="00717CD7">
            <w:pPr>
              <w:spacing w:before="120" w:after="0"/>
              <w:rPr>
                <w:rFonts w:ascii="Arial" w:hAnsi="Arial" w:cs="Arial"/>
              </w:rPr>
            </w:pPr>
            <w:r>
              <w:rPr>
                <w:rFonts w:ascii="Arial" w:hAnsi="Arial" w:cs="Arial"/>
              </w:rPr>
              <w:t>FFS</w:t>
            </w:r>
          </w:p>
        </w:tc>
        <w:tc>
          <w:tcPr>
            <w:tcW w:w="6515" w:type="dxa"/>
          </w:tcPr>
          <w:p w14:paraId="74B93CD2" w14:textId="77777777" w:rsidR="00902D7C" w:rsidRDefault="00717CD7">
            <w:pPr>
              <w:spacing w:before="120" w:after="0"/>
              <w:rPr>
                <w:rFonts w:ascii="Arial" w:hAnsi="Arial" w:cs="Arial"/>
              </w:rPr>
            </w:pPr>
            <w:r>
              <w:rPr>
                <w:rFonts w:ascii="Arial" w:hAnsi="Arial" w:cs="Arial"/>
              </w:rPr>
              <w:t>The t value is about 40bit-length (to second), actually, the main issue is we don’t know how the gNB use the measurements.</w:t>
            </w:r>
          </w:p>
        </w:tc>
      </w:tr>
      <w:tr w:rsidR="00902D7C" w14:paraId="47674680" w14:textId="77777777">
        <w:tc>
          <w:tcPr>
            <w:tcW w:w="1980" w:type="dxa"/>
          </w:tcPr>
          <w:p w14:paraId="3ABA36CD" w14:textId="77777777" w:rsidR="00902D7C" w:rsidRDefault="00717CD7">
            <w:pPr>
              <w:spacing w:before="120" w:after="0"/>
              <w:rPr>
                <w:rFonts w:ascii="Arial" w:hAnsi="Arial" w:cs="Arial"/>
              </w:rPr>
            </w:pPr>
            <w:r>
              <w:rPr>
                <w:rFonts w:ascii="Arial" w:hAnsi="Arial" w:cs="Arial"/>
              </w:rPr>
              <w:t>vivo</w:t>
            </w:r>
          </w:p>
        </w:tc>
        <w:tc>
          <w:tcPr>
            <w:tcW w:w="1134" w:type="dxa"/>
          </w:tcPr>
          <w:p w14:paraId="14D51F75" w14:textId="77777777" w:rsidR="00902D7C" w:rsidRDefault="00717CD7">
            <w:pPr>
              <w:spacing w:before="120" w:after="0"/>
              <w:rPr>
                <w:rFonts w:ascii="Arial" w:hAnsi="Arial" w:cs="Arial"/>
              </w:rPr>
            </w:pPr>
            <w:r>
              <w:rPr>
                <w:rFonts w:ascii="Arial" w:hAnsi="Arial" w:cs="Arial"/>
              </w:rPr>
              <w:t>Yes if the format of report is a list for Q4</w:t>
            </w:r>
          </w:p>
        </w:tc>
        <w:tc>
          <w:tcPr>
            <w:tcW w:w="6515" w:type="dxa"/>
          </w:tcPr>
          <w:p w14:paraId="4F24874C" w14:textId="77777777" w:rsidR="00902D7C" w:rsidRDefault="00717CD7">
            <w:pPr>
              <w:spacing w:before="120" w:after="0"/>
              <w:rPr>
                <w:rFonts w:ascii="Arial" w:hAnsi="Arial" w:cs="Arial"/>
              </w:rPr>
            </w:pPr>
            <w:r>
              <w:rPr>
                <w:rFonts w:ascii="Arial" w:hAnsi="Arial" w:cs="Arial"/>
              </w:rPr>
              <w:t>If the buffer level is a list, then the t is essential to identify each buffer value. As to the overhead issue, the t can be reformulated to a format of MM:SS, which are about 16 bits.</w:t>
            </w:r>
          </w:p>
        </w:tc>
      </w:tr>
      <w:tr w:rsidR="00902D7C" w14:paraId="5D56D9FD" w14:textId="77777777">
        <w:tc>
          <w:tcPr>
            <w:tcW w:w="1980" w:type="dxa"/>
          </w:tcPr>
          <w:p w14:paraId="600878C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400F950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FFS</w:t>
            </w:r>
          </w:p>
        </w:tc>
        <w:tc>
          <w:tcPr>
            <w:tcW w:w="6515" w:type="dxa"/>
          </w:tcPr>
          <w:p w14:paraId="30D45893"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L</w:t>
            </w:r>
            <w:r>
              <w:rPr>
                <w:rFonts w:ascii="Arial" w:eastAsiaTheme="minorEastAsia" w:hAnsi="Arial" w:cs="Arial" w:hint="eastAsia"/>
                <w:lang w:eastAsia="zh-CN"/>
              </w:rPr>
              <w:t xml:space="preserve">ooks it is needed. </w:t>
            </w:r>
            <w:r>
              <w:rPr>
                <w:rFonts w:ascii="Arial" w:eastAsiaTheme="minorEastAsia" w:hAnsi="Arial" w:cs="Arial"/>
                <w:lang w:eastAsia="zh-CN"/>
              </w:rPr>
              <w:t>W</w:t>
            </w:r>
            <w:r>
              <w:rPr>
                <w:rFonts w:ascii="Arial" w:eastAsiaTheme="minorEastAsia" w:hAnsi="Arial" w:cs="Arial" w:hint="eastAsia"/>
                <w:lang w:eastAsia="zh-CN"/>
              </w:rPr>
              <w:t xml:space="preserve">e need study how to encode it or ask SA4 whether can use other format for this. </w:t>
            </w:r>
            <w:r>
              <w:rPr>
                <w:rFonts w:ascii="Arial" w:eastAsiaTheme="minorEastAsia" w:hAnsi="Arial" w:cs="Arial"/>
                <w:lang w:eastAsia="zh-CN"/>
              </w:rPr>
              <w:t>F</w:t>
            </w:r>
            <w:r>
              <w:rPr>
                <w:rFonts w:ascii="Arial" w:eastAsiaTheme="minorEastAsia" w:hAnsi="Arial" w:cs="Arial" w:hint="eastAsia"/>
                <w:lang w:eastAsia="zh-CN"/>
              </w:rPr>
              <w:t xml:space="preserve">or example, use the relative time </w:t>
            </w:r>
          </w:p>
        </w:tc>
      </w:tr>
      <w:tr w:rsidR="00632198" w14:paraId="2BC5C377" w14:textId="77777777">
        <w:tc>
          <w:tcPr>
            <w:tcW w:w="1980" w:type="dxa"/>
          </w:tcPr>
          <w:p w14:paraId="6176D0F0" w14:textId="042FB063" w:rsidR="00632198" w:rsidRDefault="00632198">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263A6047" w14:textId="5B6DB7D9" w:rsidR="00632198" w:rsidRDefault="00632198">
            <w:pPr>
              <w:spacing w:before="120"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15" w:type="dxa"/>
          </w:tcPr>
          <w:p w14:paraId="288C5C83" w14:textId="387CB36C" w:rsidR="00632198" w:rsidRDefault="00632198">
            <w:pPr>
              <w:spacing w:before="120" w:after="0"/>
              <w:rPr>
                <w:rFonts w:ascii="Arial" w:eastAsiaTheme="minorEastAsia" w:hAnsi="Arial" w:cs="Arial"/>
                <w:lang w:eastAsia="zh-CN"/>
              </w:rPr>
            </w:pPr>
            <w:r>
              <w:rPr>
                <w:rFonts w:ascii="Arial" w:eastAsiaTheme="minorEastAsia" w:hAnsi="Arial" w:cs="Arial"/>
                <w:lang w:eastAsia="zh-CN"/>
              </w:rPr>
              <w:t>Agree with Ericsson.</w:t>
            </w:r>
          </w:p>
        </w:tc>
      </w:tr>
      <w:tr w:rsidR="008A22DE" w14:paraId="48A41B2F" w14:textId="77777777">
        <w:tc>
          <w:tcPr>
            <w:tcW w:w="1980" w:type="dxa"/>
          </w:tcPr>
          <w:p w14:paraId="5B6E1A20" w14:textId="244E3102"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29ED37C3" w14:textId="66BAD3B8"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No</w:t>
            </w:r>
          </w:p>
        </w:tc>
        <w:tc>
          <w:tcPr>
            <w:tcW w:w="6515" w:type="dxa"/>
          </w:tcPr>
          <w:p w14:paraId="0C80EA2B" w14:textId="28592A50"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See comment</w:t>
            </w:r>
            <w:r>
              <w:rPr>
                <w:rFonts w:ascii="Arial" w:hAnsi="Arial" w:cs="Arial"/>
                <w:lang w:eastAsia="ko-KR"/>
              </w:rPr>
              <w:t>s</w:t>
            </w:r>
            <w:r>
              <w:rPr>
                <w:rFonts w:ascii="Arial" w:hAnsi="Arial" w:cs="Arial" w:hint="eastAsia"/>
                <w:lang w:eastAsia="ko-KR"/>
              </w:rPr>
              <w:t xml:space="preserve"> in</w:t>
            </w:r>
            <w:r>
              <w:rPr>
                <w:rFonts w:ascii="Arial" w:hAnsi="Arial" w:cs="Arial"/>
                <w:lang w:eastAsia="ko-KR"/>
              </w:rPr>
              <w:t xml:space="preserve"> Q4.</w:t>
            </w:r>
          </w:p>
        </w:tc>
      </w:tr>
      <w:tr w:rsidR="00196771" w14:paraId="20C5422F" w14:textId="77777777">
        <w:tc>
          <w:tcPr>
            <w:tcW w:w="1980" w:type="dxa"/>
          </w:tcPr>
          <w:p w14:paraId="78FE70C1" w14:textId="5E208F2F"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543890C7" w14:textId="2221EE8B" w:rsidR="00196771" w:rsidRDefault="00196771" w:rsidP="00196771">
            <w:pPr>
              <w:spacing w:before="120" w:after="0"/>
              <w:rPr>
                <w:rFonts w:ascii="Arial" w:hAnsi="Arial" w:cs="Arial"/>
                <w:lang w:eastAsia="ko-KR"/>
              </w:rPr>
            </w:pPr>
            <w:r>
              <w:rPr>
                <w:rFonts w:ascii="Arial" w:eastAsia="PMingLiU" w:hAnsi="Arial" w:cs="Arial" w:hint="eastAsia"/>
                <w:lang w:eastAsia="zh-TW"/>
              </w:rPr>
              <w:t>N</w:t>
            </w:r>
            <w:r>
              <w:rPr>
                <w:rFonts w:ascii="Arial" w:eastAsia="PMingLiU" w:hAnsi="Arial" w:cs="Arial"/>
                <w:lang w:eastAsia="zh-TW"/>
              </w:rPr>
              <w:t>o</w:t>
            </w:r>
          </w:p>
        </w:tc>
        <w:tc>
          <w:tcPr>
            <w:tcW w:w="6515" w:type="dxa"/>
          </w:tcPr>
          <w:p w14:paraId="1916F517" w14:textId="77777777" w:rsidR="00196771" w:rsidRDefault="00196771" w:rsidP="00196771">
            <w:pPr>
              <w:spacing w:before="120" w:after="0"/>
              <w:rPr>
                <w:rFonts w:ascii="Arial" w:hAnsi="Arial" w:cs="Arial"/>
                <w:lang w:eastAsia="ko-KR"/>
              </w:rPr>
            </w:pPr>
          </w:p>
        </w:tc>
      </w:tr>
      <w:tr w:rsidR="00090D37" w14:paraId="095B04A3" w14:textId="77777777">
        <w:tc>
          <w:tcPr>
            <w:tcW w:w="1980" w:type="dxa"/>
          </w:tcPr>
          <w:p w14:paraId="69658313" w14:textId="57EA8C39" w:rsidR="00090D37" w:rsidRDefault="00090D37" w:rsidP="00090D37">
            <w:pPr>
              <w:spacing w:before="120" w:after="0"/>
              <w:rPr>
                <w:rFonts w:ascii="Arial" w:eastAsia="PMingLiU" w:hAnsi="Arial" w:cs="Arial" w:hint="eastAsia"/>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766271D3" w14:textId="5C123F1F" w:rsidR="00090D37" w:rsidRDefault="00090D37" w:rsidP="00090D37">
            <w:pPr>
              <w:spacing w:before="120" w:after="0"/>
              <w:rPr>
                <w:rFonts w:ascii="Arial" w:eastAsia="PMingLiU" w:hAnsi="Arial" w:cs="Arial" w:hint="eastAsia"/>
                <w:lang w:eastAsia="zh-TW"/>
              </w:rPr>
            </w:pPr>
            <w:r>
              <w:rPr>
                <w:rFonts w:ascii="Arial" w:eastAsiaTheme="minorEastAsia" w:hAnsi="Arial" w:cs="Arial" w:hint="eastAsia"/>
                <w:lang w:eastAsia="zh-CN"/>
              </w:rPr>
              <w:t>F</w:t>
            </w:r>
            <w:r>
              <w:rPr>
                <w:rFonts w:ascii="Arial" w:eastAsiaTheme="minorEastAsia" w:hAnsi="Arial" w:cs="Arial"/>
                <w:lang w:eastAsia="zh-CN"/>
              </w:rPr>
              <w:t>FS</w:t>
            </w:r>
          </w:p>
        </w:tc>
        <w:tc>
          <w:tcPr>
            <w:tcW w:w="6515" w:type="dxa"/>
          </w:tcPr>
          <w:p w14:paraId="39B5AA82" w14:textId="430C6EFD" w:rsidR="00090D37" w:rsidRDefault="00090D37" w:rsidP="00090D37">
            <w:pPr>
              <w:spacing w:before="120" w:after="0"/>
              <w:rPr>
                <w:rFonts w:ascii="Arial" w:hAnsi="Arial" w:cs="Arial"/>
                <w:lang w:eastAsia="ko-KR"/>
              </w:rPr>
            </w:pPr>
            <w:r>
              <w:rPr>
                <w:rFonts w:ascii="Arial" w:eastAsiaTheme="minorEastAsia" w:hAnsi="Arial" w:cs="Arial" w:hint="eastAsia"/>
                <w:lang w:eastAsia="zh-CN"/>
              </w:rPr>
              <w:t>W</w:t>
            </w:r>
            <w:r>
              <w:rPr>
                <w:rFonts w:ascii="Arial" w:eastAsiaTheme="minorEastAsia" w:hAnsi="Arial" w:cs="Arial"/>
                <w:lang w:eastAsia="zh-CN"/>
              </w:rPr>
              <w:t xml:space="preserve">e are not sure about the benefits to add the </w:t>
            </w:r>
            <w:proofErr w:type="gramStart"/>
            <w:r>
              <w:rPr>
                <w:rFonts w:ascii="Arial" w:eastAsiaTheme="minorEastAsia" w:hAnsi="Arial" w:cs="Arial"/>
                <w:lang w:eastAsia="zh-CN"/>
              </w:rPr>
              <w:t>parameter ‘t’</w:t>
            </w:r>
            <w:proofErr w:type="gramEnd"/>
            <w:r>
              <w:rPr>
                <w:rFonts w:ascii="Arial" w:eastAsiaTheme="minorEastAsia" w:hAnsi="Arial" w:cs="Arial"/>
                <w:lang w:eastAsia="zh-CN"/>
              </w:rPr>
              <w:t>.</w:t>
            </w:r>
          </w:p>
        </w:tc>
      </w:tr>
    </w:tbl>
    <w:p w14:paraId="67F5AFE6" w14:textId="77777777" w:rsidR="00902D7C" w:rsidRDefault="00717CD7">
      <w:pPr>
        <w:spacing w:before="120"/>
        <w:rPr>
          <w:rFonts w:ascii="Arial" w:hAnsi="Arial" w:cs="Arial"/>
        </w:rPr>
      </w:pPr>
      <w:r>
        <w:rPr>
          <w:rFonts w:ascii="Arial" w:hAnsi="Arial" w:cs="Arial"/>
        </w:rPr>
        <w:t xml:space="preserve">As ISO/IEC 23009-1 defined, the parameter “level” is defined in milliseconds. In order to save reporting signalling, it is worthy to define a value range for “level” reporting. it is understood the buffer level value will assist gNB schedule for downlink data, and it is expected the gNB will not buffer the downlink data for a long time. From user experience point of view, it is enough if the maximum buffer level is about 10 minutes and </w:t>
      </w:r>
      <w:proofErr w:type="gramStart"/>
      <w:r>
        <w:rPr>
          <w:rFonts w:ascii="Arial" w:hAnsi="Arial" w:cs="Arial"/>
        </w:rPr>
        <w:t>more larger</w:t>
      </w:r>
      <w:proofErr w:type="gramEnd"/>
      <w:r>
        <w:rPr>
          <w:rFonts w:ascii="Arial" w:hAnsi="Arial" w:cs="Arial"/>
        </w:rPr>
        <w:t xml:space="preserve"> value does not provide additional useful information to gNB. </w:t>
      </w:r>
    </w:p>
    <w:p w14:paraId="576A0776" w14:textId="77777777" w:rsidR="00902D7C" w:rsidRDefault="00717CD7">
      <w:pPr>
        <w:spacing w:before="120"/>
        <w:rPr>
          <w:rFonts w:ascii="Arial" w:hAnsi="Arial" w:cs="Arial"/>
        </w:rPr>
      </w:pPr>
      <w:r>
        <w:rPr>
          <w:rFonts w:ascii="Arial" w:hAnsi="Arial" w:cs="Arial"/>
        </w:rPr>
        <w:t xml:space="preserve">Another issue is what is the denotation for each integer value, that means value 1 corresponds to 1 millisecond, 10 millisecond, 100 millisecond, or 1 second. With </w:t>
      </w:r>
      <w:proofErr w:type="gramStart"/>
      <w:r>
        <w:rPr>
          <w:rFonts w:ascii="Arial" w:hAnsi="Arial" w:cs="Arial"/>
        </w:rPr>
        <w:t>more larger</w:t>
      </w:r>
      <w:proofErr w:type="gramEnd"/>
      <w:r>
        <w:rPr>
          <w:rFonts w:ascii="Arial" w:hAnsi="Arial" w:cs="Arial"/>
        </w:rPr>
        <w:t xml:space="preserve"> granularity, the signalling overhead is more less.  </w:t>
      </w:r>
    </w:p>
    <w:p w14:paraId="19AD0BD7" w14:textId="77777777" w:rsidR="00902D7C" w:rsidRDefault="00717CD7">
      <w:pPr>
        <w:spacing w:before="120"/>
        <w:rPr>
          <w:rFonts w:ascii="Arial" w:hAnsi="Arial" w:cs="Arial"/>
          <w:b/>
          <w:bCs/>
        </w:rPr>
      </w:pPr>
      <w:r>
        <w:rPr>
          <w:rFonts w:ascii="Arial" w:hAnsi="Arial" w:cs="Arial"/>
          <w:b/>
          <w:bCs/>
        </w:rPr>
        <w:lastRenderedPageBreak/>
        <w:t>Q6: Companies please provide view on the RRC value range and denotation of each integer value for parameter “level”.</w:t>
      </w:r>
    </w:p>
    <w:tbl>
      <w:tblPr>
        <w:tblStyle w:val="af"/>
        <w:tblW w:w="0" w:type="auto"/>
        <w:tblLook w:val="04A0" w:firstRow="1" w:lastRow="0" w:firstColumn="1" w:lastColumn="0" w:noHBand="0" w:noVBand="1"/>
      </w:tblPr>
      <w:tblGrid>
        <w:gridCol w:w="1980"/>
        <w:gridCol w:w="6515"/>
      </w:tblGrid>
      <w:tr w:rsidR="00902D7C" w14:paraId="6DD620D8" w14:textId="77777777">
        <w:tc>
          <w:tcPr>
            <w:tcW w:w="1980" w:type="dxa"/>
          </w:tcPr>
          <w:p w14:paraId="1EAC0602"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486F3878" w14:textId="77777777" w:rsidR="00902D7C" w:rsidRDefault="00717CD7">
            <w:pPr>
              <w:spacing w:before="120" w:after="0"/>
              <w:jc w:val="center"/>
              <w:rPr>
                <w:rFonts w:ascii="Arial" w:hAnsi="Arial" w:cs="Arial"/>
                <w:b/>
              </w:rPr>
            </w:pPr>
            <w:r>
              <w:rPr>
                <w:rFonts w:ascii="Arial" w:hAnsi="Arial" w:cs="Arial"/>
                <w:b/>
              </w:rPr>
              <w:t>Views</w:t>
            </w:r>
          </w:p>
        </w:tc>
      </w:tr>
      <w:tr w:rsidR="00902D7C" w14:paraId="0C139CE3" w14:textId="77777777">
        <w:tc>
          <w:tcPr>
            <w:tcW w:w="1980" w:type="dxa"/>
          </w:tcPr>
          <w:p w14:paraId="4AB6E2B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6524AE8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We are open about the values, and we think that the maximum buffer level should be corresponding to a certain granularity, which can reduce the overhead. </w:t>
            </w:r>
          </w:p>
          <w:p w14:paraId="4B48F472" w14:textId="77777777" w:rsidR="00902D7C" w:rsidRDefault="00902D7C">
            <w:pPr>
              <w:spacing w:before="120" w:after="0"/>
              <w:rPr>
                <w:rFonts w:ascii="Arial" w:eastAsiaTheme="minorEastAsia" w:hAnsi="Arial" w:cs="Arial"/>
                <w:lang w:eastAsia="zh-CN"/>
              </w:rPr>
            </w:pPr>
          </w:p>
          <w:p w14:paraId="48D68D1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69F040E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 </w:t>
            </w:r>
            <w:r>
              <w:rPr>
                <w:rFonts w:ascii="Arial" w:eastAsiaTheme="minorEastAsia" w:hAnsi="Arial" w:cs="Arial"/>
                <w:lang w:eastAsia="zh-CN"/>
              </w:rPr>
              <w:t xml:space="preserve">               Max buffer level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40F63CE0"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1ms                                  20 bits</w:t>
            </w:r>
          </w:p>
          <w:p w14:paraId="418A333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Values     10min                             10ms                                16 bits </w:t>
            </w:r>
          </w:p>
          <w:p w14:paraId="6DDCB18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100ms                              13 bits</w:t>
            </w:r>
          </w:p>
          <w:p w14:paraId="469295D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10min                             1000ms                            10 bits</w:t>
            </w:r>
          </w:p>
          <w:p w14:paraId="008BACEF" w14:textId="77777777" w:rsidR="00902D7C" w:rsidRDefault="00902D7C">
            <w:pPr>
              <w:spacing w:before="120" w:after="0"/>
              <w:rPr>
                <w:rFonts w:ascii="Arial" w:eastAsiaTheme="minorEastAsia" w:hAnsi="Arial" w:cs="Arial"/>
                <w:lang w:eastAsia="zh-CN"/>
              </w:rPr>
            </w:pPr>
          </w:p>
          <w:p w14:paraId="0975ED0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slightly prefer 10min+10ms as it can provide enough information and reasonable overhead.</w:t>
            </w:r>
          </w:p>
        </w:tc>
      </w:tr>
      <w:tr w:rsidR="00902D7C" w14:paraId="33A9D0FC" w14:textId="77777777">
        <w:tc>
          <w:tcPr>
            <w:tcW w:w="1980" w:type="dxa"/>
          </w:tcPr>
          <w:p w14:paraId="67765FEE" w14:textId="77777777" w:rsidR="00902D7C" w:rsidRDefault="00717CD7">
            <w:pPr>
              <w:spacing w:before="120" w:after="0"/>
              <w:rPr>
                <w:rFonts w:ascii="Arial" w:hAnsi="Arial" w:cs="Arial"/>
              </w:rPr>
            </w:pPr>
            <w:r>
              <w:rPr>
                <w:rFonts w:ascii="Arial" w:hAnsi="Arial" w:cs="Arial"/>
              </w:rPr>
              <w:t>Ericsson</w:t>
            </w:r>
          </w:p>
        </w:tc>
        <w:tc>
          <w:tcPr>
            <w:tcW w:w="6515" w:type="dxa"/>
          </w:tcPr>
          <w:p w14:paraId="434B1D24" w14:textId="77777777" w:rsidR="00902D7C" w:rsidRDefault="00717CD7">
            <w:pPr>
              <w:spacing w:before="120" w:after="0"/>
              <w:rPr>
                <w:rFonts w:ascii="Arial" w:hAnsi="Arial" w:cs="Arial"/>
              </w:rPr>
            </w:pPr>
            <w:r>
              <w:rPr>
                <w:rFonts w:ascii="Arial" w:hAnsi="Arial" w:cs="Arial"/>
              </w:rPr>
              <w:t xml:space="preserve">We think the granularity can be </w:t>
            </w:r>
            <w:proofErr w:type="spellStart"/>
            <w:r>
              <w:rPr>
                <w:rFonts w:ascii="Arial" w:hAnsi="Arial" w:cs="Arial"/>
              </w:rPr>
              <w:t>ms</w:t>
            </w:r>
            <w:proofErr w:type="spellEnd"/>
            <w:r>
              <w:rPr>
                <w:rFonts w:ascii="Arial" w:hAnsi="Arial" w:cs="Arial"/>
              </w:rPr>
              <w:t>, a few bits don’t matter so much.</w:t>
            </w:r>
          </w:p>
        </w:tc>
      </w:tr>
      <w:tr w:rsidR="00902D7C" w14:paraId="5670A3B9" w14:textId="77777777">
        <w:tc>
          <w:tcPr>
            <w:tcW w:w="1980" w:type="dxa"/>
          </w:tcPr>
          <w:p w14:paraId="14C32466" w14:textId="77777777" w:rsidR="00902D7C" w:rsidRDefault="00717CD7">
            <w:pPr>
              <w:spacing w:before="120" w:after="0"/>
              <w:rPr>
                <w:rFonts w:ascii="Arial" w:hAnsi="Arial" w:cs="Arial"/>
              </w:rPr>
            </w:pPr>
            <w:r>
              <w:rPr>
                <w:rFonts w:ascii="Arial" w:hAnsi="Arial" w:cs="Arial"/>
              </w:rPr>
              <w:t>Nokia</w:t>
            </w:r>
          </w:p>
        </w:tc>
        <w:tc>
          <w:tcPr>
            <w:tcW w:w="6515" w:type="dxa"/>
          </w:tcPr>
          <w:p w14:paraId="1D581029"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Wait for configuration details provided by RAN3. Furthermore, the value will be given by Application Layer, and AS is only forwarding it to the Network.</w:t>
            </w:r>
            <w:r>
              <w:rPr>
                <w:rStyle w:val="eop"/>
                <w:rFonts w:ascii="Arial" w:hAnsi="Arial" w:cs="Arial"/>
                <w:color w:val="000000"/>
                <w:shd w:val="clear" w:color="auto" w:fill="FFFFFF"/>
              </w:rPr>
              <w:t> </w:t>
            </w:r>
          </w:p>
        </w:tc>
      </w:tr>
      <w:tr w:rsidR="00902D7C" w14:paraId="77BC50E2" w14:textId="77777777">
        <w:tc>
          <w:tcPr>
            <w:tcW w:w="1980" w:type="dxa"/>
          </w:tcPr>
          <w:p w14:paraId="3A45DE34" w14:textId="77777777" w:rsidR="00902D7C" w:rsidRDefault="00717CD7">
            <w:pPr>
              <w:spacing w:before="120" w:after="0"/>
              <w:rPr>
                <w:rFonts w:ascii="Arial" w:hAnsi="Arial" w:cs="Arial"/>
              </w:rPr>
            </w:pPr>
            <w:r>
              <w:rPr>
                <w:rFonts w:ascii="Arial" w:hAnsi="Arial" w:cs="Arial"/>
              </w:rPr>
              <w:t>T-Mobile, USA</w:t>
            </w:r>
          </w:p>
        </w:tc>
        <w:tc>
          <w:tcPr>
            <w:tcW w:w="6515" w:type="dxa"/>
          </w:tcPr>
          <w:p w14:paraId="256A3D3F" w14:textId="77777777" w:rsidR="00902D7C" w:rsidRDefault="00717CD7">
            <w:pPr>
              <w:spacing w:before="120" w:after="0"/>
              <w:rPr>
                <w:rFonts w:ascii="Arial" w:hAnsi="Arial" w:cs="Arial"/>
              </w:rPr>
            </w:pPr>
            <w:r>
              <w:rPr>
                <w:rFonts w:ascii="Arial" w:hAnsi="Arial" w:cs="Arial"/>
              </w:rPr>
              <w:t>Granularity is more important than the max. buffer level. If trade-offs have to be made, we prefer greater granularity.</w:t>
            </w:r>
          </w:p>
        </w:tc>
      </w:tr>
      <w:tr w:rsidR="00902D7C" w14:paraId="5C1DD6DB" w14:textId="77777777">
        <w:tc>
          <w:tcPr>
            <w:tcW w:w="1980" w:type="dxa"/>
          </w:tcPr>
          <w:p w14:paraId="0E77D46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261B64D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The detailed </w:t>
            </w:r>
            <w:r>
              <w:rPr>
                <w:rFonts w:ascii="Arial" w:eastAsiaTheme="minorEastAsia" w:hAnsi="Arial" w:cs="Arial"/>
                <w:lang w:eastAsia="zh-CN"/>
              </w:rPr>
              <w:t>signalling</w:t>
            </w:r>
            <w:r>
              <w:rPr>
                <w:rFonts w:ascii="Arial" w:eastAsiaTheme="minorEastAsia" w:hAnsi="Arial" w:cs="Arial" w:hint="eastAsia"/>
                <w:lang w:eastAsia="zh-CN"/>
              </w:rPr>
              <w:t>, including the granularity and overhead are within the scope of RAN2.</w:t>
            </w:r>
          </w:p>
          <w:p w14:paraId="03F7FFD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We</w:t>
            </w:r>
            <w:r>
              <w:rPr>
                <w:rFonts w:ascii="Arial" w:eastAsiaTheme="minorEastAsia" w:hAnsi="Arial" w:cs="Arial"/>
                <w:lang w:eastAsia="zh-CN"/>
              </w:rPr>
              <w:t xml:space="preserve"> support 1ms granularity, and 10ms granularity is also acceptable.</w:t>
            </w:r>
          </w:p>
        </w:tc>
      </w:tr>
      <w:tr w:rsidR="00902D7C" w14:paraId="6C093B66" w14:textId="77777777">
        <w:tc>
          <w:tcPr>
            <w:tcW w:w="1980" w:type="dxa"/>
          </w:tcPr>
          <w:p w14:paraId="7FC878E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8D344F5"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We think 1s granularity is enough, and maximum level value can be 10min or 5min, then allow more level values to be reported. But we are fine with finer granularity if that is majority view.</w:t>
            </w:r>
          </w:p>
        </w:tc>
      </w:tr>
      <w:tr w:rsidR="00902D7C" w14:paraId="6E9CDA45" w14:textId="77777777">
        <w:tc>
          <w:tcPr>
            <w:tcW w:w="1980" w:type="dxa"/>
          </w:tcPr>
          <w:p w14:paraId="3938B470"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6515" w:type="dxa"/>
          </w:tcPr>
          <w:p w14:paraId="4F6EF43E" w14:textId="77777777" w:rsidR="00902D7C" w:rsidRDefault="00717CD7">
            <w:pPr>
              <w:spacing w:before="120" w:after="0"/>
              <w:rPr>
                <w:rFonts w:ascii="Arial" w:eastAsiaTheme="minorEastAsia" w:hAnsi="Arial" w:cs="Arial"/>
                <w:lang w:eastAsia="zh-CN"/>
              </w:rPr>
            </w:pPr>
            <w:r>
              <w:rPr>
                <w:rFonts w:ascii="Arial" w:hAnsi="Arial" w:cs="Arial"/>
              </w:rPr>
              <w:t>10ms – 1s is acceptable. But ok to follow the further guideline of RAN3, if any.</w:t>
            </w:r>
          </w:p>
        </w:tc>
      </w:tr>
      <w:tr w:rsidR="00902D7C" w14:paraId="10AE8DC0" w14:textId="77777777">
        <w:tc>
          <w:tcPr>
            <w:tcW w:w="1980" w:type="dxa"/>
          </w:tcPr>
          <w:p w14:paraId="126E6A8D"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30FA62D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w:t>
            </w:r>
            <w:r>
              <w:rPr>
                <w:rFonts w:ascii="Arial" w:eastAsiaTheme="minorEastAsia" w:hAnsi="Arial" w:cs="Arial" w:hint="eastAsia"/>
                <w:lang w:eastAsia="zh-CN"/>
              </w:rPr>
              <w:t>e may study t</w:t>
            </w:r>
            <w:r>
              <w:rPr>
                <w:rFonts w:ascii="Arial" w:eastAsiaTheme="minorEastAsia" w:hAnsi="Arial" w:cs="Arial"/>
                <w:lang w:eastAsia="zh-CN"/>
              </w:rPr>
              <w:t>he</w:t>
            </w:r>
            <w:r>
              <w:rPr>
                <w:rFonts w:ascii="Arial" w:eastAsiaTheme="minorEastAsia" w:hAnsi="Arial" w:cs="Arial" w:hint="eastAsia"/>
                <w:lang w:eastAsia="zh-CN"/>
              </w:rPr>
              <w:t xml:space="preserve"> </w:t>
            </w:r>
            <w:r>
              <w:rPr>
                <w:rFonts w:ascii="Arial" w:hAnsi="Arial" w:cs="Arial"/>
              </w:rPr>
              <w:t>granularity</w:t>
            </w:r>
            <w:r>
              <w:rPr>
                <w:rFonts w:ascii="Arial" w:eastAsiaTheme="minorEastAsia" w:hAnsi="Arial" w:cs="Arial" w:hint="eastAsia"/>
                <w:lang w:eastAsia="zh-CN"/>
              </w:rPr>
              <w:t xml:space="preserve"> impact on how </w:t>
            </w:r>
            <w:r>
              <w:rPr>
                <w:rFonts w:ascii="Arial" w:eastAsiaTheme="minorEastAsia" w:hAnsi="Arial" w:cs="Arial"/>
                <w:lang w:eastAsia="zh-CN"/>
              </w:rPr>
              <w:t>the</w:t>
            </w:r>
            <w:r>
              <w:rPr>
                <w:rFonts w:ascii="Arial" w:eastAsiaTheme="minorEastAsia" w:hAnsi="Arial" w:cs="Arial" w:hint="eastAsia"/>
                <w:lang w:eastAsia="zh-CN"/>
              </w:rPr>
              <w:t xml:space="preserve"> </w:t>
            </w:r>
            <w:proofErr w:type="spellStart"/>
            <w:r>
              <w:rPr>
                <w:rFonts w:ascii="Arial" w:eastAsiaTheme="minorEastAsia" w:hAnsi="Arial" w:cs="Arial" w:hint="eastAsia"/>
                <w:lang w:eastAsia="zh-CN"/>
              </w:rPr>
              <w:t>gNB</w:t>
            </w:r>
            <w:proofErr w:type="spellEnd"/>
            <w:r>
              <w:rPr>
                <w:rFonts w:ascii="Arial" w:eastAsiaTheme="minorEastAsia" w:hAnsi="Arial" w:cs="Arial" w:hint="eastAsia"/>
                <w:lang w:eastAsia="zh-CN"/>
              </w:rPr>
              <w:t xml:space="preserve"> use the </w:t>
            </w:r>
            <w:proofErr w:type="spellStart"/>
            <w:r>
              <w:rPr>
                <w:rFonts w:ascii="Arial" w:eastAsiaTheme="minorEastAsia" w:hAnsi="Arial" w:cs="Arial" w:hint="eastAsia"/>
                <w:lang w:eastAsia="zh-CN"/>
              </w:rPr>
              <w:t>mertics</w:t>
            </w:r>
            <w:proofErr w:type="spellEnd"/>
          </w:p>
        </w:tc>
      </w:tr>
      <w:tr w:rsidR="00902D7C" w14:paraId="7F3F659C" w14:textId="77777777">
        <w:tc>
          <w:tcPr>
            <w:tcW w:w="1980" w:type="dxa"/>
          </w:tcPr>
          <w:p w14:paraId="1380C8B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hint="eastAsia"/>
                <w:lang w:val="en-US" w:eastAsia="zh-CN"/>
              </w:rPr>
              <w:t>ZTE</w:t>
            </w:r>
          </w:p>
        </w:tc>
        <w:tc>
          <w:tcPr>
            <w:tcW w:w="6515" w:type="dxa"/>
          </w:tcPr>
          <w:p w14:paraId="4EA085F2"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 xml:space="preserve">We think both granularity and max are important. </w:t>
            </w:r>
          </w:p>
        </w:tc>
      </w:tr>
      <w:tr w:rsidR="00BD7B48" w14:paraId="235B6AC9" w14:textId="77777777">
        <w:tc>
          <w:tcPr>
            <w:tcW w:w="1980" w:type="dxa"/>
          </w:tcPr>
          <w:p w14:paraId="7FD15E63" w14:textId="63666C04"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6515" w:type="dxa"/>
          </w:tcPr>
          <w:p w14:paraId="1E1EEC49" w14:textId="31B3592B"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1</w:t>
            </w:r>
            <w:r>
              <w:rPr>
                <w:rFonts w:ascii="Arial" w:eastAsiaTheme="minorEastAsia" w:hAnsi="Arial" w:cs="Arial"/>
                <w:lang w:val="en-US" w:eastAsia="zh-CN"/>
              </w:rPr>
              <w:t>s granularity is enough</w:t>
            </w:r>
          </w:p>
        </w:tc>
      </w:tr>
      <w:tr w:rsidR="008A22DE" w14:paraId="4925E986" w14:textId="77777777">
        <w:tc>
          <w:tcPr>
            <w:tcW w:w="1980" w:type="dxa"/>
          </w:tcPr>
          <w:p w14:paraId="088EF355" w14:textId="4FE9AC41"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6515" w:type="dxa"/>
          </w:tcPr>
          <w:p w14:paraId="6F19BAF3" w14:textId="5282140D"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 xml:space="preserve">We prefer </w:t>
            </w:r>
            <w:r>
              <w:rPr>
                <w:rFonts w:ascii="Arial" w:hAnsi="Arial" w:cs="Arial"/>
                <w:lang w:eastAsia="ko-KR"/>
              </w:rPr>
              <w:t>a</w:t>
            </w:r>
            <w:r>
              <w:rPr>
                <w:rFonts w:ascii="Arial" w:hAnsi="Arial" w:cs="Arial" w:hint="eastAsia"/>
                <w:lang w:eastAsia="ko-KR"/>
              </w:rPr>
              <w:t xml:space="preserve"> larger granularity fo</w:t>
            </w:r>
            <w:r>
              <w:rPr>
                <w:rFonts w:ascii="Arial" w:hAnsi="Arial" w:cs="Arial"/>
                <w:lang w:eastAsia="ko-KR"/>
              </w:rPr>
              <w:t>r reducing signalling overhead.</w:t>
            </w:r>
          </w:p>
        </w:tc>
      </w:tr>
      <w:tr w:rsidR="00196771" w14:paraId="64EF9E61" w14:textId="77777777">
        <w:tc>
          <w:tcPr>
            <w:tcW w:w="1980" w:type="dxa"/>
          </w:tcPr>
          <w:p w14:paraId="4369E068" w14:textId="195C61C6" w:rsidR="00196771" w:rsidRDefault="00196771" w:rsidP="00196771">
            <w:pPr>
              <w:spacing w:before="120" w:after="0"/>
              <w:rPr>
                <w:rFonts w:ascii="Arial" w:hAnsi="Arial" w:cs="Arial"/>
                <w:lang w:eastAsia="ko-KR"/>
              </w:rPr>
            </w:pPr>
            <w:r>
              <w:rPr>
                <w:rFonts w:ascii="Arial" w:eastAsia="PMingLiU" w:hAnsi="Arial" w:cs="Arial"/>
                <w:lang w:eastAsia="zh-TW"/>
              </w:rPr>
              <w:t>ITRI</w:t>
            </w:r>
          </w:p>
        </w:tc>
        <w:tc>
          <w:tcPr>
            <w:tcW w:w="6515" w:type="dxa"/>
          </w:tcPr>
          <w:p w14:paraId="4FD2CC2C" w14:textId="081F95D1" w:rsidR="00196771" w:rsidRDefault="00196771" w:rsidP="00196771">
            <w:pPr>
              <w:spacing w:before="120" w:after="0"/>
              <w:rPr>
                <w:rFonts w:ascii="Arial" w:hAnsi="Arial" w:cs="Arial"/>
                <w:lang w:eastAsia="ko-KR"/>
              </w:rPr>
            </w:pPr>
            <w:r>
              <w:rPr>
                <w:rFonts w:ascii="Arial" w:eastAsia="PMingLiU" w:hAnsi="Arial" w:cs="Arial" w:hint="eastAsia"/>
                <w:lang w:eastAsia="zh-TW"/>
              </w:rPr>
              <w:t>W</w:t>
            </w:r>
            <w:r>
              <w:rPr>
                <w:rFonts w:ascii="Arial" w:eastAsia="PMingLiU" w:hAnsi="Arial" w:cs="Arial"/>
                <w:lang w:eastAsia="zh-TW"/>
              </w:rPr>
              <w:t xml:space="preserve">e think the 1ms </w:t>
            </w:r>
            <w:r>
              <w:rPr>
                <w:rFonts w:ascii="Arial" w:eastAsiaTheme="minorEastAsia" w:hAnsi="Arial" w:cs="Arial"/>
                <w:lang w:eastAsia="zh-CN"/>
              </w:rPr>
              <w:t>granularity</w:t>
            </w:r>
            <w:r>
              <w:rPr>
                <w:rFonts w:ascii="Arial" w:eastAsia="PMingLiU" w:hAnsi="Arial" w:cs="Arial"/>
                <w:lang w:eastAsia="zh-TW"/>
              </w:rPr>
              <w:t xml:space="preserve"> is OK. But if a </w:t>
            </w:r>
            <w:r>
              <w:rPr>
                <w:rFonts w:ascii="Arial" w:hAnsi="Arial" w:cs="Arial"/>
              </w:rPr>
              <w:t xml:space="preserve">larger granularity is decided, an LS may be needed to inform RAN3. </w:t>
            </w:r>
          </w:p>
        </w:tc>
      </w:tr>
      <w:tr w:rsidR="00090D37" w14:paraId="743ED2FB" w14:textId="77777777">
        <w:tc>
          <w:tcPr>
            <w:tcW w:w="1980" w:type="dxa"/>
          </w:tcPr>
          <w:p w14:paraId="1CC358FC" w14:textId="74DA65F2"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6515" w:type="dxa"/>
          </w:tcPr>
          <w:p w14:paraId="0D398F65" w14:textId="7985EFF1" w:rsidR="00090D37" w:rsidRDefault="00090D37" w:rsidP="00090D37">
            <w:pPr>
              <w:spacing w:before="120" w:after="0"/>
              <w:rPr>
                <w:rFonts w:ascii="Arial" w:eastAsia="PMingLiU" w:hAnsi="Arial" w:cs="Arial" w:hint="eastAsia"/>
                <w:lang w:eastAsia="zh-TW"/>
              </w:rPr>
            </w:pPr>
            <w:r>
              <w:rPr>
                <w:rFonts w:ascii="Arial" w:eastAsiaTheme="minorEastAsia" w:hAnsi="Arial" w:cs="Arial"/>
                <w:lang w:eastAsia="zh-CN"/>
              </w:rPr>
              <w:t>We are open to the value ranges of buffer level, but 10min+10ms is reasonable.</w:t>
            </w:r>
          </w:p>
        </w:tc>
      </w:tr>
    </w:tbl>
    <w:p w14:paraId="3E2A0390" w14:textId="77777777" w:rsidR="00902D7C" w:rsidRDefault="00717CD7">
      <w:pPr>
        <w:spacing w:before="120"/>
        <w:rPr>
          <w:rFonts w:ascii="Arial" w:hAnsi="Arial" w:cs="Arial"/>
          <w:b/>
          <w:bCs/>
          <w:u w:val="single"/>
        </w:rPr>
      </w:pPr>
      <w:r>
        <w:rPr>
          <w:rFonts w:ascii="Arial" w:hAnsi="Arial" w:cs="Arial"/>
          <w:b/>
          <w:bCs/>
          <w:u w:val="single"/>
        </w:rPr>
        <w:t xml:space="preserve">Issue 2: </w:t>
      </w:r>
      <w:proofErr w:type="spellStart"/>
      <w:r>
        <w:rPr>
          <w:rFonts w:ascii="Arial" w:hAnsi="Arial" w:cs="Arial"/>
          <w:b/>
          <w:bCs/>
          <w:u w:val="single"/>
        </w:rPr>
        <w:t>Playout</w:t>
      </w:r>
      <w:proofErr w:type="spellEnd"/>
      <w:r>
        <w:rPr>
          <w:rFonts w:ascii="Arial" w:hAnsi="Arial" w:cs="Arial"/>
          <w:b/>
          <w:bCs/>
          <w:u w:val="single"/>
        </w:rPr>
        <w:t xml:space="preserve"> delay for media </w:t>
      </w:r>
      <w:proofErr w:type="spellStart"/>
      <w:r>
        <w:rPr>
          <w:rFonts w:ascii="Arial" w:hAnsi="Arial" w:cs="Arial"/>
          <w:b/>
          <w:bCs/>
          <w:u w:val="single"/>
        </w:rPr>
        <w:t>startup</w:t>
      </w:r>
      <w:proofErr w:type="spellEnd"/>
      <w:r>
        <w:rPr>
          <w:rFonts w:ascii="Arial" w:hAnsi="Arial" w:cs="Arial"/>
          <w:b/>
          <w:bCs/>
          <w:u w:val="single"/>
        </w:rPr>
        <w:t xml:space="preserve"> reporting</w:t>
      </w:r>
    </w:p>
    <w:p w14:paraId="6CD788BF" w14:textId="77777777" w:rsidR="00902D7C" w:rsidRDefault="00717CD7">
      <w:pPr>
        <w:spacing w:before="120"/>
        <w:rPr>
          <w:rFonts w:ascii="Arial" w:hAnsi="Arial" w:cs="Arial"/>
        </w:rPr>
      </w:pPr>
      <w:r>
        <w:rPr>
          <w:rFonts w:ascii="Arial" w:hAnsi="Arial" w:cs="Arial"/>
        </w:rPr>
        <w:t xml:space="preserve">For playout delay for media </w:t>
      </w:r>
      <w:proofErr w:type="spellStart"/>
      <w:r>
        <w:rPr>
          <w:rFonts w:ascii="Arial" w:hAnsi="Arial" w:cs="Arial"/>
        </w:rPr>
        <w:t>startup</w:t>
      </w:r>
      <w:proofErr w:type="spellEnd"/>
      <w:r>
        <w:rPr>
          <w:rFonts w:ascii="Arial" w:hAnsi="Arial" w:cs="Arial"/>
        </w:rPr>
        <w:t>, the following is defined in TS 23.347, and the value is integer type with milliseconds.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3060"/>
        <w:gridCol w:w="1760"/>
        <w:gridCol w:w="4477"/>
      </w:tblGrid>
      <w:tr w:rsidR="00902D7C" w14:paraId="2DEFEA08" w14:textId="77777777">
        <w:trPr>
          <w:jc w:val="center"/>
        </w:trPr>
        <w:tc>
          <w:tcPr>
            <w:tcW w:w="2835" w:type="dxa"/>
            <w:shd w:val="clear" w:color="auto" w:fill="BFBFBF"/>
          </w:tcPr>
          <w:p w14:paraId="23A5F4A2" w14:textId="77777777" w:rsidR="00902D7C" w:rsidRDefault="00717CD7">
            <w:pPr>
              <w:pStyle w:val="TAH"/>
              <w:rPr>
                <w:rFonts w:eastAsia="MS Mincho"/>
                <w:lang w:eastAsia="ja-JP"/>
              </w:rPr>
            </w:pPr>
            <w:r>
              <w:rPr>
                <w:rFonts w:eastAsia="MS Mincho"/>
                <w:lang w:eastAsia="ja-JP"/>
              </w:rPr>
              <w:lastRenderedPageBreak/>
              <w:t>Key</w:t>
            </w:r>
          </w:p>
        </w:tc>
        <w:tc>
          <w:tcPr>
            <w:tcW w:w="1760" w:type="dxa"/>
            <w:shd w:val="clear" w:color="auto" w:fill="BFBFBF"/>
          </w:tcPr>
          <w:p w14:paraId="30A6BE66" w14:textId="77777777" w:rsidR="00902D7C" w:rsidRDefault="00717CD7">
            <w:pPr>
              <w:pStyle w:val="TAH"/>
              <w:rPr>
                <w:rFonts w:eastAsia="MS Mincho"/>
                <w:lang w:eastAsia="ja-JP"/>
              </w:rPr>
            </w:pPr>
            <w:r>
              <w:rPr>
                <w:rFonts w:eastAsia="MS Mincho"/>
                <w:lang w:eastAsia="ja-JP"/>
              </w:rPr>
              <w:t>Type</w:t>
            </w:r>
          </w:p>
        </w:tc>
        <w:tc>
          <w:tcPr>
            <w:tcW w:w="4477" w:type="dxa"/>
            <w:shd w:val="clear" w:color="auto" w:fill="BFBFBF"/>
          </w:tcPr>
          <w:p w14:paraId="07E316D7" w14:textId="77777777" w:rsidR="00902D7C" w:rsidRDefault="00717CD7">
            <w:pPr>
              <w:pStyle w:val="TAH"/>
              <w:rPr>
                <w:rFonts w:eastAsia="MS Mincho"/>
                <w:lang w:eastAsia="ja-JP"/>
              </w:rPr>
            </w:pPr>
            <w:r>
              <w:rPr>
                <w:rFonts w:eastAsia="MS Mincho"/>
                <w:lang w:eastAsia="ja-JP"/>
              </w:rPr>
              <w:t>Description</w:t>
            </w:r>
          </w:p>
        </w:tc>
      </w:tr>
      <w:tr w:rsidR="00902D7C" w14:paraId="0EEF68BA" w14:textId="77777777">
        <w:trPr>
          <w:jc w:val="center"/>
        </w:trPr>
        <w:tc>
          <w:tcPr>
            <w:tcW w:w="2835" w:type="dxa"/>
            <w:shd w:val="clear" w:color="auto" w:fill="FFFFFF"/>
          </w:tcPr>
          <w:p w14:paraId="67F20A06" w14:textId="77777777" w:rsidR="00902D7C" w:rsidRDefault="00717CD7">
            <w:pPr>
              <w:pStyle w:val="TAL"/>
              <w:rPr>
                <w:rFonts w:ascii="Courier New" w:hAnsi="Courier New" w:cs="Courier New"/>
                <w:lang w:eastAsia="zh-CN"/>
              </w:rPr>
            </w:pPr>
            <w:proofErr w:type="spellStart"/>
            <w:r>
              <w:rPr>
                <w:rFonts w:ascii="Courier New" w:eastAsia="MS Mincho" w:hAnsi="Courier New" w:cs="Courier New"/>
                <w:lang w:eastAsia="ja-JP"/>
              </w:rPr>
              <w:t>PlayoutDelay</w:t>
            </w:r>
            <w:r>
              <w:rPr>
                <w:rFonts w:ascii="Courier New" w:hAnsi="Courier New" w:cs="Courier New" w:hint="eastAsia"/>
                <w:lang w:eastAsia="zh-CN"/>
              </w:rPr>
              <w:t>forMediaStartup</w:t>
            </w:r>
            <w:proofErr w:type="spellEnd"/>
          </w:p>
        </w:tc>
        <w:tc>
          <w:tcPr>
            <w:tcW w:w="1760" w:type="dxa"/>
            <w:shd w:val="clear" w:color="auto" w:fill="FFFFFF"/>
          </w:tcPr>
          <w:p w14:paraId="4B776F35" w14:textId="77777777" w:rsidR="00902D7C" w:rsidRDefault="00717CD7">
            <w:pPr>
              <w:pStyle w:val="TAL"/>
              <w:rPr>
                <w:rFonts w:ascii="Courier New" w:eastAsia="MS Mincho" w:hAnsi="Courier New" w:cs="Courier New"/>
                <w:lang w:eastAsia="ja-JP"/>
              </w:rPr>
            </w:pPr>
            <w:r>
              <w:rPr>
                <w:rFonts w:ascii="Courier New" w:eastAsia="MS Mincho" w:hAnsi="Courier New" w:cs="Courier New"/>
                <w:lang w:eastAsia="ja-JP"/>
              </w:rPr>
              <w:t>Integer</w:t>
            </w:r>
          </w:p>
        </w:tc>
        <w:tc>
          <w:tcPr>
            <w:tcW w:w="4477" w:type="dxa"/>
            <w:shd w:val="clear" w:color="auto" w:fill="FFFFFF"/>
          </w:tcPr>
          <w:p w14:paraId="3FF214BA" w14:textId="77777777" w:rsidR="00902D7C" w:rsidRDefault="00717CD7">
            <w:pPr>
              <w:pStyle w:val="TAL"/>
              <w:rPr>
                <w:bCs/>
                <w:lang w:val="en-CA" w:eastAsia="zh-CN"/>
              </w:rPr>
            </w:pPr>
            <w:r>
              <w:t xml:space="preserve">The playout delay </w:t>
            </w:r>
            <w:r>
              <w:rPr>
                <w:rFonts w:hint="eastAsia"/>
                <w:lang w:eastAsia="zh-CN"/>
              </w:rPr>
              <w:t xml:space="preserve">for media start-up </w:t>
            </w:r>
            <w:r>
              <w:t>is measured as the time in milliseconds from the</w:t>
            </w:r>
            <w:r>
              <w:rPr>
                <w:rFonts w:hint="eastAsia"/>
                <w:lang w:eastAsia="zh-CN"/>
              </w:rPr>
              <w:t xml:space="preserve"> time instant of DASH player receives </w:t>
            </w:r>
            <w:r>
              <w:rPr>
                <w:lang w:eastAsia="zh-CN"/>
              </w:rPr>
              <w:t>play-back-start trigger</w:t>
            </w:r>
            <w:r>
              <w:rPr>
                <w:bCs/>
                <w:lang w:val="en-CA"/>
              </w:rPr>
              <w:t xml:space="preserve"> to the instant of media </w:t>
            </w:r>
            <w:r>
              <w:rPr>
                <w:rFonts w:hint="eastAsia"/>
                <w:bCs/>
                <w:lang w:val="en-CA" w:eastAsia="zh-CN"/>
              </w:rPr>
              <w:t>playout</w:t>
            </w:r>
            <w:r>
              <w:rPr>
                <w:bCs/>
                <w:lang w:val="en-CA"/>
              </w:rPr>
              <w:t>.</w:t>
            </w:r>
          </w:p>
          <w:p w14:paraId="4512008E" w14:textId="77777777" w:rsidR="00902D7C" w:rsidRDefault="00717CD7">
            <w:pPr>
              <w:pStyle w:val="B1"/>
              <w:rPr>
                <w:lang w:val="en-CA" w:eastAsia="zh-CN"/>
              </w:rPr>
            </w:pPr>
            <w:r>
              <w:rPr>
                <w:lang w:val="en-CA"/>
              </w:rPr>
              <w:t>-</w:t>
            </w:r>
            <w:r>
              <w:rPr>
                <w:lang w:val="en-CA"/>
              </w:rPr>
              <w:tab/>
              <w:t xml:space="preserve">If the MPD has been delivered earlier </w:t>
            </w:r>
            <w:r>
              <w:rPr>
                <w:rFonts w:hint="eastAsia"/>
                <w:lang w:val="en-CA" w:eastAsia="zh-CN"/>
              </w:rPr>
              <w:t>before the user clicks</w:t>
            </w:r>
            <w:r>
              <w:rPr>
                <w:lang w:val="en-CA"/>
              </w:rPr>
              <w:t>, it may include the</w:t>
            </w:r>
            <w:r>
              <w:rPr>
                <w:rFonts w:hint="eastAsia"/>
                <w:lang w:val="en-CA" w:eastAsia="zh-CN"/>
              </w:rPr>
              <w:t xml:space="preserve"> process time of MPD, the</w:t>
            </w:r>
            <w:r>
              <w:rPr>
                <w:lang w:val="en-CA"/>
              </w:rPr>
              <w:t xml:space="preserve"> fetch time of </w:t>
            </w:r>
            <w:r>
              <w:rPr>
                <w:rFonts w:hint="eastAsia"/>
                <w:lang w:val="en-CA" w:eastAsia="zh-CN"/>
              </w:rPr>
              <w:t xml:space="preserve">some </w:t>
            </w:r>
            <w:r>
              <w:rPr>
                <w:lang w:val="en-CA"/>
              </w:rPr>
              <w:t>media segment</w:t>
            </w:r>
            <w:r>
              <w:rPr>
                <w:rFonts w:hint="eastAsia"/>
                <w:lang w:val="en-CA" w:eastAsia="zh-CN"/>
              </w:rPr>
              <w:t>s which are required for media presentation, the process time of segments, and the</w:t>
            </w:r>
            <w:r>
              <w:t xml:space="preserve"> </w:t>
            </w:r>
            <w:r>
              <w:rPr>
                <w:rFonts w:hint="eastAsia"/>
                <w:lang w:eastAsia="zh-CN"/>
              </w:rPr>
              <w:t xml:space="preserve">time for </w:t>
            </w:r>
            <w:r>
              <w:t xml:space="preserve">media </w:t>
            </w:r>
            <w:r>
              <w:rPr>
                <w:rFonts w:hint="eastAsia"/>
                <w:lang w:eastAsia="zh-CN"/>
              </w:rPr>
              <w:t>decode and render to the user</w:t>
            </w:r>
            <w:r>
              <w:rPr>
                <w:lang w:val="en-CA"/>
              </w:rPr>
              <w:t>.</w:t>
            </w:r>
          </w:p>
          <w:p w14:paraId="5EAC3162" w14:textId="77777777" w:rsidR="00902D7C" w:rsidRDefault="00717CD7">
            <w:pPr>
              <w:pStyle w:val="B1"/>
              <w:rPr>
                <w:rFonts w:eastAsia="MS Mincho"/>
                <w:lang w:eastAsia="zh-CN"/>
              </w:rPr>
            </w:pPr>
            <w:r>
              <w:rPr>
                <w:lang w:val="en-CA"/>
              </w:rPr>
              <w:t>-</w:t>
            </w:r>
            <w:r>
              <w:rPr>
                <w:lang w:val="en-CA"/>
              </w:rPr>
              <w:tab/>
              <w:t xml:space="preserve">If no MPD has been fetched earlier, it </w:t>
            </w:r>
            <w:r>
              <w:rPr>
                <w:rFonts w:hint="eastAsia"/>
                <w:lang w:val="en-CA" w:eastAsia="zh-CN"/>
              </w:rPr>
              <w:t>also needs to add</w:t>
            </w:r>
            <w:r>
              <w:rPr>
                <w:lang w:val="en-CA"/>
              </w:rPr>
              <w:t xml:space="preserve"> </w:t>
            </w:r>
            <w:r>
              <w:rPr>
                <w:rFonts w:hint="eastAsia"/>
                <w:lang w:val="en-CA" w:eastAsia="zh-CN"/>
              </w:rPr>
              <w:t xml:space="preserve">the </w:t>
            </w:r>
            <w:r>
              <w:rPr>
                <w:lang w:val="en-CA"/>
              </w:rPr>
              <w:t>fetch time of MPD.</w:t>
            </w:r>
          </w:p>
        </w:tc>
      </w:tr>
    </w:tbl>
    <w:p w14:paraId="11915F2C" w14:textId="77777777" w:rsidR="00902D7C" w:rsidRDefault="00717CD7">
      <w:pPr>
        <w:spacing w:before="120"/>
        <w:rPr>
          <w:rFonts w:ascii="Arial" w:hAnsi="Arial" w:cs="Arial"/>
        </w:rPr>
      </w:pPr>
      <w:r>
        <w:rPr>
          <w:rFonts w:ascii="Arial" w:hAnsi="Arial" w:cs="Arial"/>
        </w:rPr>
        <w:t>The maximum value defined to be reported should be the maximum value the user can be tolerant of. Contribution [8] proposes the maximum value 30 second, rapporteur thinks this is a reasonable value and can be used as baseline.</w:t>
      </w:r>
    </w:p>
    <w:p w14:paraId="10FCC5EC" w14:textId="77777777" w:rsidR="00902D7C" w:rsidRDefault="00717CD7">
      <w:pPr>
        <w:spacing w:before="120" w:after="0"/>
        <w:rPr>
          <w:rFonts w:ascii="Arial" w:hAnsi="Arial" w:cs="Arial"/>
        </w:rPr>
      </w:pPr>
      <w:r>
        <w:rPr>
          <w:rFonts w:ascii="Arial" w:hAnsi="Arial" w:cs="Arial"/>
        </w:rPr>
        <w:t>Companies please reply to the question:</w:t>
      </w:r>
    </w:p>
    <w:p w14:paraId="4C41A548" w14:textId="77777777" w:rsidR="00902D7C" w:rsidRDefault="00717CD7">
      <w:pPr>
        <w:spacing w:before="120"/>
        <w:rPr>
          <w:rFonts w:ascii="Arial" w:hAnsi="Arial" w:cs="Arial"/>
          <w:b/>
          <w:bCs/>
        </w:rPr>
      </w:pPr>
      <w:r>
        <w:rPr>
          <w:rFonts w:ascii="Arial" w:hAnsi="Arial" w:cs="Arial"/>
          <w:b/>
          <w:bCs/>
        </w:rPr>
        <w:t xml:space="preserve">Q7: Whether value 30 second can be defined as the maximum value for playout delay for media </w:t>
      </w:r>
      <w:proofErr w:type="spellStart"/>
      <w:r>
        <w:rPr>
          <w:rFonts w:ascii="Arial" w:hAnsi="Arial" w:cs="Arial"/>
          <w:b/>
          <w:bCs/>
        </w:rPr>
        <w:t>startup</w:t>
      </w:r>
      <w:proofErr w:type="spellEnd"/>
      <w:r>
        <w:rPr>
          <w:rFonts w:ascii="Arial" w:hAnsi="Arial" w:cs="Arial"/>
          <w:b/>
          <w:bCs/>
        </w:rPr>
        <w:t xml:space="preserve"> reporting?</w:t>
      </w:r>
    </w:p>
    <w:tbl>
      <w:tblPr>
        <w:tblStyle w:val="af"/>
        <w:tblW w:w="0" w:type="auto"/>
        <w:tblLook w:val="04A0" w:firstRow="1" w:lastRow="0" w:firstColumn="1" w:lastColumn="0" w:noHBand="0" w:noVBand="1"/>
      </w:tblPr>
      <w:tblGrid>
        <w:gridCol w:w="1980"/>
        <w:gridCol w:w="1134"/>
        <w:gridCol w:w="6515"/>
      </w:tblGrid>
      <w:tr w:rsidR="00902D7C" w14:paraId="4BAFF4EA" w14:textId="77777777">
        <w:tc>
          <w:tcPr>
            <w:tcW w:w="1980" w:type="dxa"/>
          </w:tcPr>
          <w:p w14:paraId="0D6E9DFD"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67AFBCCA"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5BEA6EF8"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19D6262C" w14:textId="77777777">
        <w:tc>
          <w:tcPr>
            <w:tcW w:w="1980" w:type="dxa"/>
          </w:tcPr>
          <w:p w14:paraId="3853802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766885D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2E3D7AF" w14:textId="77777777" w:rsidR="00902D7C" w:rsidRDefault="00902D7C">
            <w:pPr>
              <w:spacing w:before="120" w:after="0"/>
              <w:rPr>
                <w:rFonts w:ascii="Arial" w:hAnsi="Arial" w:cs="Arial"/>
              </w:rPr>
            </w:pPr>
          </w:p>
        </w:tc>
      </w:tr>
      <w:tr w:rsidR="00902D7C" w14:paraId="7E004EA5" w14:textId="77777777">
        <w:tc>
          <w:tcPr>
            <w:tcW w:w="1980" w:type="dxa"/>
          </w:tcPr>
          <w:p w14:paraId="47833868" w14:textId="77777777" w:rsidR="00902D7C" w:rsidRDefault="00717CD7">
            <w:pPr>
              <w:spacing w:before="120" w:after="0"/>
              <w:rPr>
                <w:rFonts w:ascii="Arial" w:hAnsi="Arial" w:cs="Arial"/>
              </w:rPr>
            </w:pPr>
            <w:r>
              <w:rPr>
                <w:rFonts w:ascii="Arial" w:hAnsi="Arial" w:cs="Arial"/>
              </w:rPr>
              <w:t>Ericsson</w:t>
            </w:r>
          </w:p>
        </w:tc>
        <w:tc>
          <w:tcPr>
            <w:tcW w:w="1134" w:type="dxa"/>
          </w:tcPr>
          <w:p w14:paraId="1017C021" w14:textId="77777777" w:rsidR="00902D7C" w:rsidRDefault="00717CD7">
            <w:pPr>
              <w:spacing w:before="120" w:after="0"/>
              <w:rPr>
                <w:rFonts w:ascii="Arial" w:hAnsi="Arial" w:cs="Arial"/>
              </w:rPr>
            </w:pPr>
            <w:r>
              <w:rPr>
                <w:rFonts w:ascii="Arial" w:hAnsi="Arial" w:cs="Arial"/>
              </w:rPr>
              <w:t>Yes</w:t>
            </w:r>
          </w:p>
        </w:tc>
        <w:tc>
          <w:tcPr>
            <w:tcW w:w="6515" w:type="dxa"/>
          </w:tcPr>
          <w:p w14:paraId="7A327D5D" w14:textId="77777777" w:rsidR="00902D7C" w:rsidRDefault="00717CD7">
            <w:pPr>
              <w:spacing w:before="120" w:after="0"/>
              <w:rPr>
                <w:rFonts w:ascii="Arial" w:hAnsi="Arial" w:cs="Arial"/>
              </w:rPr>
            </w:pPr>
            <w:r>
              <w:rPr>
                <w:rFonts w:ascii="Arial" w:hAnsi="Arial" w:cs="Arial"/>
              </w:rPr>
              <w:t>We assume that if the value is larger than 30, the UE will report 30. Maybe that needs to be captured.</w:t>
            </w:r>
          </w:p>
        </w:tc>
      </w:tr>
      <w:tr w:rsidR="00902D7C" w14:paraId="576C414A" w14:textId="77777777">
        <w:tc>
          <w:tcPr>
            <w:tcW w:w="1980" w:type="dxa"/>
          </w:tcPr>
          <w:p w14:paraId="6CD60580" w14:textId="77777777" w:rsidR="00902D7C" w:rsidRDefault="00717CD7">
            <w:pPr>
              <w:spacing w:before="120" w:after="0"/>
              <w:rPr>
                <w:rFonts w:ascii="Arial" w:hAnsi="Arial" w:cs="Arial"/>
              </w:rPr>
            </w:pPr>
            <w:r>
              <w:rPr>
                <w:rFonts w:ascii="Arial" w:hAnsi="Arial" w:cs="Arial"/>
              </w:rPr>
              <w:t>Nokia</w:t>
            </w:r>
          </w:p>
        </w:tc>
        <w:tc>
          <w:tcPr>
            <w:tcW w:w="1134" w:type="dxa"/>
          </w:tcPr>
          <w:p w14:paraId="699DFF8D" w14:textId="77777777" w:rsidR="00902D7C" w:rsidRDefault="00717CD7">
            <w:pPr>
              <w:spacing w:before="120" w:after="0"/>
              <w:rPr>
                <w:rFonts w:ascii="Arial" w:hAnsi="Arial" w:cs="Arial"/>
              </w:rPr>
            </w:pPr>
            <w:r>
              <w:rPr>
                <w:rFonts w:ascii="Arial" w:hAnsi="Arial" w:cs="Arial"/>
              </w:rPr>
              <w:t>No</w:t>
            </w:r>
          </w:p>
        </w:tc>
        <w:tc>
          <w:tcPr>
            <w:tcW w:w="6515" w:type="dxa"/>
          </w:tcPr>
          <w:p w14:paraId="6D61AE65" w14:textId="77777777" w:rsidR="00902D7C" w:rsidRDefault="00717CD7">
            <w:pPr>
              <w:spacing w:before="120" w:after="0"/>
              <w:rPr>
                <w:rFonts w:ascii="Arial" w:hAnsi="Arial" w:cs="Arial"/>
              </w:rPr>
            </w:pPr>
            <w:r>
              <w:rPr>
                <w:rFonts w:ascii="Arial" w:hAnsi="Arial" w:cs="Arial"/>
              </w:rPr>
              <w:t>See answer to Q4</w:t>
            </w:r>
          </w:p>
        </w:tc>
      </w:tr>
      <w:tr w:rsidR="00902D7C" w14:paraId="76C9C329" w14:textId="77777777">
        <w:tc>
          <w:tcPr>
            <w:tcW w:w="1980" w:type="dxa"/>
          </w:tcPr>
          <w:p w14:paraId="6F11A399"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12BE1E1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296305A"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Agree with Ericsson.</w:t>
            </w:r>
          </w:p>
        </w:tc>
      </w:tr>
      <w:tr w:rsidR="00902D7C" w14:paraId="7B9111D4" w14:textId="77777777">
        <w:tc>
          <w:tcPr>
            <w:tcW w:w="1980" w:type="dxa"/>
          </w:tcPr>
          <w:p w14:paraId="3550ED43" w14:textId="77777777" w:rsidR="00902D7C" w:rsidRDefault="00717CD7">
            <w:pPr>
              <w:spacing w:before="120" w:after="0"/>
              <w:rPr>
                <w:rFonts w:ascii="Arial" w:hAnsi="Arial" w:cs="Arial"/>
              </w:rPr>
            </w:pPr>
            <w:r>
              <w:rPr>
                <w:rFonts w:ascii="Arial" w:hAnsi="Arial" w:cs="Arial"/>
              </w:rPr>
              <w:t>Qualcomm</w:t>
            </w:r>
          </w:p>
        </w:tc>
        <w:tc>
          <w:tcPr>
            <w:tcW w:w="1134" w:type="dxa"/>
          </w:tcPr>
          <w:p w14:paraId="7CAAF66F" w14:textId="77777777" w:rsidR="00902D7C" w:rsidRDefault="00717CD7">
            <w:pPr>
              <w:spacing w:before="120" w:after="0"/>
              <w:rPr>
                <w:rFonts w:ascii="Arial" w:hAnsi="Arial" w:cs="Arial"/>
              </w:rPr>
            </w:pPr>
            <w:r>
              <w:rPr>
                <w:rFonts w:ascii="Arial" w:hAnsi="Arial" w:cs="Arial"/>
              </w:rPr>
              <w:t>Yes</w:t>
            </w:r>
          </w:p>
        </w:tc>
        <w:tc>
          <w:tcPr>
            <w:tcW w:w="6515" w:type="dxa"/>
          </w:tcPr>
          <w:p w14:paraId="45BCEB06" w14:textId="77777777" w:rsidR="00902D7C" w:rsidRDefault="00902D7C">
            <w:pPr>
              <w:spacing w:before="120" w:after="0"/>
              <w:rPr>
                <w:rFonts w:ascii="Arial" w:hAnsi="Arial" w:cs="Arial"/>
              </w:rPr>
            </w:pPr>
          </w:p>
        </w:tc>
      </w:tr>
      <w:tr w:rsidR="00902D7C" w14:paraId="0E6267C5" w14:textId="77777777">
        <w:tc>
          <w:tcPr>
            <w:tcW w:w="1980" w:type="dxa"/>
          </w:tcPr>
          <w:p w14:paraId="0765EB41" w14:textId="77777777" w:rsidR="00902D7C" w:rsidRDefault="00717CD7">
            <w:pPr>
              <w:spacing w:before="120" w:after="0"/>
              <w:rPr>
                <w:rFonts w:ascii="Arial" w:hAnsi="Arial" w:cs="Arial"/>
              </w:rPr>
            </w:pPr>
            <w:r>
              <w:rPr>
                <w:rFonts w:ascii="Arial" w:hAnsi="Arial" w:cs="Arial"/>
              </w:rPr>
              <w:t>vivo</w:t>
            </w:r>
          </w:p>
        </w:tc>
        <w:tc>
          <w:tcPr>
            <w:tcW w:w="1134" w:type="dxa"/>
          </w:tcPr>
          <w:p w14:paraId="6BFECC31" w14:textId="77777777" w:rsidR="00902D7C" w:rsidRDefault="00717CD7">
            <w:pPr>
              <w:spacing w:before="120" w:after="0"/>
              <w:rPr>
                <w:rFonts w:ascii="Arial" w:hAnsi="Arial" w:cs="Arial"/>
              </w:rPr>
            </w:pPr>
            <w:r>
              <w:rPr>
                <w:rFonts w:ascii="Arial" w:hAnsi="Arial" w:cs="Arial"/>
              </w:rPr>
              <w:t>Yes</w:t>
            </w:r>
          </w:p>
        </w:tc>
        <w:tc>
          <w:tcPr>
            <w:tcW w:w="6515" w:type="dxa"/>
          </w:tcPr>
          <w:p w14:paraId="28EC5AC1" w14:textId="77777777" w:rsidR="00902D7C" w:rsidRDefault="00717CD7">
            <w:pPr>
              <w:spacing w:before="120" w:after="0"/>
              <w:rPr>
                <w:rFonts w:ascii="Arial" w:hAnsi="Arial" w:cs="Arial"/>
              </w:rPr>
            </w:pPr>
            <w:r>
              <w:rPr>
                <w:rFonts w:ascii="Arial" w:hAnsi="Arial" w:cs="Arial"/>
              </w:rPr>
              <w:t>But ok to follow the further guideline of RAN3, if any.</w:t>
            </w:r>
          </w:p>
        </w:tc>
      </w:tr>
      <w:tr w:rsidR="00902D7C" w14:paraId="3DC89112" w14:textId="77777777">
        <w:tc>
          <w:tcPr>
            <w:tcW w:w="1980" w:type="dxa"/>
          </w:tcPr>
          <w:p w14:paraId="7033B93F"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0B56871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118887A5" w14:textId="77777777" w:rsidR="00902D7C" w:rsidRDefault="00902D7C">
            <w:pPr>
              <w:spacing w:before="120" w:after="0"/>
              <w:rPr>
                <w:rFonts w:ascii="Arial" w:hAnsi="Arial" w:cs="Arial"/>
              </w:rPr>
            </w:pPr>
          </w:p>
        </w:tc>
      </w:tr>
      <w:tr w:rsidR="00902D7C" w14:paraId="09067375" w14:textId="77777777">
        <w:tc>
          <w:tcPr>
            <w:tcW w:w="1980" w:type="dxa"/>
          </w:tcPr>
          <w:p w14:paraId="527227F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00752DEB"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2A6F4067" w14:textId="77777777" w:rsidR="00902D7C" w:rsidRDefault="00902D7C">
            <w:pPr>
              <w:spacing w:before="120" w:after="0"/>
              <w:rPr>
                <w:rFonts w:ascii="Arial" w:hAnsi="Arial" w:cs="Arial"/>
              </w:rPr>
            </w:pPr>
          </w:p>
        </w:tc>
      </w:tr>
      <w:tr w:rsidR="00BD7B48" w14:paraId="74E2053F" w14:textId="77777777">
        <w:tc>
          <w:tcPr>
            <w:tcW w:w="1980" w:type="dxa"/>
          </w:tcPr>
          <w:p w14:paraId="50F91AD8" w14:textId="12E74271"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134" w:type="dxa"/>
          </w:tcPr>
          <w:p w14:paraId="7F87B458" w14:textId="79F9F2C4" w:rsidR="00BD7B48" w:rsidRDefault="00BD7B48">
            <w:pPr>
              <w:spacing w:before="120"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15" w:type="dxa"/>
          </w:tcPr>
          <w:p w14:paraId="141E990B" w14:textId="77777777" w:rsidR="00BD7B48" w:rsidRDefault="00BD7B48">
            <w:pPr>
              <w:spacing w:before="120" w:after="0"/>
              <w:rPr>
                <w:rFonts w:ascii="Arial" w:hAnsi="Arial" w:cs="Arial"/>
              </w:rPr>
            </w:pPr>
          </w:p>
        </w:tc>
      </w:tr>
      <w:tr w:rsidR="008A22DE" w14:paraId="6919F94E" w14:textId="77777777">
        <w:tc>
          <w:tcPr>
            <w:tcW w:w="1980" w:type="dxa"/>
          </w:tcPr>
          <w:p w14:paraId="0FE0975B" w14:textId="4F6BC889" w:rsidR="008A22DE" w:rsidRDefault="008A22DE" w:rsidP="008A22DE">
            <w:pPr>
              <w:spacing w:before="120" w:after="0"/>
              <w:rPr>
                <w:rFonts w:ascii="Arial" w:eastAsiaTheme="minorEastAsia" w:hAnsi="Arial" w:cs="Arial"/>
                <w:lang w:val="en-US" w:eastAsia="zh-CN"/>
              </w:rPr>
            </w:pPr>
            <w:r>
              <w:rPr>
                <w:rFonts w:ascii="Arial" w:hAnsi="Arial" w:cs="Arial" w:hint="eastAsia"/>
                <w:lang w:eastAsia="ko-KR"/>
              </w:rPr>
              <w:t>LG</w:t>
            </w:r>
          </w:p>
        </w:tc>
        <w:tc>
          <w:tcPr>
            <w:tcW w:w="1134" w:type="dxa"/>
          </w:tcPr>
          <w:p w14:paraId="361B3EA6" w14:textId="74F91392" w:rsidR="008A22DE" w:rsidRDefault="008A22DE" w:rsidP="008A22DE">
            <w:pPr>
              <w:spacing w:before="120" w:after="0"/>
              <w:rPr>
                <w:rFonts w:ascii="Arial" w:eastAsiaTheme="minorEastAsia" w:hAnsi="Arial" w:cs="Arial"/>
                <w:lang w:val="en-US" w:eastAsia="zh-CN"/>
              </w:rPr>
            </w:pPr>
            <w:r>
              <w:rPr>
                <w:rFonts w:ascii="Arial" w:hAnsi="Arial" w:cs="Arial"/>
                <w:lang w:eastAsia="ko-KR"/>
              </w:rPr>
              <w:t>FFS</w:t>
            </w:r>
          </w:p>
        </w:tc>
        <w:tc>
          <w:tcPr>
            <w:tcW w:w="6515" w:type="dxa"/>
          </w:tcPr>
          <w:p w14:paraId="4E3F2FCF" w14:textId="4BA8236D" w:rsidR="008A22DE" w:rsidRDefault="008A22DE" w:rsidP="008A22DE">
            <w:pPr>
              <w:spacing w:before="120" w:after="0"/>
              <w:rPr>
                <w:rFonts w:ascii="Arial" w:hAnsi="Arial" w:cs="Arial"/>
              </w:rPr>
            </w:pPr>
            <w:r>
              <w:rPr>
                <w:rFonts w:ascii="Arial" w:hAnsi="Arial" w:cs="Arial"/>
                <w:lang w:val="en-US" w:eastAsia="ko-KR"/>
              </w:rPr>
              <w:t>No strong view, but w</w:t>
            </w:r>
            <w:proofErr w:type="spellStart"/>
            <w:r>
              <w:rPr>
                <w:rFonts w:ascii="Arial" w:hAnsi="Arial" w:cs="Arial" w:hint="eastAsia"/>
                <w:lang w:eastAsia="ko-KR"/>
              </w:rPr>
              <w:t>e</w:t>
            </w:r>
            <w:proofErr w:type="spellEnd"/>
            <w:r>
              <w:rPr>
                <w:rFonts w:ascii="Arial" w:hAnsi="Arial" w:cs="Arial" w:hint="eastAsia"/>
                <w:lang w:eastAsia="ko-KR"/>
              </w:rPr>
              <w:t xml:space="preserve"> don</w:t>
            </w:r>
            <w:r>
              <w:rPr>
                <w:rFonts w:ascii="Arial" w:hAnsi="Arial" w:cs="Arial"/>
                <w:lang w:eastAsia="ko-KR"/>
              </w:rPr>
              <w:t xml:space="preserve">’t see that 30 sec is enough for </w:t>
            </w:r>
            <w:r w:rsidRPr="001D53D6">
              <w:rPr>
                <w:rFonts w:ascii="Arial" w:hAnsi="Arial" w:cs="Arial"/>
                <w:lang w:eastAsia="ko-KR"/>
              </w:rPr>
              <w:t xml:space="preserve">the maximum value </w:t>
            </w:r>
            <w:r>
              <w:rPr>
                <w:rFonts w:ascii="Arial" w:hAnsi="Arial" w:cs="Arial"/>
                <w:lang w:eastAsia="ko-KR"/>
              </w:rPr>
              <w:t>of</w:t>
            </w:r>
            <w:r w:rsidRPr="001D53D6">
              <w:rPr>
                <w:rFonts w:ascii="Arial" w:hAnsi="Arial" w:cs="Arial"/>
                <w:lang w:eastAsia="ko-KR"/>
              </w:rPr>
              <w:t xml:space="preserve"> playout delay for media </w:t>
            </w:r>
            <w:proofErr w:type="spellStart"/>
            <w:r w:rsidRPr="001D53D6">
              <w:rPr>
                <w:rFonts w:ascii="Arial" w:hAnsi="Arial" w:cs="Arial"/>
                <w:lang w:eastAsia="ko-KR"/>
              </w:rPr>
              <w:t>startup</w:t>
            </w:r>
            <w:proofErr w:type="spellEnd"/>
            <w:r>
              <w:rPr>
                <w:rFonts w:ascii="Arial" w:hAnsi="Arial" w:cs="Arial"/>
                <w:lang w:eastAsia="ko-KR"/>
              </w:rPr>
              <w:t xml:space="preserve"> because t</w:t>
            </w:r>
            <w:r w:rsidRPr="001D53D6">
              <w:rPr>
                <w:rFonts w:ascii="Arial" w:hAnsi="Arial" w:cs="Arial"/>
                <w:lang w:eastAsia="ko-KR"/>
              </w:rPr>
              <w:t xml:space="preserve">he </w:t>
            </w:r>
            <w:r>
              <w:rPr>
                <w:rFonts w:ascii="Arial" w:hAnsi="Arial" w:cs="Arial"/>
                <w:lang w:eastAsia="ko-KR"/>
              </w:rPr>
              <w:t xml:space="preserve">user acceptable </w:t>
            </w:r>
            <w:r w:rsidRPr="001D53D6">
              <w:rPr>
                <w:rFonts w:ascii="Arial" w:hAnsi="Arial" w:cs="Arial"/>
                <w:lang w:eastAsia="ko-KR"/>
              </w:rPr>
              <w:t xml:space="preserve">delay </w:t>
            </w:r>
            <w:r>
              <w:rPr>
                <w:rFonts w:ascii="Arial" w:hAnsi="Arial" w:cs="Arial"/>
                <w:lang w:eastAsia="ko-KR"/>
              </w:rPr>
              <w:t>may</w:t>
            </w:r>
            <w:r w:rsidRPr="001D53D6">
              <w:rPr>
                <w:rFonts w:ascii="Arial" w:hAnsi="Arial" w:cs="Arial"/>
                <w:lang w:eastAsia="ko-KR"/>
              </w:rPr>
              <w:t xml:space="preserve"> vary from case</w:t>
            </w:r>
            <w:r>
              <w:rPr>
                <w:rFonts w:ascii="Arial" w:hAnsi="Arial" w:cs="Arial"/>
                <w:lang w:eastAsia="ko-KR"/>
              </w:rPr>
              <w:t xml:space="preserve"> to </w:t>
            </w:r>
            <w:r w:rsidRPr="001D53D6">
              <w:rPr>
                <w:rFonts w:ascii="Arial" w:hAnsi="Arial" w:cs="Arial"/>
                <w:lang w:eastAsia="ko-KR"/>
              </w:rPr>
              <w:t>case.</w:t>
            </w:r>
          </w:p>
        </w:tc>
      </w:tr>
      <w:tr w:rsidR="00196771" w14:paraId="5468A8C7" w14:textId="77777777">
        <w:tc>
          <w:tcPr>
            <w:tcW w:w="1980" w:type="dxa"/>
          </w:tcPr>
          <w:p w14:paraId="33C6CF22" w14:textId="288AA829"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6D052184" w14:textId="6A620349" w:rsidR="00196771" w:rsidRDefault="00196771" w:rsidP="00196771">
            <w:pPr>
              <w:spacing w:before="120" w:after="0"/>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78E3C0CE" w14:textId="77777777" w:rsidR="00196771" w:rsidRDefault="00196771" w:rsidP="00196771">
            <w:pPr>
              <w:spacing w:before="120" w:after="0"/>
              <w:rPr>
                <w:rFonts w:ascii="Arial" w:hAnsi="Arial" w:cs="Arial"/>
                <w:lang w:val="en-US" w:eastAsia="ko-KR"/>
              </w:rPr>
            </w:pPr>
          </w:p>
        </w:tc>
      </w:tr>
      <w:tr w:rsidR="00090D37" w14:paraId="08E7B264" w14:textId="77777777">
        <w:tc>
          <w:tcPr>
            <w:tcW w:w="1980" w:type="dxa"/>
          </w:tcPr>
          <w:p w14:paraId="6A957C06" w14:textId="2F3A8413" w:rsidR="00090D37" w:rsidRDefault="00090D37" w:rsidP="00090D37">
            <w:pPr>
              <w:spacing w:before="120" w:after="0"/>
              <w:rPr>
                <w:rFonts w:ascii="Arial" w:eastAsia="PMingLiU" w:hAnsi="Arial" w:cs="Arial" w:hint="eastAsia"/>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03C3E02E" w14:textId="72E99415" w:rsidR="00090D37" w:rsidRDefault="00090D37" w:rsidP="00090D37">
            <w:pPr>
              <w:spacing w:before="120" w:after="0"/>
              <w:rPr>
                <w:rFonts w:ascii="Arial" w:eastAsia="PMingLiU" w:hAnsi="Arial" w:cs="Arial" w:hint="eastAsia"/>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0C7BEAB4" w14:textId="77777777" w:rsidR="00090D37" w:rsidRDefault="00090D37" w:rsidP="00090D37">
            <w:pPr>
              <w:spacing w:before="120" w:after="0"/>
              <w:rPr>
                <w:rFonts w:ascii="Arial" w:hAnsi="Arial" w:cs="Arial"/>
                <w:lang w:val="en-US" w:eastAsia="ko-KR"/>
              </w:rPr>
            </w:pPr>
          </w:p>
        </w:tc>
      </w:tr>
    </w:tbl>
    <w:p w14:paraId="57880BC8" w14:textId="77777777" w:rsidR="00902D7C" w:rsidRDefault="00717CD7">
      <w:pPr>
        <w:spacing w:before="120" w:after="0"/>
        <w:rPr>
          <w:rFonts w:ascii="Arial" w:hAnsi="Arial" w:cs="Arial"/>
        </w:rPr>
      </w:pPr>
      <w:r>
        <w:rPr>
          <w:rFonts w:ascii="Arial" w:hAnsi="Arial" w:cs="Arial"/>
        </w:rPr>
        <w:t xml:space="preserve">If we assume 30 second is the maximum value defined for playout delay for media </w:t>
      </w:r>
      <w:proofErr w:type="spellStart"/>
      <w:r>
        <w:rPr>
          <w:rFonts w:ascii="Arial" w:hAnsi="Arial" w:cs="Arial"/>
        </w:rPr>
        <w:t>startup</w:t>
      </w:r>
      <w:proofErr w:type="spellEnd"/>
      <w:r>
        <w:rPr>
          <w:rFonts w:ascii="Arial" w:hAnsi="Arial" w:cs="Arial"/>
        </w:rPr>
        <w:t xml:space="preserve"> reporting, and one integer value is for one millisecond, then 15-bit signalling overhead is needed.</w:t>
      </w:r>
    </w:p>
    <w:p w14:paraId="1938E9AA" w14:textId="77777777" w:rsidR="00902D7C" w:rsidRDefault="00717CD7">
      <w:pPr>
        <w:spacing w:before="120" w:after="0"/>
        <w:rPr>
          <w:rFonts w:ascii="Arial" w:hAnsi="Arial" w:cs="Arial"/>
        </w:rPr>
      </w:pPr>
      <w:r>
        <w:rPr>
          <w:rFonts w:ascii="Arial" w:hAnsi="Arial" w:cs="Arial"/>
        </w:rPr>
        <w:t xml:space="preserve">Similar with buffer level, in order to save signalling overhead, using </w:t>
      </w:r>
      <w:proofErr w:type="gramStart"/>
      <w:r>
        <w:rPr>
          <w:rFonts w:ascii="Arial" w:hAnsi="Arial" w:cs="Arial"/>
        </w:rPr>
        <w:t>more larger</w:t>
      </w:r>
      <w:proofErr w:type="gramEnd"/>
      <w:r>
        <w:rPr>
          <w:rFonts w:ascii="Arial" w:hAnsi="Arial" w:cs="Arial"/>
        </w:rPr>
        <w:t xml:space="preserve"> granularity for each integer value can be considered, e.g. integer value 1 corresponds to 10 millisecond, 100 millisecond or 1 second.</w:t>
      </w:r>
    </w:p>
    <w:p w14:paraId="3768CD10" w14:textId="77777777" w:rsidR="00902D7C" w:rsidRDefault="00717CD7">
      <w:pPr>
        <w:spacing w:before="120"/>
        <w:rPr>
          <w:rFonts w:ascii="Arial" w:hAnsi="Arial" w:cs="Arial"/>
          <w:b/>
          <w:bCs/>
        </w:rPr>
      </w:pPr>
      <w:r>
        <w:rPr>
          <w:rFonts w:ascii="Arial" w:hAnsi="Arial" w:cs="Arial"/>
          <w:b/>
          <w:bCs/>
        </w:rPr>
        <w:t xml:space="preserve">Q8:  Companies please provide view on denotation of each integer value for </w:t>
      </w:r>
      <w:proofErr w:type="spellStart"/>
      <w:r>
        <w:rPr>
          <w:rFonts w:ascii="Arial" w:hAnsi="Arial" w:cs="Arial"/>
          <w:b/>
          <w:bCs/>
        </w:rPr>
        <w:t>playout</w:t>
      </w:r>
      <w:proofErr w:type="spellEnd"/>
      <w:r>
        <w:rPr>
          <w:rFonts w:ascii="Arial" w:hAnsi="Arial" w:cs="Arial"/>
          <w:b/>
          <w:bCs/>
        </w:rPr>
        <w:t xml:space="preserve"> delay for </w:t>
      </w:r>
      <w:proofErr w:type="spellStart"/>
      <w:r>
        <w:rPr>
          <w:rFonts w:ascii="Arial" w:hAnsi="Arial" w:cs="Arial"/>
          <w:b/>
          <w:bCs/>
        </w:rPr>
        <w:t>startup</w:t>
      </w:r>
      <w:proofErr w:type="spellEnd"/>
      <w:r>
        <w:rPr>
          <w:rFonts w:ascii="Arial" w:hAnsi="Arial" w:cs="Arial"/>
          <w:b/>
          <w:bCs/>
        </w:rPr>
        <w:t>.</w:t>
      </w:r>
    </w:p>
    <w:tbl>
      <w:tblPr>
        <w:tblStyle w:val="af"/>
        <w:tblW w:w="0" w:type="auto"/>
        <w:tblLook w:val="04A0" w:firstRow="1" w:lastRow="0" w:firstColumn="1" w:lastColumn="0" w:noHBand="0" w:noVBand="1"/>
      </w:tblPr>
      <w:tblGrid>
        <w:gridCol w:w="1980"/>
        <w:gridCol w:w="6515"/>
      </w:tblGrid>
      <w:tr w:rsidR="00902D7C" w14:paraId="035A98C9" w14:textId="77777777">
        <w:tc>
          <w:tcPr>
            <w:tcW w:w="1980" w:type="dxa"/>
          </w:tcPr>
          <w:p w14:paraId="4A8FC264" w14:textId="77777777" w:rsidR="00902D7C" w:rsidRDefault="00717CD7">
            <w:pPr>
              <w:spacing w:before="120" w:after="0"/>
              <w:jc w:val="center"/>
              <w:rPr>
                <w:rFonts w:ascii="Arial" w:hAnsi="Arial" w:cs="Arial"/>
                <w:b/>
              </w:rPr>
            </w:pPr>
            <w:r>
              <w:rPr>
                <w:rFonts w:ascii="Arial" w:hAnsi="Arial" w:cs="Arial"/>
                <w:b/>
              </w:rPr>
              <w:t>Company</w:t>
            </w:r>
          </w:p>
        </w:tc>
        <w:tc>
          <w:tcPr>
            <w:tcW w:w="6515" w:type="dxa"/>
          </w:tcPr>
          <w:p w14:paraId="08215F88" w14:textId="77777777" w:rsidR="00902D7C" w:rsidRDefault="00717CD7">
            <w:pPr>
              <w:spacing w:before="120" w:after="0"/>
              <w:jc w:val="center"/>
              <w:rPr>
                <w:rFonts w:ascii="Arial" w:hAnsi="Arial" w:cs="Arial"/>
                <w:b/>
              </w:rPr>
            </w:pPr>
            <w:r>
              <w:rPr>
                <w:rFonts w:ascii="Arial" w:hAnsi="Arial" w:cs="Arial"/>
                <w:b/>
              </w:rPr>
              <w:t>Views</w:t>
            </w:r>
          </w:p>
        </w:tc>
      </w:tr>
      <w:tr w:rsidR="00902D7C" w14:paraId="0C00450B" w14:textId="77777777">
        <w:tc>
          <w:tcPr>
            <w:tcW w:w="1980" w:type="dxa"/>
          </w:tcPr>
          <w:p w14:paraId="45A40939"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6515" w:type="dxa"/>
          </w:tcPr>
          <w:p w14:paraId="41029E0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or different combinations, we have some calculations on the overhead:</w:t>
            </w:r>
          </w:p>
          <w:p w14:paraId="1C74857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lastRenderedPageBreak/>
              <w:t xml:space="preserve"> </w:t>
            </w:r>
            <w:r>
              <w:rPr>
                <w:rFonts w:ascii="Arial" w:eastAsiaTheme="minorEastAsia" w:hAnsi="Arial" w:cs="Arial"/>
                <w:lang w:eastAsia="zh-CN"/>
              </w:rPr>
              <w:t xml:space="preserve">               Max </w:t>
            </w:r>
            <w:proofErr w:type="spellStart"/>
            <w:r>
              <w:rPr>
                <w:rFonts w:ascii="Arial" w:eastAsiaTheme="minorEastAsia" w:hAnsi="Arial" w:cs="Arial"/>
                <w:lang w:eastAsia="zh-CN"/>
              </w:rPr>
              <w:t>playout</w:t>
            </w:r>
            <w:proofErr w:type="spellEnd"/>
            <w:r>
              <w:rPr>
                <w:rFonts w:ascii="Arial" w:eastAsiaTheme="minorEastAsia" w:hAnsi="Arial" w:cs="Arial"/>
                <w:lang w:eastAsia="zh-CN"/>
              </w:rPr>
              <w:t xml:space="preserve"> delay      </w:t>
            </w:r>
            <w:proofErr w:type="spellStart"/>
            <w:r>
              <w:rPr>
                <w:rFonts w:ascii="Arial" w:eastAsiaTheme="minorEastAsia" w:hAnsi="Arial" w:cs="Arial"/>
                <w:lang w:eastAsia="zh-CN"/>
              </w:rPr>
              <w:t>granulartiy</w:t>
            </w:r>
            <w:proofErr w:type="spellEnd"/>
            <w:r>
              <w:rPr>
                <w:rFonts w:ascii="Arial" w:eastAsiaTheme="minorEastAsia" w:hAnsi="Arial" w:cs="Arial"/>
                <w:lang w:eastAsia="zh-CN"/>
              </w:rPr>
              <w:t xml:space="preserve">                        overhead</w:t>
            </w:r>
          </w:p>
          <w:p w14:paraId="3D3054A2"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1ms                                  15 bits</w:t>
            </w:r>
          </w:p>
          <w:p w14:paraId="022BAC1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 xml:space="preserve">Values     30s                             10ms                                12 bits </w:t>
            </w:r>
          </w:p>
          <w:p w14:paraId="60767F2B"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100ms                              9 bits</w:t>
            </w:r>
          </w:p>
          <w:p w14:paraId="3CF97C0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Values     30s                             1000ms                            5 bits</w:t>
            </w:r>
          </w:p>
          <w:p w14:paraId="4A17D622" w14:textId="77777777" w:rsidR="00902D7C" w:rsidRDefault="00902D7C">
            <w:pPr>
              <w:spacing w:before="120" w:after="0"/>
              <w:rPr>
                <w:rFonts w:ascii="Arial" w:eastAsiaTheme="minorEastAsia" w:hAnsi="Arial" w:cs="Arial"/>
                <w:lang w:eastAsia="zh-CN"/>
              </w:rPr>
            </w:pPr>
          </w:p>
          <w:p w14:paraId="0F7EBC0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nlike buffer level, the playout delay is just a value (not a list, and it is event triggered), so we slightly prefer 20ms+1ms as 15 bits overhead is very low.</w:t>
            </w:r>
          </w:p>
        </w:tc>
      </w:tr>
      <w:tr w:rsidR="00902D7C" w14:paraId="0D8ACA02" w14:textId="77777777">
        <w:tc>
          <w:tcPr>
            <w:tcW w:w="1980" w:type="dxa"/>
          </w:tcPr>
          <w:p w14:paraId="01656B13" w14:textId="77777777" w:rsidR="00902D7C" w:rsidRDefault="00717CD7">
            <w:pPr>
              <w:spacing w:before="120" w:after="0"/>
              <w:rPr>
                <w:rFonts w:ascii="Arial" w:hAnsi="Arial" w:cs="Arial"/>
              </w:rPr>
            </w:pPr>
            <w:r>
              <w:rPr>
                <w:rFonts w:ascii="Arial" w:hAnsi="Arial" w:cs="Arial"/>
              </w:rPr>
              <w:lastRenderedPageBreak/>
              <w:t>Ericsson</w:t>
            </w:r>
          </w:p>
        </w:tc>
        <w:tc>
          <w:tcPr>
            <w:tcW w:w="6515" w:type="dxa"/>
          </w:tcPr>
          <w:p w14:paraId="2AC97499" w14:textId="77777777" w:rsidR="00902D7C" w:rsidRDefault="00717CD7">
            <w:pPr>
              <w:spacing w:before="120" w:after="0"/>
              <w:rPr>
                <w:rFonts w:ascii="Arial" w:hAnsi="Arial" w:cs="Arial"/>
              </w:rPr>
            </w:pPr>
            <w:r>
              <w:rPr>
                <w:rFonts w:ascii="Arial" w:hAnsi="Arial" w:cs="Arial"/>
              </w:rPr>
              <w:t>We think 1ms is fine.</w:t>
            </w:r>
          </w:p>
        </w:tc>
      </w:tr>
      <w:tr w:rsidR="00902D7C" w14:paraId="1C18F87F" w14:textId="77777777">
        <w:tc>
          <w:tcPr>
            <w:tcW w:w="1980" w:type="dxa"/>
          </w:tcPr>
          <w:p w14:paraId="20746517" w14:textId="77777777" w:rsidR="00902D7C" w:rsidRDefault="00717CD7">
            <w:pPr>
              <w:spacing w:before="120" w:after="0"/>
              <w:rPr>
                <w:rFonts w:ascii="Arial" w:hAnsi="Arial" w:cs="Arial"/>
              </w:rPr>
            </w:pPr>
            <w:r>
              <w:rPr>
                <w:rFonts w:ascii="Arial" w:hAnsi="Arial" w:cs="Arial"/>
              </w:rPr>
              <w:t>Nokia</w:t>
            </w:r>
          </w:p>
        </w:tc>
        <w:tc>
          <w:tcPr>
            <w:tcW w:w="6515" w:type="dxa"/>
          </w:tcPr>
          <w:p w14:paraId="2C56E196" w14:textId="77777777" w:rsidR="00902D7C" w:rsidRDefault="00717CD7">
            <w:pPr>
              <w:spacing w:before="120" w:after="0"/>
              <w:rPr>
                <w:rFonts w:ascii="Arial" w:hAnsi="Arial" w:cs="Arial"/>
              </w:rPr>
            </w:pPr>
            <w:r>
              <w:rPr>
                <w:rFonts w:ascii="Arial" w:hAnsi="Arial" w:cs="Arial"/>
              </w:rPr>
              <w:t>See answer to Q4</w:t>
            </w:r>
          </w:p>
        </w:tc>
      </w:tr>
      <w:tr w:rsidR="00902D7C" w14:paraId="37F21F0B" w14:textId="77777777">
        <w:tc>
          <w:tcPr>
            <w:tcW w:w="1980" w:type="dxa"/>
          </w:tcPr>
          <w:p w14:paraId="0501D66D" w14:textId="77777777" w:rsidR="00902D7C" w:rsidRDefault="00717CD7">
            <w:pPr>
              <w:spacing w:before="120" w:after="0"/>
              <w:rPr>
                <w:rFonts w:ascii="Arial" w:hAnsi="Arial" w:cs="Arial"/>
              </w:rPr>
            </w:pPr>
            <w:r>
              <w:rPr>
                <w:rFonts w:ascii="Arial" w:hAnsi="Arial" w:cs="Arial"/>
              </w:rPr>
              <w:t>T-Mobile, USA</w:t>
            </w:r>
          </w:p>
        </w:tc>
        <w:tc>
          <w:tcPr>
            <w:tcW w:w="6515" w:type="dxa"/>
          </w:tcPr>
          <w:p w14:paraId="328BCADC" w14:textId="77777777" w:rsidR="00902D7C" w:rsidRDefault="00717CD7">
            <w:pPr>
              <w:spacing w:before="120" w:after="0"/>
              <w:rPr>
                <w:rFonts w:ascii="Arial" w:hAnsi="Arial" w:cs="Arial"/>
              </w:rPr>
            </w:pPr>
            <w:r>
              <w:rPr>
                <w:rFonts w:ascii="Arial" w:hAnsi="Arial" w:cs="Arial"/>
              </w:rPr>
              <w:t xml:space="preserve">Agree with Ericsson. </w:t>
            </w:r>
          </w:p>
        </w:tc>
      </w:tr>
      <w:tr w:rsidR="00902D7C" w14:paraId="24238669" w14:textId="77777777">
        <w:tc>
          <w:tcPr>
            <w:tcW w:w="1980" w:type="dxa"/>
          </w:tcPr>
          <w:p w14:paraId="5E9DC545"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6515" w:type="dxa"/>
          </w:tcPr>
          <w:p w14:paraId="65A5C92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Agree with HW.</w:t>
            </w:r>
          </w:p>
        </w:tc>
      </w:tr>
      <w:tr w:rsidR="00902D7C" w14:paraId="419D8FE6" w14:textId="77777777">
        <w:tc>
          <w:tcPr>
            <w:tcW w:w="1980" w:type="dxa"/>
          </w:tcPr>
          <w:p w14:paraId="01E8336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6515" w:type="dxa"/>
          </w:tcPr>
          <w:p w14:paraId="4409A8C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This is playout delay, not traffic delay, we understand 1s or 100ms is enough. But can be fine with majority view.</w:t>
            </w:r>
          </w:p>
        </w:tc>
      </w:tr>
      <w:tr w:rsidR="00902D7C" w14:paraId="22C12F6A" w14:textId="77777777">
        <w:tc>
          <w:tcPr>
            <w:tcW w:w="1980" w:type="dxa"/>
          </w:tcPr>
          <w:p w14:paraId="54A649B6"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vivo</w:t>
            </w:r>
          </w:p>
        </w:tc>
        <w:tc>
          <w:tcPr>
            <w:tcW w:w="6515" w:type="dxa"/>
          </w:tcPr>
          <w:p w14:paraId="0A66BF2F" w14:textId="77777777" w:rsidR="00902D7C" w:rsidRDefault="00717CD7">
            <w:pPr>
              <w:spacing w:before="120" w:after="0"/>
              <w:rPr>
                <w:rFonts w:ascii="Arial" w:eastAsiaTheme="minorEastAsia" w:hAnsi="Arial" w:cs="Arial"/>
                <w:lang w:eastAsia="zh-CN"/>
              </w:rPr>
            </w:pPr>
            <w:r>
              <w:rPr>
                <w:rFonts w:ascii="Arial" w:hAnsi="Arial" w:cs="Arial"/>
              </w:rPr>
              <w:t>1ms – 1s is acceptable. But ok to follow the further guideline of RAN3, if any.</w:t>
            </w:r>
          </w:p>
        </w:tc>
      </w:tr>
      <w:tr w:rsidR="00902D7C" w14:paraId="0B8600DF" w14:textId="77777777">
        <w:tc>
          <w:tcPr>
            <w:tcW w:w="1980" w:type="dxa"/>
          </w:tcPr>
          <w:p w14:paraId="6844B7F8"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6515" w:type="dxa"/>
          </w:tcPr>
          <w:p w14:paraId="2F52835B" w14:textId="77777777" w:rsidR="00902D7C" w:rsidRDefault="00717CD7">
            <w:pPr>
              <w:spacing w:before="120" w:after="0"/>
              <w:rPr>
                <w:rFonts w:ascii="Arial" w:eastAsiaTheme="minorEastAsia" w:hAnsi="Arial" w:cs="Arial"/>
                <w:lang w:eastAsia="zh-CN"/>
              </w:rPr>
            </w:pPr>
            <w:r>
              <w:rPr>
                <w:rFonts w:ascii="Arial" w:hAnsi="Arial" w:cs="Arial"/>
              </w:rPr>
              <w:t>1ms is fine</w:t>
            </w:r>
          </w:p>
        </w:tc>
      </w:tr>
      <w:tr w:rsidR="00BD7B48" w14:paraId="2A445BD8" w14:textId="77777777">
        <w:tc>
          <w:tcPr>
            <w:tcW w:w="1980" w:type="dxa"/>
          </w:tcPr>
          <w:p w14:paraId="173952CD" w14:textId="3292FC48" w:rsidR="00BD7B48" w:rsidRDefault="00BD7B48">
            <w:pPr>
              <w:spacing w:before="120"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15" w:type="dxa"/>
          </w:tcPr>
          <w:p w14:paraId="0D2A4922" w14:textId="78210E3C" w:rsidR="00BD7B48" w:rsidRPr="00BD7B48" w:rsidRDefault="00BD7B48">
            <w:pPr>
              <w:spacing w:before="120" w:after="0"/>
              <w:rPr>
                <w:rFonts w:ascii="Arial" w:eastAsiaTheme="minorEastAsia" w:hAnsi="Arial" w:cs="Arial"/>
                <w:lang w:eastAsia="zh-CN"/>
              </w:rPr>
            </w:pPr>
            <w:r>
              <w:rPr>
                <w:rFonts w:ascii="Arial" w:eastAsiaTheme="minorEastAsia" w:hAnsi="Arial" w:cs="Arial"/>
                <w:lang w:eastAsia="zh-CN"/>
              </w:rPr>
              <w:t xml:space="preserve">The finest granularity could be 10 </w:t>
            </w:r>
            <w:proofErr w:type="spellStart"/>
            <w:r>
              <w:rPr>
                <w:rFonts w:ascii="Arial" w:eastAsiaTheme="minorEastAsia" w:hAnsi="Arial" w:cs="Arial"/>
                <w:lang w:eastAsia="zh-CN"/>
              </w:rPr>
              <w:t>ms</w:t>
            </w:r>
            <w:proofErr w:type="spellEnd"/>
          </w:p>
        </w:tc>
      </w:tr>
      <w:tr w:rsidR="008A22DE" w14:paraId="36686465" w14:textId="77777777">
        <w:tc>
          <w:tcPr>
            <w:tcW w:w="1980" w:type="dxa"/>
          </w:tcPr>
          <w:p w14:paraId="53D93906" w14:textId="1C11C5EE"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6515" w:type="dxa"/>
          </w:tcPr>
          <w:p w14:paraId="4F6D7D2F" w14:textId="70E2EE8F"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 xml:space="preserve">We prefer </w:t>
            </w:r>
            <w:r>
              <w:rPr>
                <w:rFonts w:ascii="Arial" w:hAnsi="Arial" w:cs="Arial"/>
                <w:lang w:eastAsia="ko-KR"/>
              </w:rPr>
              <w:t>a</w:t>
            </w:r>
            <w:r>
              <w:rPr>
                <w:rFonts w:ascii="Arial" w:hAnsi="Arial" w:cs="Arial" w:hint="eastAsia"/>
                <w:lang w:eastAsia="ko-KR"/>
              </w:rPr>
              <w:t xml:space="preserve"> larger granularity fo</w:t>
            </w:r>
            <w:r>
              <w:rPr>
                <w:rFonts w:ascii="Arial" w:hAnsi="Arial" w:cs="Arial"/>
                <w:lang w:eastAsia="ko-KR"/>
              </w:rPr>
              <w:t>r reducing signalling overhead.</w:t>
            </w:r>
          </w:p>
        </w:tc>
      </w:tr>
      <w:tr w:rsidR="00196771" w14:paraId="24763B5B" w14:textId="77777777">
        <w:tc>
          <w:tcPr>
            <w:tcW w:w="1980" w:type="dxa"/>
          </w:tcPr>
          <w:p w14:paraId="4497D3F2" w14:textId="57345669" w:rsidR="00196771" w:rsidRDefault="00196771" w:rsidP="00196771">
            <w:pPr>
              <w:spacing w:before="120" w:after="0"/>
              <w:rPr>
                <w:rFonts w:ascii="Arial" w:hAnsi="Arial" w:cs="Arial"/>
                <w:lang w:eastAsia="ko-KR"/>
              </w:rPr>
            </w:pPr>
            <w:r>
              <w:rPr>
                <w:rFonts w:ascii="Arial" w:eastAsia="PMingLiU" w:hAnsi="Arial" w:cs="Arial"/>
                <w:lang w:eastAsia="zh-TW"/>
              </w:rPr>
              <w:t>ITRI</w:t>
            </w:r>
          </w:p>
        </w:tc>
        <w:tc>
          <w:tcPr>
            <w:tcW w:w="6515" w:type="dxa"/>
          </w:tcPr>
          <w:p w14:paraId="0FAABF36" w14:textId="0DE3EEA9" w:rsidR="00196771" w:rsidRDefault="00196771" w:rsidP="00196771">
            <w:pPr>
              <w:spacing w:before="120" w:after="0"/>
              <w:rPr>
                <w:rFonts w:ascii="Arial" w:hAnsi="Arial" w:cs="Arial"/>
                <w:lang w:eastAsia="ko-KR"/>
              </w:rPr>
            </w:pPr>
            <w:r>
              <w:rPr>
                <w:rFonts w:ascii="Arial" w:eastAsia="PMingLiU" w:hAnsi="Arial" w:cs="Arial" w:hint="eastAsia"/>
                <w:lang w:eastAsia="zh-TW"/>
              </w:rPr>
              <w:t>W</w:t>
            </w:r>
            <w:r>
              <w:rPr>
                <w:rFonts w:ascii="Arial" w:eastAsia="PMingLiU" w:hAnsi="Arial" w:cs="Arial"/>
                <w:lang w:eastAsia="zh-TW"/>
              </w:rPr>
              <w:t xml:space="preserve">e think the 1ms </w:t>
            </w:r>
            <w:r>
              <w:rPr>
                <w:rFonts w:ascii="Arial" w:eastAsiaTheme="minorEastAsia" w:hAnsi="Arial" w:cs="Arial"/>
                <w:lang w:eastAsia="zh-CN"/>
              </w:rPr>
              <w:t>granularity</w:t>
            </w:r>
            <w:r>
              <w:rPr>
                <w:rFonts w:ascii="Arial" w:eastAsia="PMingLiU" w:hAnsi="Arial" w:cs="Arial"/>
                <w:lang w:eastAsia="zh-TW"/>
              </w:rPr>
              <w:t xml:space="preserve"> is OK. </w:t>
            </w:r>
          </w:p>
        </w:tc>
      </w:tr>
      <w:tr w:rsidR="00090D37" w14:paraId="01181768" w14:textId="77777777">
        <w:tc>
          <w:tcPr>
            <w:tcW w:w="1980" w:type="dxa"/>
          </w:tcPr>
          <w:p w14:paraId="4064CAB1" w14:textId="19DCCC0B" w:rsidR="00090D37" w:rsidRDefault="00090D37" w:rsidP="00090D37">
            <w:pPr>
              <w:spacing w:before="120" w:after="0"/>
              <w:rPr>
                <w:rFonts w:ascii="Arial" w:eastAsia="PMingLiU" w:hAnsi="Arial" w:cs="Arial"/>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6515" w:type="dxa"/>
          </w:tcPr>
          <w:p w14:paraId="75C0D0D3" w14:textId="468C93E5" w:rsidR="00090D37" w:rsidRDefault="00090D37" w:rsidP="00090D37">
            <w:pPr>
              <w:spacing w:before="120" w:after="0"/>
              <w:rPr>
                <w:rFonts w:ascii="Arial" w:eastAsia="PMingLiU" w:hAnsi="Arial" w:cs="Arial" w:hint="eastAsia"/>
                <w:lang w:eastAsia="zh-TW"/>
              </w:rPr>
            </w:pPr>
            <w:r>
              <w:rPr>
                <w:rFonts w:ascii="Arial" w:eastAsiaTheme="minorEastAsia" w:hAnsi="Arial" w:cs="Arial"/>
                <w:lang w:eastAsia="zh-CN"/>
              </w:rPr>
              <w:t xml:space="preserve">30s is not a very large value, so we prefer the </w:t>
            </w:r>
            <w:r w:rsidRPr="00F90755">
              <w:rPr>
                <w:rFonts w:ascii="Arial" w:eastAsiaTheme="minorEastAsia" w:hAnsi="Arial" w:cs="Arial"/>
                <w:lang w:eastAsia="zh-CN"/>
              </w:rPr>
              <w:t>granularity</w:t>
            </w:r>
            <w:r>
              <w:rPr>
                <w:rFonts w:ascii="Arial" w:eastAsiaTheme="minorEastAsia" w:hAnsi="Arial" w:cs="Arial"/>
                <w:lang w:eastAsia="zh-CN"/>
              </w:rPr>
              <w:t xml:space="preserve"> for </w:t>
            </w:r>
            <w:proofErr w:type="spellStart"/>
            <w:r>
              <w:rPr>
                <w:rFonts w:ascii="Arial" w:eastAsiaTheme="minorEastAsia" w:hAnsi="Arial" w:cs="Arial"/>
                <w:lang w:eastAsia="zh-CN"/>
              </w:rPr>
              <w:t>Playout</w:t>
            </w:r>
            <w:proofErr w:type="spellEnd"/>
            <w:r>
              <w:rPr>
                <w:rFonts w:ascii="Arial" w:eastAsiaTheme="minorEastAsia" w:hAnsi="Arial" w:cs="Arial"/>
                <w:lang w:eastAsia="zh-CN"/>
              </w:rPr>
              <w:t xml:space="preserve"> delay is 1ms.</w:t>
            </w:r>
          </w:p>
        </w:tc>
      </w:tr>
    </w:tbl>
    <w:p w14:paraId="2EDC1114" w14:textId="77777777" w:rsidR="00902D7C" w:rsidRDefault="00717CD7">
      <w:pPr>
        <w:pStyle w:val="3"/>
        <w:spacing w:after="0"/>
        <w:rPr>
          <w:rFonts w:cs="Arial"/>
        </w:rPr>
      </w:pPr>
      <w:r>
        <w:rPr>
          <w:rFonts w:cs="Arial"/>
        </w:rPr>
        <w:t xml:space="preserve">3.3 </w:t>
      </w:r>
      <w:proofErr w:type="spellStart"/>
      <w:r>
        <w:rPr>
          <w:rFonts w:cs="Arial"/>
        </w:rPr>
        <w:t>RVQoE</w:t>
      </w:r>
      <w:proofErr w:type="spellEnd"/>
      <w:r>
        <w:rPr>
          <w:rFonts w:cs="Arial"/>
        </w:rPr>
        <w:t xml:space="preserve"> reporting</w:t>
      </w:r>
    </w:p>
    <w:p w14:paraId="4B87EA3B" w14:textId="77777777" w:rsidR="00902D7C" w:rsidRDefault="00717CD7">
      <w:pPr>
        <w:rPr>
          <w:rFonts w:ascii="Arial" w:hAnsi="Arial"/>
          <w:iCs/>
        </w:rPr>
      </w:pPr>
      <w:r>
        <w:rPr>
          <w:rFonts w:ascii="Arial" w:hAnsi="Arial" w:cs="Arial"/>
        </w:rPr>
        <w:t xml:space="preserve">When RRC layer receives the RVQoE measurement from application layer, RRC layer should report RVQoE measurements to gNB. Some contributions propose to include the </w:t>
      </w:r>
      <w:proofErr w:type="spellStart"/>
      <w:r>
        <w:rPr>
          <w:rFonts w:ascii="Arial" w:hAnsi="Arial" w:cs="Arial"/>
        </w:rPr>
        <w:t>RVQoE</w:t>
      </w:r>
      <w:proofErr w:type="spellEnd"/>
      <w:r>
        <w:rPr>
          <w:rFonts w:ascii="Arial" w:hAnsi="Arial" w:cs="Arial"/>
        </w:rPr>
        <w:t xml:space="preserve"> measurements into </w:t>
      </w:r>
      <w:proofErr w:type="spellStart"/>
      <w:r>
        <w:rPr>
          <w:rFonts w:ascii="Arial" w:hAnsi="Arial"/>
          <w:i/>
        </w:rPr>
        <w:t>MeasReportAppLayer</w:t>
      </w:r>
      <w:proofErr w:type="spellEnd"/>
      <w:r>
        <w:rPr>
          <w:rFonts w:ascii="Arial" w:hAnsi="Arial"/>
          <w:i/>
        </w:rPr>
        <w:t xml:space="preserve">, </w:t>
      </w:r>
      <w:r>
        <w:rPr>
          <w:rFonts w:ascii="Arial" w:hAnsi="Arial"/>
          <w:iCs/>
        </w:rPr>
        <w:t>and please note this is irrespective of the SRB to transmit RVQoE reporting.</w:t>
      </w:r>
    </w:p>
    <w:p w14:paraId="3831BB97" w14:textId="77777777" w:rsidR="00902D7C" w:rsidRDefault="00717CD7">
      <w:pPr>
        <w:rPr>
          <w:rFonts w:ascii="Arial" w:hAnsi="Arial" w:cs="Arial"/>
          <w:b/>
          <w:bCs/>
          <w:iCs/>
        </w:rPr>
      </w:pPr>
      <w:r>
        <w:rPr>
          <w:rFonts w:ascii="Arial" w:hAnsi="Arial" w:cs="Arial"/>
          <w:b/>
          <w:bCs/>
        </w:rPr>
        <w:t xml:space="preserve">Q9:  </w:t>
      </w:r>
      <w:r>
        <w:rPr>
          <w:rFonts w:ascii="Arial" w:hAnsi="Arial"/>
          <w:b/>
          <w:bCs/>
        </w:rPr>
        <w:t xml:space="preserve">Whether companies agree </w:t>
      </w:r>
      <w:r>
        <w:rPr>
          <w:rFonts w:ascii="Arial" w:hAnsi="Arial" w:cs="Arial"/>
          <w:b/>
          <w:bCs/>
        </w:rPr>
        <w:t xml:space="preserve">RVQoE measurements should be included into </w:t>
      </w:r>
      <w:proofErr w:type="spellStart"/>
      <w:r>
        <w:rPr>
          <w:rFonts w:ascii="Arial" w:hAnsi="Arial"/>
          <w:b/>
          <w:bCs/>
          <w:i/>
        </w:rPr>
        <w:t>MeasReportAppLayer</w:t>
      </w:r>
      <w:proofErr w:type="spellEnd"/>
      <w:r>
        <w:rPr>
          <w:rFonts w:ascii="Arial" w:hAnsi="Arial"/>
          <w:b/>
          <w:bCs/>
          <w:i/>
        </w:rPr>
        <w:t xml:space="preserve"> </w:t>
      </w:r>
      <w:r>
        <w:rPr>
          <w:rFonts w:ascii="Arial" w:hAnsi="Arial"/>
          <w:b/>
          <w:bCs/>
          <w:iCs/>
        </w:rPr>
        <w:t>message?</w:t>
      </w:r>
    </w:p>
    <w:tbl>
      <w:tblPr>
        <w:tblStyle w:val="af"/>
        <w:tblW w:w="0" w:type="auto"/>
        <w:tblLook w:val="04A0" w:firstRow="1" w:lastRow="0" w:firstColumn="1" w:lastColumn="0" w:noHBand="0" w:noVBand="1"/>
      </w:tblPr>
      <w:tblGrid>
        <w:gridCol w:w="1980"/>
        <w:gridCol w:w="1134"/>
        <w:gridCol w:w="6515"/>
      </w:tblGrid>
      <w:tr w:rsidR="00902D7C" w14:paraId="7B8636CD" w14:textId="77777777">
        <w:tc>
          <w:tcPr>
            <w:tcW w:w="1980" w:type="dxa"/>
          </w:tcPr>
          <w:p w14:paraId="66F667BF"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5F6E6B4"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3BFD327A"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0073A0E7" w14:textId="77777777">
        <w:tc>
          <w:tcPr>
            <w:tcW w:w="1980" w:type="dxa"/>
          </w:tcPr>
          <w:p w14:paraId="66F1576C"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53B3BB4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3125567C"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We have a different view from “</w:t>
            </w:r>
            <w:r>
              <w:rPr>
                <w:rFonts w:ascii="Arial" w:hAnsi="Arial"/>
                <w:iCs/>
              </w:rPr>
              <w:t xml:space="preserve">and please note this is irrespective of the SRB to transmit RVQoE reporting”. If we use another SRB, a separate message will be much easier. If we use the same SRB, </w:t>
            </w:r>
            <w:r>
              <w:rPr>
                <w:rFonts w:ascii="Arial" w:eastAsiaTheme="minorEastAsia" w:hAnsi="Arial" w:cs="Arial"/>
                <w:lang w:eastAsia="zh-CN"/>
              </w:rPr>
              <w:t>it is reasonable to put all QoE measurements in the same RRC message.</w:t>
            </w:r>
          </w:p>
        </w:tc>
      </w:tr>
      <w:tr w:rsidR="00902D7C" w14:paraId="3C6AB9F0" w14:textId="77777777">
        <w:tc>
          <w:tcPr>
            <w:tcW w:w="1980" w:type="dxa"/>
          </w:tcPr>
          <w:p w14:paraId="6EF066D4" w14:textId="77777777" w:rsidR="00902D7C" w:rsidRDefault="00717CD7">
            <w:pPr>
              <w:spacing w:before="120" w:after="0"/>
              <w:rPr>
                <w:rFonts w:ascii="Arial" w:hAnsi="Arial" w:cs="Arial"/>
              </w:rPr>
            </w:pPr>
            <w:r>
              <w:rPr>
                <w:rFonts w:ascii="Arial" w:hAnsi="Arial" w:cs="Arial"/>
              </w:rPr>
              <w:t>Ericsson</w:t>
            </w:r>
          </w:p>
        </w:tc>
        <w:tc>
          <w:tcPr>
            <w:tcW w:w="1134" w:type="dxa"/>
          </w:tcPr>
          <w:p w14:paraId="17A5B39A" w14:textId="77777777" w:rsidR="00902D7C" w:rsidRDefault="00717CD7">
            <w:pPr>
              <w:spacing w:before="120" w:after="0"/>
              <w:rPr>
                <w:rFonts w:ascii="Arial" w:hAnsi="Arial" w:cs="Arial"/>
              </w:rPr>
            </w:pPr>
            <w:r>
              <w:rPr>
                <w:rFonts w:ascii="Arial" w:hAnsi="Arial" w:cs="Arial"/>
              </w:rPr>
              <w:t>Yes</w:t>
            </w:r>
          </w:p>
        </w:tc>
        <w:tc>
          <w:tcPr>
            <w:tcW w:w="6515" w:type="dxa"/>
          </w:tcPr>
          <w:p w14:paraId="4AE7DF34" w14:textId="77777777" w:rsidR="00902D7C" w:rsidRDefault="00717CD7">
            <w:pPr>
              <w:spacing w:before="120" w:after="0"/>
              <w:rPr>
                <w:rFonts w:ascii="Arial" w:hAnsi="Arial" w:cs="Arial"/>
              </w:rPr>
            </w:pPr>
            <w:r>
              <w:rPr>
                <w:rFonts w:ascii="Arial" w:hAnsi="Arial" w:cs="Arial"/>
              </w:rPr>
              <w:t xml:space="preserve">We agree with QC that it is irrespective of which SRB to transmit the message on. There are other examples of messages being transmitted on different SRBs depending on the case, e.g. </w:t>
            </w:r>
            <w:proofErr w:type="spellStart"/>
            <w:r>
              <w:rPr>
                <w:rFonts w:ascii="Arial" w:hAnsi="Arial" w:cs="Arial"/>
                <w:i/>
              </w:rPr>
              <w:t>ULDedicatedMessageSegment</w:t>
            </w:r>
            <w:proofErr w:type="spellEnd"/>
            <w:r>
              <w:rPr>
                <w:rFonts w:ascii="Arial" w:hAnsi="Arial" w:cs="Arial"/>
              </w:rPr>
              <w:t xml:space="preserve"> where we just introduced such differentiation in the running CR.</w:t>
            </w:r>
          </w:p>
        </w:tc>
      </w:tr>
      <w:tr w:rsidR="00902D7C" w14:paraId="046FEA1C" w14:textId="77777777">
        <w:tc>
          <w:tcPr>
            <w:tcW w:w="1980" w:type="dxa"/>
          </w:tcPr>
          <w:p w14:paraId="656C032D" w14:textId="77777777" w:rsidR="00902D7C" w:rsidRDefault="00717CD7">
            <w:pPr>
              <w:spacing w:before="120" w:after="0"/>
              <w:rPr>
                <w:rFonts w:ascii="Arial" w:hAnsi="Arial" w:cs="Arial"/>
              </w:rPr>
            </w:pPr>
            <w:r>
              <w:rPr>
                <w:rFonts w:ascii="Arial" w:hAnsi="Arial" w:cs="Arial"/>
              </w:rPr>
              <w:t>Nokia</w:t>
            </w:r>
          </w:p>
        </w:tc>
        <w:tc>
          <w:tcPr>
            <w:tcW w:w="1134" w:type="dxa"/>
          </w:tcPr>
          <w:p w14:paraId="7BC2D120" w14:textId="77777777" w:rsidR="00902D7C" w:rsidRDefault="00717CD7">
            <w:pPr>
              <w:spacing w:before="120" w:after="0"/>
              <w:rPr>
                <w:rFonts w:ascii="Arial" w:hAnsi="Arial" w:cs="Arial"/>
              </w:rPr>
            </w:pPr>
            <w:r>
              <w:rPr>
                <w:rFonts w:ascii="Arial" w:hAnsi="Arial" w:cs="Arial"/>
              </w:rPr>
              <w:t>Yes</w:t>
            </w:r>
          </w:p>
        </w:tc>
        <w:tc>
          <w:tcPr>
            <w:tcW w:w="6515" w:type="dxa"/>
          </w:tcPr>
          <w:p w14:paraId="7BDDBB85"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Makes the RAN-visible QoE as a feature complementary to regular QoE</w:t>
            </w:r>
            <w:r>
              <w:rPr>
                <w:rStyle w:val="eop"/>
                <w:rFonts w:ascii="Arial" w:hAnsi="Arial" w:cs="Arial"/>
                <w:color w:val="000000"/>
                <w:shd w:val="clear" w:color="auto" w:fill="FFFFFF"/>
              </w:rPr>
              <w:t> </w:t>
            </w:r>
          </w:p>
        </w:tc>
      </w:tr>
      <w:tr w:rsidR="00902D7C" w14:paraId="09C2517A" w14:textId="77777777">
        <w:tc>
          <w:tcPr>
            <w:tcW w:w="1980" w:type="dxa"/>
          </w:tcPr>
          <w:p w14:paraId="5474F356"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25A808CE"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Depends</w:t>
            </w:r>
          </w:p>
        </w:tc>
        <w:tc>
          <w:tcPr>
            <w:tcW w:w="6515" w:type="dxa"/>
          </w:tcPr>
          <w:p w14:paraId="3A66832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 xml:space="preserve">We are fine with either the same message or separate messages. But we agree that even with the same </w:t>
            </w:r>
            <w:r>
              <w:rPr>
                <w:rFonts w:ascii="Arial" w:eastAsiaTheme="minorEastAsia" w:hAnsi="Arial" w:cs="Arial"/>
                <w:lang w:eastAsia="zh-CN"/>
              </w:rPr>
              <w:t>message</w:t>
            </w:r>
            <w:r>
              <w:rPr>
                <w:rFonts w:ascii="Arial" w:eastAsiaTheme="minorEastAsia" w:hAnsi="Arial" w:cs="Arial" w:hint="eastAsia"/>
                <w:lang w:eastAsia="zh-CN"/>
              </w:rPr>
              <w:t xml:space="preserve">, the reports for </w:t>
            </w:r>
            <w:r>
              <w:rPr>
                <w:rFonts w:ascii="Arial" w:eastAsiaTheme="minorEastAsia" w:hAnsi="Arial" w:cs="Arial"/>
                <w:lang w:eastAsia="zh-CN"/>
              </w:rPr>
              <w:t>legacy</w:t>
            </w:r>
            <w:r>
              <w:rPr>
                <w:rFonts w:ascii="Arial" w:eastAsiaTheme="minorEastAsia" w:hAnsi="Arial" w:cs="Arial" w:hint="eastAsia"/>
                <w:lang w:eastAsia="zh-CN"/>
              </w:rPr>
              <w:t xml:space="preserve"> QoE and RVQoE can be transmitted via different SRBs.</w:t>
            </w:r>
          </w:p>
        </w:tc>
      </w:tr>
      <w:tr w:rsidR="00902D7C" w14:paraId="019687C6" w14:textId="77777777">
        <w:tc>
          <w:tcPr>
            <w:tcW w:w="1980" w:type="dxa"/>
          </w:tcPr>
          <w:p w14:paraId="7EBC74C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lastRenderedPageBreak/>
              <w:t>Qualcomm</w:t>
            </w:r>
          </w:p>
        </w:tc>
        <w:tc>
          <w:tcPr>
            <w:tcW w:w="1134" w:type="dxa"/>
          </w:tcPr>
          <w:p w14:paraId="1ED91717"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09579FB5" w14:textId="77777777" w:rsidR="00902D7C" w:rsidRDefault="00902D7C">
            <w:pPr>
              <w:spacing w:before="120" w:after="0"/>
              <w:rPr>
                <w:rFonts w:ascii="Arial" w:eastAsiaTheme="minorEastAsia" w:hAnsi="Arial" w:cs="Arial"/>
                <w:lang w:eastAsia="zh-CN"/>
              </w:rPr>
            </w:pPr>
          </w:p>
        </w:tc>
      </w:tr>
      <w:tr w:rsidR="00902D7C" w14:paraId="720D8FD5" w14:textId="77777777">
        <w:tc>
          <w:tcPr>
            <w:tcW w:w="1980" w:type="dxa"/>
          </w:tcPr>
          <w:p w14:paraId="06E36012"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5BE93B4D"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1D94D71F" w14:textId="77777777" w:rsidR="00902D7C" w:rsidRDefault="00717CD7">
            <w:pPr>
              <w:spacing w:before="120" w:after="0"/>
              <w:rPr>
                <w:rFonts w:ascii="Arial" w:eastAsiaTheme="minorEastAsia" w:hAnsi="Arial" w:cs="Arial"/>
                <w:lang w:eastAsia="zh-CN"/>
              </w:rPr>
            </w:pPr>
            <w:r>
              <w:rPr>
                <w:rFonts w:ascii="Arial" w:hAnsi="Arial" w:cs="Arial"/>
              </w:rPr>
              <w:t>Agree with QC that it is irrespective of the SRB issue. Some existing RRC messages can be sent via different SRBs and different RRC messages can be sent via the same SRB.</w:t>
            </w:r>
          </w:p>
        </w:tc>
      </w:tr>
      <w:tr w:rsidR="00902D7C" w14:paraId="58E2BC43" w14:textId="77777777">
        <w:tc>
          <w:tcPr>
            <w:tcW w:w="1980" w:type="dxa"/>
          </w:tcPr>
          <w:p w14:paraId="0D53DAD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4FF1257"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286F8234" w14:textId="77777777" w:rsidR="00902D7C" w:rsidRDefault="00902D7C">
            <w:pPr>
              <w:spacing w:before="120" w:after="0"/>
              <w:rPr>
                <w:rFonts w:ascii="Arial" w:eastAsiaTheme="minorEastAsia" w:hAnsi="Arial" w:cs="Arial"/>
                <w:lang w:eastAsia="zh-CN"/>
              </w:rPr>
            </w:pPr>
          </w:p>
        </w:tc>
      </w:tr>
      <w:tr w:rsidR="00902D7C" w14:paraId="4D0664A1" w14:textId="77777777">
        <w:tc>
          <w:tcPr>
            <w:tcW w:w="1980" w:type="dxa"/>
          </w:tcPr>
          <w:p w14:paraId="0D5D3919"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4C6436F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3B9E8FFB" w14:textId="77777777" w:rsidR="00902D7C" w:rsidRDefault="00902D7C">
            <w:pPr>
              <w:spacing w:before="120" w:after="0"/>
              <w:rPr>
                <w:rFonts w:ascii="Arial" w:eastAsiaTheme="minorEastAsia" w:hAnsi="Arial" w:cs="Arial"/>
                <w:lang w:eastAsia="zh-CN"/>
              </w:rPr>
            </w:pPr>
          </w:p>
        </w:tc>
      </w:tr>
      <w:tr w:rsidR="00BD7B48" w14:paraId="1F42AA5E" w14:textId="77777777">
        <w:tc>
          <w:tcPr>
            <w:tcW w:w="1980" w:type="dxa"/>
          </w:tcPr>
          <w:p w14:paraId="3B16127A" w14:textId="0645B14D"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58CF9348" w14:textId="3AAF9D55"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2E521D81" w14:textId="7E338EDB" w:rsidR="00BD7B48" w:rsidRDefault="00BD7B48" w:rsidP="00BD7B48">
            <w:pPr>
              <w:spacing w:before="120" w:after="0"/>
              <w:rPr>
                <w:rFonts w:ascii="Arial" w:eastAsiaTheme="minorEastAsia" w:hAnsi="Arial" w:cs="Arial"/>
                <w:lang w:eastAsia="zh-CN"/>
              </w:rPr>
            </w:pPr>
            <w:r>
              <w:rPr>
                <w:rFonts w:ascii="Arial" w:eastAsiaTheme="minorEastAsia" w:hAnsi="Arial" w:cs="Arial"/>
                <w:lang w:eastAsia="zh-CN"/>
              </w:rPr>
              <w:t xml:space="preserve">The implementation could be similar with inclusion of the </w:t>
            </w:r>
            <w:proofErr w:type="spellStart"/>
            <w:r w:rsidRPr="00D11D97">
              <w:rPr>
                <w:rFonts w:ascii="Arial" w:eastAsiaTheme="minorEastAsia" w:hAnsi="Arial" w:cs="Arial"/>
                <w:i/>
                <w:iCs/>
                <w:lang w:eastAsia="zh-CN"/>
              </w:rPr>
              <w:t>serviceType</w:t>
            </w:r>
            <w:proofErr w:type="spellEnd"/>
            <w:r>
              <w:rPr>
                <w:rFonts w:ascii="Arial" w:eastAsiaTheme="minorEastAsia" w:hAnsi="Arial" w:cs="Arial"/>
                <w:lang w:eastAsia="zh-CN"/>
              </w:rPr>
              <w:t xml:space="preserve"> in the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measurement report RRC msg. </w:t>
            </w:r>
          </w:p>
        </w:tc>
      </w:tr>
      <w:tr w:rsidR="008A22DE" w14:paraId="1337B4A5" w14:textId="77777777">
        <w:tc>
          <w:tcPr>
            <w:tcW w:w="1980" w:type="dxa"/>
          </w:tcPr>
          <w:p w14:paraId="17D290D3" w14:textId="27B3C71B"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040A9C10" w14:textId="36EA106E"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2611C823" w14:textId="4C851996" w:rsidR="008A22DE" w:rsidRDefault="008A22DE" w:rsidP="008A22DE">
            <w:pPr>
              <w:spacing w:before="120" w:after="0"/>
              <w:rPr>
                <w:rFonts w:ascii="Arial" w:eastAsiaTheme="minorEastAsia" w:hAnsi="Arial" w:cs="Arial"/>
                <w:lang w:eastAsia="zh-CN"/>
              </w:rPr>
            </w:pPr>
            <w:r>
              <w:rPr>
                <w:rFonts w:ascii="Arial" w:hAnsi="Arial" w:cs="Arial"/>
              </w:rPr>
              <w:t xml:space="preserve">We think RVQoE measurement results can be reported with or without </w:t>
            </w:r>
            <w:proofErr w:type="spellStart"/>
            <w:r>
              <w:rPr>
                <w:rFonts w:ascii="Arial" w:hAnsi="Arial" w:cs="Arial"/>
              </w:rPr>
              <w:t>LegacyQoE</w:t>
            </w:r>
            <w:proofErr w:type="spellEnd"/>
            <w:r>
              <w:rPr>
                <w:rFonts w:ascii="Arial" w:hAnsi="Arial" w:cs="Arial"/>
              </w:rPr>
              <w:t xml:space="preserve"> measurement results, which implies that </w:t>
            </w:r>
            <w:proofErr w:type="spellStart"/>
            <w:r>
              <w:rPr>
                <w:rFonts w:ascii="Arial" w:hAnsi="Arial" w:cs="Arial"/>
              </w:rPr>
              <w:t>MeasReportAppLayer</w:t>
            </w:r>
            <w:proofErr w:type="spellEnd"/>
            <w:r>
              <w:rPr>
                <w:rFonts w:ascii="Arial" w:hAnsi="Arial" w:cs="Arial"/>
              </w:rPr>
              <w:t xml:space="preserve"> can only contain the RVQoE measurement results.</w:t>
            </w:r>
          </w:p>
        </w:tc>
      </w:tr>
      <w:tr w:rsidR="00196771" w14:paraId="0E7B84F2" w14:textId="77777777">
        <w:tc>
          <w:tcPr>
            <w:tcW w:w="1980" w:type="dxa"/>
          </w:tcPr>
          <w:p w14:paraId="76CD22AA" w14:textId="61E276B4"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36B7B9E3" w14:textId="47F0C277" w:rsidR="00196771" w:rsidRDefault="00196771" w:rsidP="00196771">
            <w:pPr>
              <w:spacing w:before="120" w:after="0"/>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4163031F" w14:textId="77777777" w:rsidR="00196771" w:rsidRDefault="00196771" w:rsidP="00196771">
            <w:pPr>
              <w:spacing w:before="120" w:after="0"/>
              <w:rPr>
                <w:rFonts w:ascii="Arial" w:hAnsi="Arial" w:cs="Arial"/>
              </w:rPr>
            </w:pPr>
          </w:p>
        </w:tc>
      </w:tr>
      <w:tr w:rsidR="00090D37" w14:paraId="437E01FF" w14:textId="77777777">
        <w:tc>
          <w:tcPr>
            <w:tcW w:w="1980" w:type="dxa"/>
          </w:tcPr>
          <w:p w14:paraId="3B6DCE35" w14:textId="7CF10718" w:rsidR="00090D37" w:rsidRDefault="00090D37" w:rsidP="00090D37">
            <w:pPr>
              <w:spacing w:before="120" w:after="0"/>
              <w:rPr>
                <w:rFonts w:ascii="Arial" w:eastAsia="PMingLiU" w:hAnsi="Arial" w:cs="Arial" w:hint="eastAsia"/>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7E8CAB48" w14:textId="45AA2C3D" w:rsidR="00090D37" w:rsidRDefault="00090D37" w:rsidP="00090D37">
            <w:pPr>
              <w:spacing w:before="120" w:after="0"/>
              <w:rPr>
                <w:rFonts w:ascii="Arial" w:eastAsia="PMingLiU" w:hAnsi="Arial" w:cs="Arial" w:hint="eastAsia"/>
                <w:lang w:eastAsia="zh-TW"/>
              </w:rPr>
            </w:pPr>
            <w:r>
              <w:rPr>
                <w:rFonts w:ascii="Arial" w:eastAsiaTheme="minorEastAsia" w:hAnsi="Arial" w:cs="Arial"/>
                <w:lang w:eastAsia="zh-CN"/>
              </w:rPr>
              <w:t>Yes</w:t>
            </w:r>
          </w:p>
        </w:tc>
        <w:tc>
          <w:tcPr>
            <w:tcW w:w="6515" w:type="dxa"/>
          </w:tcPr>
          <w:p w14:paraId="7593D5CD" w14:textId="2C6FF834" w:rsidR="00090D37" w:rsidRDefault="00090D37" w:rsidP="00090D37">
            <w:pPr>
              <w:spacing w:before="120" w:after="0"/>
              <w:rPr>
                <w:rFonts w:ascii="Arial" w:hAnsi="Arial" w:cs="Arial"/>
              </w:rPr>
            </w:pPr>
            <w:r>
              <w:rPr>
                <w:rFonts w:ascii="Arial" w:eastAsiaTheme="minorEastAsia" w:hAnsi="Arial" w:cs="Arial"/>
                <w:lang w:eastAsia="zh-CN"/>
              </w:rPr>
              <w:t xml:space="preserve">If </w:t>
            </w:r>
            <w:r w:rsidRPr="008A6833">
              <w:rPr>
                <w:rFonts w:ascii="Arial" w:eastAsiaTheme="minorEastAsia" w:hAnsi="Arial" w:cs="Arial"/>
                <w:lang w:eastAsia="zh-CN"/>
              </w:rPr>
              <w:t>it is irrespective of which SRB to transmit the message on</w:t>
            </w:r>
            <w:r>
              <w:rPr>
                <w:rFonts w:ascii="Arial" w:eastAsiaTheme="minorEastAsia" w:hAnsi="Arial" w:cs="Arial"/>
                <w:lang w:eastAsia="zh-CN"/>
              </w:rPr>
              <w:t>, then we support this.</w:t>
            </w:r>
          </w:p>
        </w:tc>
      </w:tr>
    </w:tbl>
    <w:p w14:paraId="094F432B" w14:textId="77777777" w:rsidR="00902D7C" w:rsidRDefault="00717CD7">
      <w:pPr>
        <w:spacing w:before="120"/>
        <w:rPr>
          <w:rFonts w:ascii="Arial" w:hAnsi="Arial" w:cs="Arial"/>
        </w:rPr>
      </w:pPr>
      <w:r>
        <w:rPr>
          <w:rFonts w:ascii="Arial" w:hAnsi="Arial" w:cs="Arial"/>
        </w:rPr>
        <w:t xml:space="preserve">If </w:t>
      </w:r>
      <w:proofErr w:type="spellStart"/>
      <w:r>
        <w:rPr>
          <w:rFonts w:ascii="Arial" w:hAnsi="Arial" w:cs="Arial"/>
        </w:rPr>
        <w:t>RVQoE</w:t>
      </w:r>
      <w:proofErr w:type="spellEnd"/>
      <w:r>
        <w:rPr>
          <w:rFonts w:ascii="Arial" w:hAnsi="Arial" w:cs="Arial"/>
        </w:rPr>
        <w:t xml:space="preserve"> configuration and legacy QoE configuration share the same </w:t>
      </w:r>
      <w:proofErr w:type="spellStart"/>
      <w:r>
        <w:rPr>
          <w:rFonts w:ascii="Arial" w:hAnsi="Arial" w:cs="Arial"/>
        </w:rPr>
        <w:t>measConfigAppLayerId</w:t>
      </w:r>
      <w:proofErr w:type="spellEnd"/>
      <w:r>
        <w:rPr>
          <w:rFonts w:ascii="Arial" w:hAnsi="Arial" w:cs="Arial"/>
        </w:rPr>
        <w:t xml:space="preserve"> and service type RRC IEs, </w:t>
      </w:r>
      <w:proofErr w:type="spellStart"/>
      <w:r>
        <w:rPr>
          <w:rFonts w:ascii="Arial" w:hAnsi="Arial" w:cs="Arial"/>
        </w:rPr>
        <w:t>MeasConfigAppLayerId</w:t>
      </w:r>
      <w:proofErr w:type="spellEnd"/>
      <w:r>
        <w:rPr>
          <w:rFonts w:ascii="Arial" w:hAnsi="Arial" w:cs="Arial"/>
        </w:rPr>
        <w:t xml:space="preserve"> can be used to identify both of associated legacy QoE report and RVQoE report. And please note this can be applied for both cases that RVQoE is reported along with the legacy QoE report or independently.</w:t>
      </w:r>
    </w:p>
    <w:p w14:paraId="40D07175" w14:textId="77777777" w:rsidR="00902D7C" w:rsidRDefault="00902D7C">
      <w:pPr>
        <w:rPr>
          <w:rFonts w:ascii="Arial" w:hAnsi="Arial" w:cs="Arial"/>
          <w:b/>
          <w:bCs/>
        </w:rPr>
      </w:pPr>
    </w:p>
    <w:p w14:paraId="179D6F1F" w14:textId="77777777" w:rsidR="00902D7C" w:rsidRDefault="00717CD7">
      <w:pPr>
        <w:rPr>
          <w:rFonts w:ascii="Arial" w:hAnsi="Arial" w:cs="Arial"/>
          <w:b/>
          <w:bCs/>
        </w:rPr>
      </w:pPr>
      <w:r>
        <w:rPr>
          <w:rFonts w:ascii="Arial" w:hAnsi="Arial" w:cs="Arial"/>
          <w:b/>
          <w:bCs/>
        </w:rPr>
        <w:t xml:space="preserve">Q10:  </w:t>
      </w:r>
      <w:r>
        <w:rPr>
          <w:rFonts w:ascii="Arial" w:hAnsi="Arial"/>
          <w:b/>
          <w:bCs/>
        </w:rPr>
        <w:t xml:space="preserve">Whether companies agree </w:t>
      </w:r>
      <w:proofErr w:type="spellStart"/>
      <w:r>
        <w:rPr>
          <w:rFonts w:ascii="Arial" w:hAnsi="Arial" w:cs="Arial"/>
          <w:b/>
          <w:bCs/>
        </w:rPr>
        <w:t>MeasConfigAppLayerId</w:t>
      </w:r>
      <w:proofErr w:type="spellEnd"/>
      <w:r>
        <w:rPr>
          <w:rFonts w:ascii="Arial" w:hAnsi="Arial" w:cs="Arial"/>
          <w:b/>
          <w:bCs/>
        </w:rPr>
        <w:t xml:space="preserve"> can be used to identify both of associated legacy QoE report and RVQoE report?</w:t>
      </w:r>
    </w:p>
    <w:tbl>
      <w:tblPr>
        <w:tblStyle w:val="af"/>
        <w:tblW w:w="0" w:type="auto"/>
        <w:tblLook w:val="04A0" w:firstRow="1" w:lastRow="0" w:firstColumn="1" w:lastColumn="0" w:noHBand="0" w:noVBand="1"/>
      </w:tblPr>
      <w:tblGrid>
        <w:gridCol w:w="1980"/>
        <w:gridCol w:w="1134"/>
        <w:gridCol w:w="6515"/>
      </w:tblGrid>
      <w:tr w:rsidR="00902D7C" w14:paraId="02C61770" w14:textId="77777777">
        <w:tc>
          <w:tcPr>
            <w:tcW w:w="1980" w:type="dxa"/>
          </w:tcPr>
          <w:p w14:paraId="0DBCB508"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1B79B34C"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26E037B6"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35F375CF" w14:textId="77777777">
        <w:tc>
          <w:tcPr>
            <w:tcW w:w="1980" w:type="dxa"/>
          </w:tcPr>
          <w:p w14:paraId="047DE0C2"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6C242760"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20787D9" w14:textId="77777777" w:rsidR="00902D7C" w:rsidRDefault="00902D7C">
            <w:pPr>
              <w:spacing w:before="120" w:after="0"/>
              <w:rPr>
                <w:rFonts w:ascii="Arial" w:hAnsi="Arial" w:cs="Arial"/>
              </w:rPr>
            </w:pPr>
          </w:p>
        </w:tc>
      </w:tr>
      <w:tr w:rsidR="00902D7C" w14:paraId="78DA11E5" w14:textId="77777777">
        <w:tc>
          <w:tcPr>
            <w:tcW w:w="1980" w:type="dxa"/>
          </w:tcPr>
          <w:p w14:paraId="57FB6834" w14:textId="77777777" w:rsidR="00902D7C" w:rsidRDefault="00717CD7">
            <w:pPr>
              <w:spacing w:before="120" w:after="0"/>
              <w:rPr>
                <w:rFonts w:ascii="Arial" w:hAnsi="Arial" w:cs="Arial"/>
              </w:rPr>
            </w:pPr>
            <w:r>
              <w:rPr>
                <w:rFonts w:ascii="Arial" w:hAnsi="Arial" w:cs="Arial"/>
              </w:rPr>
              <w:t>Ericsson</w:t>
            </w:r>
          </w:p>
        </w:tc>
        <w:tc>
          <w:tcPr>
            <w:tcW w:w="1134" w:type="dxa"/>
          </w:tcPr>
          <w:p w14:paraId="62D98335" w14:textId="77777777" w:rsidR="00902D7C" w:rsidRDefault="00717CD7">
            <w:pPr>
              <w:spacing w:before="120" w:after="0"/>
              <w:rPr>
                <w:rFonts w:ascii="Arial" w:hAnsi="Arial" w:cs="Arial"/>
              </w:rPr>
            </w:pPr>
            <w:r>
              <w:rPr>
                <w:rFonts w:ascii="Arial" w:hAnsi="Arial" w:cs="Arial"/>
              </w:rPr>
              <w:t>Yes</w:t>
            </w:r>
          </w:p>
        </w:tc>
        <w:tc>
          <w:tcPr>
            <w:tcW w:w="6515" w:type="dxa"/>
          </w:tcPr>
          <w:p w14:paraId="4D8B6CCF" w14:textId="77777777" w:rsidR="00902D7C" w:rsidRDefault="00902D7C">
            <w:pPr>
              <w:spacing w:before="120" w:after="0"/>
              <w:rPr>
                <w:rFonts w:ascii="Arial" w:hAnsi="Arial" w:cs="Arial"/>
              </w:rPr>
            </w:pPr>
          </w:p>
        </w:tc>
      </w:tr>
      <w:tr w:rsidR="00902D7C" w14:paraId="38DEC4D8" w14:textId="77777777">
        <w:tc>
          <w:tcPr>
            <w:tcW w:w="1980" w:type="dxa"/>
          </w:tcPr>
          <w:p w14:paraId="60ED7015" w14:textId="77777777" w:rsidR="00902D7C" w:rsidRDefault="00717CD7">
            <w:pPr>
              <w:spacing w:before="120" w:after="0"/>
              <w:rPr>
                <w:rFonts w:ascii="Arial" w:hAnsi="Arial" w:cs="Arial"/>
              </w:rPr>
            </w:pPr>
            <w:r>
              <w:rPr>
                <w:rFonts w:ascii="Arial" w:hAnsi="Arial" w:cs="Arial"/>
              </w:rPr>
              <w:t>Nokia</w:t>
            </w:r>
          </w:p>
        </w:tc>
        <w:tc>
          <w:tcPr>
            <w:tcW w:w="1134" w:type="dxa"/>
          </w:tcPr>
          <w:p w14:paraId="0FF1B311" w14:textId="77777777" w:rsidR="00902D7C" w:rsidRDefault="00717CD7">
            <w:pPr>
              <w:spacing w:before="120" w:after="0"/>
              <w:rPr>
                <w:rFonts w:ascii="Arial" w:hAnsi="Arial" w:cs="Arial"/>
              </w:rPr>
            </w:pPr>
            <w:r>
              <w:rPr>
                <w:rFonts w:ascii="Arial" w:hAnsi="Arial" w:cs="Arial"/>
              </w:rPr>
              <w:t>See comment</w:t>
            </w:r>
          </w:p>
        </w:tc>
        <w:tc>
          <w:tcPr>
            <w:tcW w:w="6515" w:type="dxa"/>
          </w:tcPr>
          <w:p w14:paraId="466F5A0F" w14:textId="77777777" w:rsidR="00902D7C" w:rsidRDefault="00717CD7">
            <w:pPr>
              <w:spacing w:before="120" w:after="0"/>
              <w:rPr>
                <w:rFonts w:ascii="Arial" w:hAnsi="Arial" w:cs="Arial"/>
              </w:rPr>
            </w:pPr>
            <w:r>
              <w:rPr>
                <w:rStyle w:val="normaltextrun"/>
                <w:rFonts w:ascii="Arial" w:hAnsi="Arial" w:cs="Arial"/>
                <w:color w:val="000000"/>
                <w:shd w:val="clear" w:color="auto" w:fill="FFFFFF"/>
              </w:rPr>
              <w:t>For clarity, it would be preferable to have separate, but decision should depend on modelling. See answer to Q1</w:t>
            </w:r>
            <w:r>
              <w:rPr>
                <w:rStyle w:val="eop"/>
                <w:rFonts w:ascii="Arial" w:hAnsi="Arial" w:cs="Arial"/>
                <w:color w:val="000000"/>
                <w:shd w:val="clear" w:color="auto" w:fill="FFFFFF"/>
              </w:rPr>
              <w:t> </w:t>
            </w:r>
          </w:p>
        </w:tc>
      </w:tr>
      <w:tr w:rsidR="00902D7C" w14:paraId="763AB260" w14:textId="77777777">
        <w:tc>
          <w:tcPr>
            <w:tcW w:w="1980" w:type="dxa"/>
          </w:tcPr>
          <w:p w14:paraId="553272AD" w14:textId="77777777" w:rsidR="00902D7C" w:rsidRDefault="00717CD7">
            <w:pPr>
              <w:spacing w:before="120" w:after="0"/>
              <w:rPr>
                <w:rFonts w:ascii="Arial" w:hAnsi="Arial" w:cs="Arial"/>
              </w:rPr>
            </w:pPr>
            <w:r>
              <w:rPr>
                <w:rFonts w:ascii="Arial" w:hAnsi="Arial" w:cs="Arial"/>
              </w:rPr>
              <w:t>T-Mobile, USA</w:t>
            </w:r>
          </w:p>
        </w:tc>
        <w:tc>
          <w:tcPr>
            <w:tcW w:w="1134" w:type="dxa"/>
          </w:tcPr>
          <w:p w14:paraId="0B663962" w14:textId="77777777" w:rsidR="00902D7C" w:rsidRDefault="00717CD7">
            <w:pPr>
              <w:spacing w:before="120" w:after="0"/>
              <w:rPr>
                <w:rFonts w:ascii="Arial" w:hAnsi="Arial" w:cs="Arial"/>
              </w:rPr>
            </w:pPr>
            <w:r>
              <w:rPr>
                <w:rFonts w:ascii="Arial" w:hAnsi="Arial" w:cs="Arial"/>
              </w:rPr>
              <w:t>Yes</w:t>
            </w:r>
          </w:p>
        </w:tc>
        <w:tc>
          <w:tcPr>
            <w:tcW w:w="6515" w:type="dxa"/>
          </w:tcPr>
          <w:p w14:paraId="6BB4129B" w14:textId="77777777" w:rsidR="00902D7C" w:rsidRDefault="00902D7C">
            <w:pPr>
              <w:spacing w:before="120" w:after="0"/>
              <w:rPr>
                <w:rFonts w:ascii="Arial" w:hAnsi="Arial" w:cs="Arial"/>
              </w:rPr>
            </w:pPr>
          </w:p>
        </w:tc>
      </w:tr>
      <w:tr w:rsidR="00902D7C" w14:paraId="12C69572" w14:textId="77777777">
        <w:tc>
          <w:tcPr>
            <w:tcW w:w="1980" w:type="dxa"/>
          </w:tcPr>
          <w:p w14:paraId="44DA06A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7B3D5522"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AF7E2D9" w14:textId="77777777" w:rsidR="00902D7C" w:rsidRDefault="00902D7C">
            <w:pPr>
              <w:spacing w:before="120" w:after="0"/>
              <w:rPr>
                <w:rFonts w:ascii="Arial" w:hAnsi="Arial" w:cs="Arial"/>
              </w:rPr>
            </w:pPr>
          </w:p>
        </w:tc>
      </w:tr>
      <w:tr w:rsidR="00902D7C" w14:paraId="4EF96504" w14:textId="77777777">
        <w:tc>
          <w:tcPr>
            <w:tcW w:w="1980" w:type="dxa"/>
          </w:tcPr>
          <w:p w14:paraId="675FFE91"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68B5FDCE"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Yes</w:t>
            </w:r>
          </w:p>
        </w:tc>
        <w:tc>
          <w:tcPr>
            <w:tcW w:w="6515" w:type="dxa"/>
          </w:tcPr>
          <w:p w14:paraId="28D6AEB7" w14:textId="77777777" w:rsidR="00902D7C" w:rsidRDefault="00717CD7">
            <w:pPr>
              <w:spacing w:before="120" w:after="0"/>
              <w:rPr>
                <w:rFonts w:ascii="Arial" w:hAnsi="Arial" w:cs="Arial"/>
              </w:rPr>
            </w:pPr>
            <w:r>
              <w:rPr>
                <w:rFonts w:ascii="Arial" w:hAnsi="Arial" w:cs="Arial"/>
              </w:rPr>
              <w:t>If we use shared ID for legacy and RVQoE, it is straight-forward.</w:t>
            </w:r>
          </w:p>
        </w:tc>
      </w:tr>
      <w:tr w:rsidR="00902D7C" w14:paraId="50E227F6" w14:textId="77777777">
        <w:tc>
          <w:tcPr>
            <w:tcW w:w="1980" w:type="dxa"/>
          </w:tcPr>
          <w:p w14:paraId="50A52FAE"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6C230F42" w14:textId="77777777" w:rsidR="00902D7C" w:rsidRDefault="00717CD7">
            <w:pPr>
              <w:spacing w:before="120" w:after="0"/>
              <w:rPr>
                <w:rFonts w:ascii="Arial" w:eastAsiaTheme="minorEastAsia" w:hAnsi="Arial" w:cs="Arial"/>
                <w:lang w:eastAsia="zh-CN"/>
              </w:rPr>
            </w:pPr>
            <w:r>
              <w:rPr>
                <w:rFonts w:ascii="Arial" w:hAnsi="Arial" w:cs="Arial"/>
              </w:rPr>
              <w:t>Yes</w:t>
            </w:r>
          </w:p>
        </w:tc>
        <w:tc>
          <w:tcPr>
            <w:tcW w:w="6515" w:type="dxa"/>
          </w:tcPr>
          <w:p w14:paraId="180D4A25" w14:textId="77777777" w:rsidR="00902D7C" w:rsidRDefault="00902D7C">
            <w:pPr>
              <w:spacing w:before="120" w:after="0"/>
              <w:rPr>
                <w:rFonts w:ascii="Arial" w:hAnsi="Arial" w:cs="Arial"/>
              </w:rPr>
            </w:pPr>
          </w:p>
        </w:tc>
      </w:tr>
      <w:tr w:rsidR="00902D7C" w14:paraId="2E1ED064" w14:textId="77777777">
        <w:tc>
          <w:tcPr>
            <w:tcW w:w="1980" w:type="dxa"/>
          </w:tcPr>
          <w:p w14:paraId="0F23DCE4"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DDDC61B"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005EB3F" w14:textId="77777777" w:rsidR="00902D7C" w:rsidRDefault="00902D7C">
            <w:pPr>
              <w:spacing w:before="120" w:after="0"/>
              <w:rPr>
                <w:rFonts w:ascii="Arial" w:eastAsiaTheme="minorEastAsia" w:hAnsi="Arial" w:cs="Arial"/>
                <w:lang w:eastAsia="zh-CN"/>
              </w:rPr>
            </w:pPr>
          </w:p>
        </w:tc>
      </w:tr>
      <w:tr w:rsidR="00902D7C" w14:paraId="016ADFE6" w14:textId="77777777">
        <w:tc>
          <w:tcPr>
            <w:tcW w:w="1980" w:type="dxa"/>
          </w:tcPr>
          <w:p w14:paraId="6F2D5395"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8EC715E"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Yes</w:t>
            </w:r>
          </w:p>
        </w:tc>
        <w:tc>
          <w:tcPr>
            <w:tcW w:w="6515" w:type="dxa"/>
          </w:tcPr>
          <w:p w14:paraId="61C5EEE6" w14:textId="77777777" w:rsidR="00902D7C" w:rsidRDefault="00717CD7">
            <w:pPr>
              <w:spacing w:before="120" w:after="0"/>
              <w:rPr>
                <w:rFonts w:ascii="Arial" w:eastAsiaTheme="minorEastAsia" w:hAnsi="Arial" w:cs="Arial"/>
                <w:lang w:val="en-US" w:eastAsia="zh-CN"/>
              </w:rPr>
            </w:pPr>
            <w:r>
              <w:rPr>
                <w:rFonts w:ascii="Arial" w:eastAsiaTheme="minorEastAsia" w:hAnsi="Arial" w:cs="Arial"/>
                <w:lang w:val="en-US" w:eastAsia="zh-CN"/>
              </w:rPr>
              <w:t>The most straight forward way</w:t>
            </w:r>
          </w:p>
        </w:tc>
      </w:tr>
      <w:tr w:rsidR="00BD7B48" w14:paraId="3BA17461" w14:textId="77777777">
        <w:tc>
          <w:tcPr>
            <w:tcW w:w="1980" w:type="dxa"/>
          </w:tcPr>
          <w:p w14:paraId="3639E3FF" w14:textId="3F25BDF3"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65EC8021" w14:textId="25F4EFF7" w:rsidR="00BD7B48" w:rsidRDefault="00BD7B48" w:rsidP="00BD7B48">
            <w:pPr>
              <w:spacing w:before="120" w:after="0"/>
              <w:rPr>
                <w:rFonts w:ascii="Arial" w:eastAsiaTheme="minorEastAsia"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ot clear with the intention</w:t>
            </w:r>
          </w:p>
        </w:tc>
        <w:tc>
          <w:tcPr>
            <w:tcW w:w="6515" w:type="dxa"/>
          </w:tcPr>
          <w:p w14:paraId="3CFC71AB" w14:textId="40A6A4A8" w:rsidR="00BD7B48" w:rsidRDefault="00BD7B48" w:rsidP="00BD7B48">
            <w:pPr>
              <w:spacing w:before="120" w:after="0"/>
              <w:rPr>
                <w:rFonts w:ascii="Arial" w:eastAsiaTheme="minorEastAsia" w:hAnsi="Arial" w:cs="Arial"/>
                <w:lang w:val="en-US" w:eastAsia="zh-CN"/>
              </w:rPr>
            </w:pPr>
            <w:r>
              <w:rPr>
                <w:rFonts w:ascii="Arial" w:eastAsiaTheme="minorEastAsia" w:hAnsi="Arial" w:cs="Arial"/>
                <w:lang w:eastAsia="zh-CN"/>
              </w:rPr>
              <w:t xml:space="preserve">The APP layer generates the QoE measurement report at certain periodicity informed by the core network. Therefore, the RVQoE report should be transmitted together with the legacy QoE report. </w:t>
            </w:r>
            <w:r w:rsidRPr="00311256">
              <w:rPr>
                <w:rFonts w:ascii="Arial" w:eastAsiaTheme="minorEastAsia" w:hAnsi="Arial" w:cs="Arial"/>
                <w:highlight w:val="yellow"/>
                <w:lang w:eastAsia="zh-CN"/>
              </w:rPr>
              <w:t>We should not let the RVQoE report to be sent independently</w:t>
            </w:r>
            <w:r>
              <w:rPr>
                <w:rFonts w:ascii="Arial" w:eastAsiaTheme="minorEastAsia" w:hAnsi="Arial" w:cs="Arial"/>
                <w:lang w:eastAsia="zh-CN"/>
              </w:rPr>
              <w:t xml:space="preserve">, which brings additional workload and drains out the power for the UE. </w:t>
            </w:r>
          </w:p>
        </w:tc>
      </w:tr>
      <w:tr w:rsidR="008A22DE" w14:paraId="280B6FC2" w14:textId="77777777">
        <w:tc>
          <w:tcPr>
            <w:tcW w:w="1980" w:type="dxa"/>
          </w:tcPr>
          <w:p w14:paraId="4AF484EA" w14:textId="6B1D9E51"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LG</w:t>
            </w:r>
          </w:p>
        </w:tc>
        <w:tc>
          <w:tcPr>
            <w:tcW w:w="1134" w:type="dxa"/>
          </w:tcPr>
          <w:p w14:paraId="219BE60B" w14:textId="6A4F7D90" w:rsidR="008A22DE" w:rsidRDefault="008A22DE" w:rsidP="008A22DE">
            <w:pPr>
              <w:spacing w:before="120" w:after="0"/>
              <w:rPr>
                <w:rFonts w:ascii="Arial" w:eastAsiaTheme="minorEastAsia" w:hAnsi="Arial" w:cs="Arial"/>
                <w:lang w:eastAsia="zh-CN"/>
              </w:rPr>
            </w:pPr>
            <w:r>
              <w:rPr>
                <w:rFonts w:ascii="Arial" w:hAnsi="Arial" w:cs="Arial" w:hint="eastAsia"/>
                <w:lang w:eastAsia="ko-KR"/>
              </w:rPr>
              <w:t>Yes</w:t>
            </w:r>
          </w:p>
        </w:tc>
        <w:tc>
          <w:tcPr>
            <w:tcW w:w="6515" w:type="dxa"/>
          </w:tcPr>
          <w:p w14:paraId="74D4F016" w14:textId="0690EC23" w:rsidR="008A22DE" w:rsidRDefault="008A22DE" w:rsidP="008A22DE">
            <w:pPr>
              <w:spacing w:before="120" w:after="0"/>
              <w:rPr>
                <w:rFonts w:ascii="Arial" w:eastAsiaTheme="minorEastAsia" w:hAnsi="Arial" w:cs="Arial"/>
                <w:lang w:eastAsia="zh-CN"/>
              </w:rPr>
            </w:pPr>
            <w:r>
              <w:rPr>
                <w:rFonts w:ascii="Arial" w:hAnsi="Arial" w:cs="Arial"/>
                <w:lang w:eastAsia="ko-KR"/>
              </w:rPr>
              <w:t xml:space="preserve">Since RVQoE measurement is dependent on its corresponding </w:t>
            </w:r>
            <w:proofErr w:type="spellStart"/>
            <w:r>
              <w:rPr>
                <w:rFonts w:ascii="Arial" w:hAnsi="Arial" w:cs="Arial"/>
                <w:lang w:eastAsia="ko-KR"/>
              </w:rPr>
              <w:t>LegacyQoE</w:t>
            </w:r>
            <w:proofErr w:type="spellEnd"/>
            <w:r>
              <w:rPr>
                <w:rFonts w:ascii="Arial" w:hAnsi="Arial" w:cs="Arial"/>
                <w:lang w:eastAsia="ko-KR"/>
              </w:rPr>
              <w:t xml:space="preserve"> measurement, </w:t>
            </w:r>
            <w:proofErr w:type="spellStart"/>
            <w:r w:rsidRPr="007A7FC3">
              <w:rPr>
                <w:rFonts w:ascii="Arial" w:hAnsi="Arial" w:cs="Arial"/>
                <w:lang w:eastAsia="ko-KR"/>
              </w:rPr>
              <w:t>MeasConfigAppLayerId</w:t>
            </w:r>
            <w:proofErr w:type="spellEnd"/>
            <w:r w:rsidRPr="007A7FC3">
              <w:rPr>
                <w:rFonts w:ascii="Arial" w:hAnsi="Arial" w:cs="Arial"/>
                <w:lang w:eastAsia="ko-KR"/>
              </w:rPr>
              <w:t xml:space="preserve"> can be used to identify both of associated legacy QoE report and RVQoE report</w:t>
            </w:r>
            <w:r>
              <w:rPr>
                <w:rFonts w:ascii="Arial" w:hAnsi="Arial" w:cs="Arial"/>
                <w:lang w:eastAsia="ko-KR"/>
              </w:rPr>
              <w:t>.</w:t>
            </w:r>
          </w:p>
        </w:tc>
      </w:tr>
      <w:tr w:rsidR="00196771" w14:paraId="11E82FE0" w14:textId="77777777">
        <w:tc>
          <w:tcPr>
            <w:tcW w:w="1980" w:type="dxa"/>
          </w:tcPr>
          <w:p w14:paraId="74881BAD" w14:textId="5A3F821D" w:rsidR="00196771" w:rsidRDefault="00196771" w:rsidP="00196771">
            <w:pPr>
              <w:spacing w:before="120" w:after="0"/>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249AC2DF" w14:textId="516F6C73" w:rsidR="00196771" w:rsidRDefault="00196771" w:rsidP="00196771">
            <w:pPr>
              <w:spacing w:before="120" w:after="0"/>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6032A4C6" w14:textId="77777777" w:rsidR="00196771" w:rsidRDefault="00196771" w:rsidP="00196771">
            <w:pPr>
              <w:spacing w:before="120" w:after="0"/>
              <w:rPr>
                <w:rFonts w:ascii="Arial" w:hAnsi="Arial" w:cs="Arial"/>
                <w:lang w:eastAsia="ko-KR"/>
              </w:rPr>
            </w:pPr>
          </w:p>
        </w:tc>
      </w:tr>
      <w:tr w:rsidR="00090D37" w14:paraId="7213E324" w14:textId="77777777">
        <w:tc>
          <w:tcPr>
            <w:tcW w:w="1980" w:type="dxa"/>
          </w:tcPr>
          <w:p w14:paraId="164137D8" w14:textId="1BA07536" w:rsidR="00090D37" w:rsidRDefault="00090D37" w:rsidP="00090D37">
            <w:pPr>
              <w:spacing w:before="120" w:after="0"/>
              <w:rPr>
                <w:rFonts w:ascii="Arial" w:eastAsia="PMingLiU" w:hAnsi="Arial" w:cs="Arial" w:hint="eastAsia"/>
                <w:lang w:eastAsia="zh-TW"/>
              </w:rPr>
            </w:pPr>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5F082153" w14:textId="75BD4D97" w:rsidR="00090D37" w:rsidRDefault="00090D37" w:rsidP="00090D37">
            <w:pPr>
              <w:spacing w:before="120" w:after="0"/>
              <w:rPr>
                <w:rFonts w:ascii="Arial" w:eastAsia="PMingLiU" w:hAnsi="Arial" w:cs="Arial" w:hint="eastAsia"/>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55F34E69" w14:textId="77777777" w:rsidR="00090D37" w:rsidRDefault="00090D37" w:rsidP="00090D37">
            <w:pPr>
              <w:spacing w:before="120" w:after="0"/>
              <w:rPr>
                <w:rFonts w:ascii="Arial" w:hAnsi="Arial" w:cs="Arial"/>
                <w:lang w:eastAsia="ko-KR"/>
              </w:rPr>
            </w:pPr>
          </w:p>
        </w:tc>
      </w:tr>
    </w:tbl>
    <w:p w14:paraId="7C1C3512" w14:textId="77777777" w:rsidR="00902D7C" w:rsidRDefault="00717CD7">
      <w:pPr>
        <w:rPr>
          <w:rFonts w:ascii="Arial" w:hAnsi="Arial" w:cs="Arial"/>
        </w:rPr>
      </w:pPr>
      <w:r>
        <w:rPr>
          <w:rFonts w:ascii="Arial" w:hAnsi="Arial" w:cs="Arial"/>
        </w:rPr>
        <w:lastRenderedPageBreak/>
        <w:t xml:space="preserve">When UE RRC layer receives multiple RVQoE reports simultaneously, it should be possible for UE to report multiple RVQoE reports in the same </w:t>
      </w:r>
      <w:proofErr w:type="spellStart"/>
      <w:r>
        <w:rPr>
          <w:rFonts w:ascii="Arial" w:hAnsi="Arial"/>
          <w:i/>
        </w:rPr>
        <w:t>MeasReportAppLayer</w:t>
      </w:r>
      <w:proofErr w:type="spellEnd"/>
      <w:r>
        <w:rPr>
          <w:rFonts w:ascii="Arial" w:hAnsi="Arial"/>
          <w:i/>
        </w:rPr>
        <w:t xml:space="preserve"> </w:t>
      </w:r>
      <w:r>
        <w:rPr>
          <w:rFonts w:ascii="Arial" w:hAnsi="Arial"/>
          <w:iCs/>
        </w:rPr>
        <w:t>message to save RRC header overhead and reporting time.</w:t>
      </w:r>
    </w:p>
    <w:p w14:paraId="612CEE6C" w14:textId="77777777" w:rsidR="00902D7C" w:rsidRDefault="00717CD7">
      <w:pPr>
        <w:rPr>
          <w:rFonts w:ascii="Arial" w:hAnsi="Arial"/>
          <w:b/>
          <w:bCs/>
        </w:rPr>
      </w:pPr>
      <w:r>
        <w:rPr>
          <w:rFonts w:ascii="Arial" w:hAnsi="Arial" w:cs="Arial"/>
          <w:b/>
          <w:bCs/>
        </w:rPr>
        <w:t xml:space="preserve">Q11:  </w:t>
      </w:r>
      <w:r>
        <w:rPr>
          <w:rFonts w:ascii="Arial" w:hAnsi="Arial"/>
          <w:b/>
          <w:bCs/>
        </w:rPr>
        <w:t xml:space="preserve">Whether companies agree multiple RVQoE reports can be included in one </w:t>
      </w:r>
      <w:proofErr w:type="spellStart"/>
      <w:r>
        <w:rPr>
          <w:rFonts w:ascii="Arial" w:hAnsi="Arial"/>
          <w:b/>
          <w:bCs/>
        </w:rPr>
        <w:t>MeasReportAppLayer</w:t>
      </w:r>
      <w:proofErr w:type="spellEnd"/>
      <w:r>
        <w:rPr>
          <w:rFonts w:ascii="Arial" w:hAnsi="Arial"/>
          <w:b/>
          <w:bCs/>
        </w:rPr>
        <w:t xml:space="preserve"> message?</w:t>
      </w:r>
    </w:p>
    <w:tbl>
      <w:tblPr>
        <w:tblStyle w:val="af"/>
        <w:tblW w:w="0" w:type="auto"/>
        <w:tblLook w:val="04A0" w:firstRow="1" w:lastRow="0" w:firstColumn="1" w:lastColumn="0" w:noHBand="0" w:noVBand="1"/>
      </w:tblPr>
      <w:tblGrid>
        <w:gridCol w:w="1980"/>
        <w:gridCol w:w="1134"/>
        <w:gridCol w:w="6515"/>
      </w:tblGrid>
      <w:tr w:rsidR="00902D7C" w14:paraId="582542D7" w14:textId="77777777">
        <w:tc>
          <w:tcPr>
            <w:tcW w:w="1980" w:type="dxa"/>
          </w:tcPr>
          <w:p w14:paraId="13C3866B" w14:textId="77777777" w:rsidR="00902D7C" w:rsidRDefault="00717CD7">
            <w:pPr>
              <w:spacing w:before="120" w:after="0"/>
              <w:jc w:val="center"/>
              <w:rPr>
                <w:rFonts w:ascii="Arial" w:hAnsi="Arial" w:cs="Arial"/>
                <w:b/>
              </w:rPr>
            </w:pPr>
            <w:r>
              <w:rPr>
                <w:rFonts w:ascii="Arial" w:hAnsi="Arial" w:cs="Arial"/>
                <w:b/>
              </w:rPr>
              <w:t>Company</w:t>
            </w:r>
          </w:p>
        </w:tc>
        <w:tc>
          <w:tcPr>
            <w:tcW w:w="1134" w:type="dxa"/>
          </w:tcPr>
          <w:p w14:paraId="4F0880E6" w14:textId="77777777" w:rsidR="00902D7C" w:rsidRDefault="00717CD7">
            <w:pPr>
              <w:spacing w:before="120" w:after="0"/>
              <w:jc w:val="center"/>
              <w:rPr>
                <w:rFonts w:ascii="Arial" w:hAnsi="Arial" w:cs="Arial"/>
                <w:b/>
              </w:rPr>
            </w:pPr>
            <w:r>
              <w:rPr>
                <w:rFonts w:ascii="Arial" w:hAnsi="Arial" w:cs="Arial"/>
                <w:b/>
              </w:rPr>
              <w:t>Yes/No</w:t>
            </w:r>
          </w:p>
        </w:tc>
        <w:tc>
          <w:tcPr>
            <w:tcW w:w="6515" w:type="dxa"/>
          </w:tcPr>
          <w:p w14:paraId="1445E314" w14:textId="77777777" w:rsidR="00902D7C" w:rsidRDefault="00717CD7">
            <w:pPr>
              <w:spacing w:before="120" w:after="0"/>
              <w:jc w:val="center"/>
              <w:rPr>
                <w:rFonts w:ascii="Arial" w:hAnsi="Arial" w:cs="Arial"/>
                <w:b/>
              </w:rPr>
            </w:pPr>
            <w:r>
              <w:rPr>
                <w:rFonts w:ascii="Arial" w:hAnsi="Arial" w:cs="Arial"/>
                <w:b/>
              </w:rPr>
              <w:t>Additional explanations</w:t>
            </w:r>
          </w:p>
        </w:tc>
      </w:tr>
      <w:tr w:rsidR="00902D7C" w14:paraId="1F410B31" w14:textId="77777777">
        <w:tc>
          <w:tcPr>
            <w:tcW w:w="1980" w:type="dxa"/>
          </w:tcPr>
          <w:p w14:paraId="2882245F" w14:textId="77777777" w:rsidR="00902D7C" w:rsidRDefault="00717CD7">
            <w:pPr>
              <w:spacing w:before="120" w:after="0"/>
              <w:rPr>
                <w:rFonts w:ascii="Arial" w:hAnsi="Arial" w:cs="Arial"/>
              </w:rPr>
            </w:pPr>
            <w:r>
              <w:rPr>
                <w:rFonts w:ascii="Arial" w:eastAsiaTheme="minorEastAsia" w:hAnsi="Arial" w:cs="Arial" w:hint="eastAsia"/>
                <w:lang w:eastAsia="zh-CN"/>
              </w:rPr>
              <w:t>H</w:t>
            </w:r>
            <w:r>
              <w:rPr>
                <w:rFonts w:ascii="Arial" w:eastAsiaTheme="minorEastAsia" w:hAnsi="Arial" w:cs="Arial"/>
                <w:lang w:eastAsia="zh-CN"/>
              </w:rPr>
              <w:t xml:space="preserve">uawei, </w:t>
            </w:r>
            <w:proofErr w:type="spellStart"/>
            <w:r>
              <w:rPr>
                <w:rFonts w:ascii="Arial" w:eastAsiaTheme="minorEastAsia" w:hAnsi="Arial" w:cs="Arial"/>
                <w:lang w:eastAsia="zh-CN"/>
              </w:rPr>
              <w:t>HiSilicon</w:t>
            </w:r>
            <w:proofErr w:type="spellEnd"/>
          </w:p>
        </w:tc>
        <w:tc>
          <w:tcPr>
            <w:tcW w:w="1134" w:type="dxa"/>
          </w:tcPr>
          <w:p w14:paraId="23BA2A6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FFS</w:t>
            </w:r>
          </w:p>
        </w:tc>
        <w:tc>
          <w:tcPr>
            <w:tcW w:w="6515" w:type="dxa"/>
          </w:tcPr>
          <w:p w14:paraId="37FA703D"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At RAN2#116-e meeting, there was a FFS:</w:t>
            </w:r>
          </w:p>
          <w:p w14:paraId="1DB0A96E" w14:textId="77777777" w:rsidR="00902D7C" w:rsidRDefault="00902D7C">
            <w:pPr>
              <w:spacing w:before="120" w:after="0"/>
              <w:rPr>
                <w:rFonts w:ascii="Arial" w:eastAsiaTheme="minorEastAsia" w:hAnsi="Arial" w:cs="Arial"/>
                <w:lang w:eastAsia="zh-CN"/>
              </w:rPr>
            </w:pPr>
          </w:p>
          <w:p w14:paraId="1D60AF90" w14:textId="77777777" w:rsidR="00902D7C" w:rsidRDefault="00717CD7">
            <w:pPr>
              <w:pStyle w:val="Agreement"/>
              <w:ind w:left="1620"/>
              <w:rPr>
                <w:lang w:val="sv-SE"/>
              </w:rPr>
            </w:pPr>
            <w:r>
              <w:rPr>
                <w:lang w:val="sv-SE"/>
              </w:rPr>
              <w:t xml:space="preserve">FFS if to Allow multiple QoE reports in the same RRC message, but leave it to UE implementation when / whether to use this (does not involve additional buffering). </w:t>
            </w:r>
          </w:p>
          <w:p w14:paraId="213BEF8C" w14:textId="77777777" w:rsidR="00902D7C" w:rsidRDefault="00902D7C">
            <w:pPr>
              <w:spacing w:before="120" w:after="0"/>
              <w:rPr>
                <w:rFonts w:ascii="Arial" w:eastAsiaTheme="minorEastAsia" w:hAnsi="Arial" w:cs="Arial"/>
                <w:lang w:val="sv-SE" w:eastAsia="zh-CN"/>
              </w:rPr>
            </w:pPr>
          </w:p>
          <w:p w14:paraId="1361853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val="sv-SE" w:eastAsia="zh-CN"/>
              </w:rPr>
              <w:t>S</w:t>
            </w:r>
            <w:r>
              <w:rPr>
                <w:rFonts w:ascii="Arial" w:eastAsiaTheme="minorEastAsia" w:hAnsi="Arial" w:cs="Arial"/>
                <w:lang w:val="sv-SE" w:eastAsia="zh-CN"/>
              </w:rPr>
              <w:t>o we think Q11 can wait for the progress of the FFS.</w:t>
            </w:r>
          </w:p>
        </w:tc>
      </w:tr>
      <w:tr w:rsidR="00902D7C" w14:paraId="5CD570C1" w14:textId="77777777">
        <w:tc>
          <w:tcPr>
            <w:tcW w:w="1980" w:type="dxa"/>
          </w:tcPr>
          <w:p w14:paraId="1D5719B7" w14:textId="77777777" w:rsidR="00902D7C" w:rsidRDefault="00717CD7">
            <w:pPr>
              <w:spacing w:before="120" w:after="0"/>
              <w:rPr>
                <w:rFonts w:ascii="Arial" w:hAnsi="Arial" w:cs="Arial"/>
              </w:rPr>
            </w:pPr>
            <w:r>
              <w:rPr>
                <w:rFonts w:ascii="Arial" w:hAnsi="Arial" w:cs="Arial"/>
              </w:rPr>
              <w:t>Ericsson</w:t>
            </w:r>
          </w:p>
        </w:tc>
        <w:tc>
          <w:tcPr>
            <w:tcW w:w="1134" w:type="dxa"/>
          </w:tcPr>
          <w:p w14:paraId="31823CD3" w14:textId="77777777" w:rsidR="00902D7C" w:rsidRDefault="00717CD7">
            <w:pPr>
              <w:spacing w:before="120" w:after="0"/>
              <w:rPr>
                <w:rFonts w:ascii="Arial" w:hAnsi="Arial" w:cs="Arial"/>
              </w:rPr>
            </w:pPr>
            <w:r>
              <w:rPr>
                <w:rFonts w:ascii="Arial" w:hAnsi="Arial" w:cs="Arial"/>
              </w:rPr>
              <w:t>Yes</w:t>
            </w:r>
          </w:p>
        </w:tc>
        <w:tc>
          <w:tcPr>
            <w:tcW w:w="6515" w:type="dxa"/>
          </w:tcPr>
          <w:p w14:paraId="6C643F18" w14:textId="77777777" w:rsidR="00902D7C" w:rsidRDefault="00717CD7">
            <w:pPr>
              <w:spacing w:before="120" w:after="0"/>
              <w:rPr>
                <w:rFonts w:ascii="Arial" w:hAnsi="Arial" w:cs="Arial"/>
              </w:rPr>
            </w:pPr>
            <w:r>
              <w:rPr>
                <w:rFonts w:ascii="Arial" w:hAnsi="Arial" w:cs="Arial"/>
              </w:rPr>
              <w:t>No reason to put restrictions for no reason.</w:t>
            </w:r>
          </w:p>
        </w:tc>
      </w:tr>
      <w:tr w:rsidR="00902D7C" w14:paraId="0DF5CBCD" w14:textId="77777777">
        <w:tc>
          <w:tcPr>
            <w:tcW w:w="1980" w:type="dxa"/>
          </w:tcPr>
          <w:p w14:paraId="035391D4" w14:textId="77777777" w:rsidR="00902D7C" w:rsidRDefault="00717CD7">
            <w:pPr>
              <w:spacing w:before="120" w:after="0"/>
              <w:rPr>
                <w:rFonts w:ascii="Arial" w:hAnsi="Arial" w:cs="Arial"/>
              </w:rPr>
            </w:pPr>
            <w:r>
              <w:rPr>
                <w:rFonts w:ascii="Arial" w:hAnsi="Arial" w:cs="Arial"/>
              </w:rPr>
              <w:t>Nokia</w:t>
            </w:r>
          </w:p>
        </w:tc>
        <w:tc>
          <w:tcPr>
            <w:tcW w:w="1134" w:type="dxa"/>
          </w:tcPr>
          <w:p w14:paraId="380E3334" w14:textId="77777777" w:rsidR="00902D7C" w:rsidRDefault="00717CD7">
            <w:pPr>
              <w:spacing w:before="120" w:after="0"/>
              <w:rPr>
                <w:rFonts w:ascii="Arial" w:hAnsi="Arial" w:cs="Arial"/>
              </w:rPr>
            </w:pPr>
            <w:r>
              <w:rPr>
                <w:rFonts w:ascii="Arial" w:hAnsi="Arial" w:cs="Arial"/>
              </w:rPr>
              <w:t>Yes</w:t>
            </w:r>
          </w:p>
        </w:tc>
        <w:tc>
          <w:tcPr>
            <w:tcW w:w="6515" w:type="dxa"/>
          </w:tcPr>
          <w:p w14:paraId="13CF2CC9" w14:textId="77777777" w:rsidR="00902D7C" w:rsidRDefault="00902D7C">
            <w:pPr>
              <w:spacing w:before="120" w:after="0"/>
              <w:rPr>
                <w:rFonts w:ascii="Arial" w:hAnsi="Arial" w:cs="Arial"/>
              </w:rPr>
            </w:pPr>
          </w:p>
        </w:tc>
      </w:tr>
      <w:tr w:rsidR="00902D7C" w14:paraId="74D8B418" w14:textId="77777777">
        <w:tc>
          <w:tcPr>
            <w:tcW w:w="1980" w:type="dxa"/>
          </w:tcPr>
          <w:p w14:paraId="29983477" w14:textId="77777777" w:rsidR="00902D7C" w:rsidRDefault="00717CD7">
            <w:pPr>
              <w:spacing w:before="120" w:after="0"/>
              <w:rPr>
                <w:rFonts w:ascii="Arial" w:hAnsi="Arial" w:cs="Arial"/>
              </w:rPr>
            </w:pPr>
            <w:r>
              <w:rPr>
                <w:rFonts w:ascii="Arial" w:hAnsi="Arial" w:cs="Arial"/>
              </w:rPr>
              <w:t>T-Mobile, USA</w:t>
            </w:r>
          </w:p>
        </w:tc>
        <w:tc>
          <w:tcPr>
            <w:tcW w:w="1134" w:type="dxa"/>
          </w:tcPr>
          <w:p w14:paraId="4F218D86" w14:textId="77777777" w:rsidR="00902D7C" w:rsidRDefault="00717CD7">
            <w:pPr>
              <w:spacing w:before="120" w:after="0"/>
              <w:rPr>
                <w:rFonts w:ascii="Arial" w:hAnsi="Arial" w:cs="Arial"/>
              </w:rPr>
            </w:pPr>
            <w:r>
              <w:rPr>
                <w:rFonts w:ascii="Arial" w:hAnsi="Arial" w:cs="Arial"/>
              </w:rPr>
              <w:t>Yes</w:t>
            </w:r>
          </w:p>
        </w:tc>
        <w:tc>
          <w:tcPr>
            <w:tcW w:w="6515" w:type="dxa"/>
          </w:tcPr>
          <w:p w14:paraId="553F34C8" w14:textId="77777777" w:rsidR="00902D7C" w:rsidRDefault="00902D7C">
            <w:pPr>
              <w:spacing w:before="120" w:after="0"/>
              <w:rPr>
                <w:rFonts w:ascii="Arial" w:hAnsi="Arial" w:cs="Arial"/>
              </w:rPr>
            </w:pPr>
          </w:p>
        </w:tc>
      </w:tr>
      <w:tr w:rsidR="00902D7C" w14:paraId="36804D81" w14:textId="77777777">
        <w:tc>
          <w:tcPr>
            <w:tcW w:w="1980" w:type="dxa"/>
          </w:tcPr>
          <w:p w14:paraId="3881FBF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CMCC</w:t>
            </w:r>
          </w:p>
        </w:tc>
        <w:tc>
          <w:tcPr>
            <w:tcW w:w="1134" w:type="dxa"/>
          </w:tcPr>
          <w:p w14:paraId="6DAB5D3C"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6224BD55" w14:textId="77777777" w:rsidR="00902D7C" w:rsidRDefault="00902D7C">
            <w:pPr>
              <w:spacing w:before="120" w:after="0"/>
              <w:rPr>
                <w:rFonts w:ascii="Arial" w:eastAsiaTheme="minorEastAsia" w:hAnsi="Arial" w:cs="Arial"/>
                <w:lang w:eastAsia="zh-CN"/>
              </w:rPr>
            </w:pPr>
          </w:p>
        </w:tc>
      </w:tr>
      <w:tr w:rsidR="00902D7C" w14:paraId="7FB89305" w14:textId="77777777">
        <w:tc>
          <w:tcPr>
            <w:tcW w:w="1980" w:type="dxa"/>
          </w:tcPr>
          <w:p w14:paraId="732A2FB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Qualcomm</w:t>
            </w:r>
          </w:p>
        </w:tc>
        <w:tc>
          <w:tcPr>
            <w:tcW w:w="1134" w:type="dxa"/>
          </w:tcPr>
          <w:p w14:paraId="3475883A"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w:t>
            </w:r>
          </w:p>
        </w:tc>
        <w:tc>
          <w:tcPr>
            <w:tcW w:w="6515" w:type="dxa"/>
          </w:tcPr>
          <w:p w14:paraId="1BF7DF95"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Depends on whether multiple legacy QoE reports can be in one message as Huawei comments, since RVQoE may have dependency on legacy QoE reporting.</w:t>
            </w:r>
          </w:p>
          <w:p w14:paraId="0F4907B0" w14:textId="77777777" w:rsidR="00902D7C" w:rsidRDefault="00902D7C">
            <w:pPr>
              <w:spacing w:before="120" w:after="0"/>
              <w:rPr>
                <w:rFonts w:ascii="Arial" w:eastAsiaTheme="minorEastAsia" w:hAnsi="Arial" w:cs="Arial"/>
                <w:lang w:eastAsia="zh-CN"/>
              </w:rPr>
            </w:pPr>
          </w:p>
        </w:tc>
      </w:tr>
      <w:tr w:rsidR="00902D7C" w14:paraId="0D173CEF" w14:textId="77777777">
        <w:tc>
          <w:tcPr>
            <w:tcW w:w="1980" w:type="dxa"/>
          </w:tcPr>
          <w:p w14:paraId="66ED2DD6" w14:textId="77777777" w:rsidR="00902D7C" w:rsidRDefault="00717CD7">
            <w:pPr>
              <w:spacing w:before="120" w:after="0"/>
              <w:rPr>
                <w:rFonts w:ascii="Arial" w:eastAsiaTheme="minorEastAsia" w:hAnsi="Arial" w:cs="Arial"/>
                <w:lang w:eastAsia="zh-CN"/>
              </w:rPr>
            </w:pPr>
            <w:r>
              <w:rPr>
                <w:rFonts w:ascii="Arial" w:hAnsi="Arial" w:cs="Arial"/>
              </w:rPr>
              <w:t>vivo</w:t>
            </w:r>
          </w:p>
        </w:tc>
        <w:tc>
          <w:tcPr>
            <w:tcW w:w="1134" w:type="dxa"/>
          </w:tcPr>
          <w:p w14:paraId="340450DF" w14:textId="77777777" w:rsidR="00902D7C" w:rsidRDefault="00717CD7">
            <w:pPr>
              <w:spacing w:before="120" w:after="0"/>
              <w:rPr>
                <w:rFonts w:ascii="Arial" w:eastAsiaTheme="minorEastAsia" w:hAnsi="Arial" w:cs="Arial"/>
                <w:lang w:eastAsia="zh-CN"/>
              </w:rPr>
            </w:pPr>
            <w:r>
              <w:rPr>
                <w:rFonts w:ascii="Arial" w:hAnsi="Arial" w:cs="Arial"/>
              </w:rPr>
              <w:t>FFS</w:t>
            </w:r>
          </w:p>
        </w:tc>
        <w:tc>
          <w:tcPr>
            <w:tcW w:w="6515" w:type="dxa"/>
          </w:tcPr>
          <w:p w14:paraId="249F4498" w14:textId="77777777" w:rsidR="00902D7C" w:rsidRDefault="00717CD7">
            <w:pPr>
              <w:spacing w:before="120" w:after="0"/>
              <w:rPr>
                <w:rFonts w:ascii="Arial" w:eastAsiaTheme="minorEastAsia" w:hAnsi="Arial" w:cs="Arial"/>
                <w:lang w:eastAsia="zh-CN"/>
              </w:rPr>
            </w:pPr>
            <w:r>
              <w:rPr>
                <w:rFonts w:ascii="Arial" w:eastAsiaTheme="minorEastAsia" w:hAnsi="Arial" w:cs="Arial"/>
                <w:lang w:eastAsia="zh-CN"/>
              </w:rPr>
              <w:t>Agree with HW, shall align with the legacy QoE report.</w:t>
            </w:r>
          </w:p>
        </w:tc>
      </w:tr>
      <w:tr w:rsidR="00902D7C" w14:paraId="6EAAE420" w14:textId="77777777">
        <w:tc>
          <w:tcPr>
            <w:tcW w:w="1980" w:type="dxa"/>
          </w:tcPr>
          <w:p w14:paraId="4F895BC3"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CATT</w:t>
            </w:r>
          </w:p>
        </w:tc>
        <w:tc>
          <w:tcPr>
            <w:tcW w:w="1134" w:type="dxa"/>
          </w:tcPr>
          <w:p w14:paraId="639237DB" w14:textId="77777777" w:rsidR="00902D7C" w:rsidRDefault="00717CD7">
            <w:pPr>
              <w:spacing w:before="120" w:after="0"/>
              <w:rPr>
                <w:rFonts w:ascii="Arial" w:eastAsiaTheme="minorEastAsia" w:hAnsi="Arial" w:cs="Arial"/>
                <w:lang w:eastAsia="zh-CN"/>
              </w:rPr>
            </w:pPr>
            <w:r>
              <w:rPr>
                <w:rFonts w:ascii="Arial" w:eastAsiaTheme="minorEastAsia" w:hAnsi="Arial" w:cs="Arial" w:hint="eastAsia"/>
                <w:lang w:eastAsia="zh-CN"/>
              </w:rPr>
              <w:t>Yes</w:t>
            </w:r>
          </w:p>
        </w:tc>
        <w:tc>
          <w:tcPr>
            <w:tcW w:w="6515" w:type="dxa"/>
          </w:tcPr>
          <w:p w14:paraId="7B75BB99" w14:textId="77777777" w:rsidR="00902D7C" w:rsidRDefault="00902D7C">
            <w:pPr>
              <w:spacing w:before="120" w:after="0"/>
              <w:rPr>
                <w:rFonts w:ascii="Arial" w:eastAsiaTheme="minorEastAsia" w:hAnsi="Arial" w:cs="Arial"/>
                <w:lang w:eastAsia="zh-CN"/>
              </w:rPr>
            </w:pPr>
          </w:p>
        </w:tc>
      </w:tr>
      <w:tr w:rsidR="00902D7C" w14:paraId="096C9A0E" w14:textId="77777777">
        <w:tc>
          <w:tcPr>
            <w:tcW w:w="1980" w:type="dxa"/>
          </w:tcPr>
          <w:p w14:paraId="2CFE9018"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ZTE</w:t>
            </w:r>
          </w:p>
        </w:tc>
        <w:tc>
          <w:tcPr>
            <w:tcW w:w="1134" w:type="dxa"/>
          </w:tcPr>
          <w:p w14:paraId="3CEAB4EC"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FFS</w:t>
            </w:r>
          </w:p>
        </w:tc>
        <w:tc>
          <w:tcPr>
            <w:tcW w:w="6515" w:type="dxa"/>
          </w:tcPr>
          <w:p w14:paraId="132B9129" w14:textId="77777777" w:rsidR="00902D7C" w:rsidRDefault="00717CD7">
            <w:pPr>
              <w:spacing w:before="120" w:after="0"/>
              <w:outlineLvl w:val="2"/>
              <w:rPr>
                <w:rFonts w:ascii="Arial" w:eastAsiaTheme="minorEastAsia" w:hAnsi="Arial" w:cs="Arial"/>
                <w:lang w:val="en-US" w:eastAsia="zh-CN"/>
              </w:rPr>
            </w:pPr>
            <w:r>
              <w:rPr>
                <w:rFonts w:ascii="Arial" w:eastAsiaTheme="minorEastAsia" w:hAnsi="Arial" w:cs="Arial"/>
                <w:lang w:val="en-US" w:eastAsia="zh-CN"/>
              </w:rPr>
              <w:t>Share the same view with HW. Depends on the legacy QoE reporting part.</w:t>
            </w:r>
          </w:p>
        </w:tc>
      </w:tr>
      <w:tr w:rsidR="00BD7B48" w14:paraId="0F8ACD29" w14:textId="77777777">
        <w:tc>
          <w:tcPr>
            <w:tcW w:w="1980" w:type="dxa"/>
          </w:tcPr>
          <w:p w14:paraId="2AEA4664" w14:textId="3A45271D" w:rsidR="00BD7B48" w:rsidRDefault="00BD7B48" w:rsidP="00BD7B48">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34" w:type="dxa"/>
          </w:tcPr>
          <w:p w14:paraId="789B3C5F" w14:textId="09FA53B6" w:rsidR="00BD7B48" w:rsidRDefault="00BD7B48" w:rsidP="00BD7B48">
            <w:pPr>
              <w:spacing w:before="120" w:after="0"/>
              <w:outlineLvl w:val="2"/>
              <w:rPr>
                <w:rFonts w:ascii="Arial" w:eastAsiaTheme="minorEastAsia"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766804BD" w14:textId="77777777" w:rsidR="00BD7B48" w:rsidRDefault="00BD7B48" w:rsidP="00BD7B48">
            <w:pPr>
              <w:spacing w:before="120" w:after="0"/>
              <w:outlineLvl w:val="2"/>
              <w:rPr>
                <w:rFonts w:ascii="Arial" w:eastAsiaTheme="minorEastAsia" w:hAnsi="Arial" w:cs="Arial"/>
                <w:lang w:val="en-US" w:eastAsia="zh-CN"/>
              </w:rPr>
            </w:pPr>
          </w:p>
        </w:tc>
      </w:tr>
      <w:tr w:rsidR="008A22DE" w14:paraId="7A77EE18" w14:textId="77777777">
        <w:tc>
          <w:tcPr>
            <w:tcW w:w="1980" w:type="dxa"/>
          </w:tcPr>
          <w:p w14:paraId="23704153" w14:textId="327DA7C8"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LG</w:t>
            </w:r>
          </w:p>
        </w:tc>
        <w:tc>
          <w:tcPr>
            <w:tcW w:w="1134" w:type="dxa"/>
          </w:tcPr>
          <w:p w14:paraId="2486C221" w14:textId="199A836B" w:rsidR="008A22DE" w:rsidRDefault="008A22DE" w:rsidP="008A22DE">
            <w:pPr>
              <w:spacing w:before="120" w:after="0"/>
              <w:outlineLvl w:val="2"/>
              <w:rPr>
                <w:rFonts w:ascii="Arial" w:eastAsiaTheme="minorEastAsia" w:hAnsi="Arial" w:cs="Arial"/>
                <w:lang w:eastAsia="zh-CN"/>
              </w:rPr>
            </w:pPr>
            <w:r>
              <w:rPr>
                <w:rFonts w:ascii="Arial" w:hAnsi="Arial" w:cs="Arial" w:hint="eastAsia"/>
                <w:lang w:eastAsia="ko-KR"/>
              </w:rPr>
              <w:t>Yes</w:t>
            </w:r>
          </w:p>
        </w:tc>
        <w:tc>
          <w:tcPr>
            <w:tcW w:w="6515" w:type="dxa"/>
          </w:tcPr>
          <w:p w14:paraId="60D22F92" w14:textId="77777777" w:rsidR="008A22DE" w:rsidRDefault="008A22DE" w:rsidP="008A22DE">
            <w:pPr>
              <w:spacing w:before="120" w:after="0"/>
              <w:outlineLvl w:val="2"/>
              <w:rPr>
                <w:rFonts w:ascii="Arial" w:eastAsiaTheme="minorEastAsia" w:hAnsi="Arial" w:cs="Arial"/>
                <w:lang w:val="en-US" w:eastAsia="zh-CN"/>
              </w:rPr>
            </w:pPr>
          </w:p>
        </w:tc>
      </w:tr>
      <w:tr w:rsidR="00196771" w14:paraId="45955E34" w14:textId="77777777">
        <w:tc>
          <w:tcPr>
            <w:tcW w:w="1980" w:type="dxa"/>
          </w:tcPr>
          <w:p w14:paraId="33874071" w14:textId="264196C8" w:rsidR="00196771" w:rsidRDefault="00196771" w:rsidP="00196771">
            <w:pPr>
              <w:spacing w:before="120" w:after="0"/>
              <w:outlineLvl w:val="2"/>
              <w:rPr>
                <w:rFonts w:ascii="Arial" w:hAnsi="Arial" w:cs="Arial"/>
                <w:lang w:eastAsia="ko-KR"/>
              </w:rPr>
            </w:pPr>
            <w:r>
              <w:rPr>
                <w:rFonts w:ascii="Arial" w:eastAsia="PMingLiU" w:hAnsi="Arial" w:cs="Arial" w:hint="eastAsia"/>
                <w:lang w:eastAsia="zh-TW"/>
              </w:rPr>
              <w:t>I</w:t>
            </w:r>
            <w:r>
              <w:rPr>
                <w:rFonts w:ascii="Arial" w:eastAsia="PMingLiU" w:hAnsi="Arial" w:cs="Arial"/>
                <w:lang w:eastAsia="zh-TW"/>
              </w:rPr>
              <w:t>TRI</w:t>
            </w:r>
          </w:p>
        </w:tc>
        <w:tc>
          <w:tcPr>
            <w:tcW w:w="1134" w:type="dxa"/>
          </w:tcPr>
          <w:p w14:paraId="66C00CC9" w14:textId="3D422D81" w:rsidR="00196771" w:rsidRDefault="00196771" w:rsidP="00196771">
            <w:pPr>
              <w:spacing w:before="120" w:after="0"/>
              <w:outlineLvl w:val="2"/>
              <w:rPr>
                <w:rFonts w:ascii="Arial" w:hAnsi="Arial" w:cs="Arial"/>
                <w:lang w:eastAsia="ko-KR"/>
              </w:rPr>
            </w:pPr>
            <w:r>
              <w:rPr>
                <w:rFonts w:ascii="Arial" w:eastAsia="PMingLiU" w:hAnsi="Arial" w:cs="Arial" w:hint="eastAsia"/>
                <w:lang w:eastAsia="zh-TW"/>
              </w:rPr>
              <w:t>Y</w:t>
            </w:r>
            <w:r>
              <w:rPr>
                <w:rFonts w:ascii="Arial" w:eastAsia="PMingLiU" w:hAnsi="Arial" w:cs="Arial"/>
                <w:lang w:eastAsia="zh-TW"/>
              </w:rPr>
              <w:t>es</w:t>
            </w:r>
          </w:p>
        </w:tc>
        <w:tc>
          <w:tcPr>
            <w:tcW w:w="6515" w:type="dxa"/>
          </w:tcPr>
          <w:p w14:paraId="70B75DC6" w14:textId="77777777" w:rsidR="00196771" w:rsidRDefault="00196771" w:rsidP="00196771">
            <w:pPr>
              <w:spacing w:before="120" w:after="0"/>
              <w:outlineLvl w:val="2"/>
              <w:rPr>
                <w:rFonts w:ascii="Arial" w:eastAsiaTheme="minorEastAsia" w:hAnsi="Arial" w:cs="Arial"/>
                <w:lang w:val="en-US" w:eastAsia="zh-CN"/>
              </w:rPr>
            </w:pPr>
          </w:p>
        </w:tc>
      </w:tr>
      <w:tr w:rsidR="00090D37" w14:paraId="4599B305" w14:textId="77777777">
        <w:tc>
          <w:tcPr>
            <w:tcW w:w="1980" w:type="dxa"/>
          </w:tcPr>
          <w:p w14:paraId="199D9D53" w14:textId="52449BAE" w:rsidR="00090D37" w:rsidRDefault="00090D37" w:rsidP="00090D37">
            <w:pPr>
              <w:spacing w:before="120" w:after="0"/>
              <w:outlineLvl w:val="2"/>
              <w:rPr>
                <w:rFonts w:ascii="Arial" w:eastAsia="PMingLiU" w:hAnsi="Arial" w:cs="Arial" w:hint="eastAsia"/>
                <w:lang w:eastAsia="zh-TW"/>
              </w:rPr>
            </w:pPr>
            <w:bookmarkStart w:id="6" w:name="_GoBack" w:colFirst="0" w:colLast="2"/>
            <w:r>
              <w:rPr>
                <w:rFonts w:ascii="Arial" w:eastAsiaTheme="minorEastAsia" w:hAnsi="Arial" w:cs="Arial" w:hint="eastAsia"/>
                <w:lang w:eastAsia="zh-CN"/>
              </w:rPr>
              <w:t>C</w:t>
            </w:r>
            <w:r>
              <w:rPr>
                <w:rFonts w:ascii="Arial" w:eastAsiaTheme="minorEastAsia" w:hAnsi="Arial" w:cs="Arial"/>
                <w:lang w:eastAsia="zh-CN"/>
              </w:rPr>
              <w:t>hina Unicom</w:t>
            </w:r>
          </w:p>
        </w:tc>
        <w:tc>
          <w:tcPr>
            <w:tcW w:w="1134" w:type="dxa"/>
          </w:tcPr>
          <w:p w14:paraId="4EA94BA6" w14:textId="2D15414C" w:rsidR="00090D37" w:rsidRDefault="00090D37" w:rsidP="00090D37">
            <w:pPr>
              <w:spacing w:before="120" w:after="0"/>
              <w:outlineLvl w:val="2"/>
              <w:rPr>
                <w:rFonts w:ascii="Arial" w:eastAsia="PMingLiU" w:hAnsi="Arial" w:cs="Arial" w:hint="eastAsia"/>
                <w:lang w:eastAsia="zh-TW"/>
              </w:rPr>
            </w:pPr>
            <w:r>
              <w:rPr>
                <w:rFonts w:ascii="Arial" w:eastAsiaTheme="minorEastAsia" w:hAnsi="Arial" w:cs="Arial" w:hint="eastAsia"/>
                <w:lang w:eastAsia="zh-CN"/>
              </w:rPr>
              <w:t>Y</w:t>
            </w:r>
            <w:r>
              <w:rPr>
                <w:rFonts w:ascii="Arial" w:eastAsiaTheme="minorEastAsia" w:hAnsi="Arial" w:cs="Arial"/>
                <w:lang w:eastAsia="zh-CN"/>
              </w:rPr>
              <w:t>es</w:t>
            </w:r>
          </w:p>
        </w:tc>
        <w:tc>
          <w:tcPr>
            <w:tcW w:w="6515" w:type="dxa"/>
          </w:tcPr>
          <w:p w14:paraId="4FC7F89E" w14:textId="2376C758" w:rsidR="00090D37" w:rsidRDefault="00090D37" w:rsidP="00090D37">
            <w:pPr>
              <w:spacing w:before="120" w:after="0"/>
              <w:outlineLvl w:val="2"/>
              <w:rPr>
                <w:rFonts w:ascii="Arial" w:eastAsiaTheme="minorEastAsia" w:hAnsi="Arial" w:cs="Arial"/>
                <w:lang w:val="en-US" w:eastAsia="zh-CN"/>
              </w:rPr>
            </w:pPr>
            <w:r>
              <w:rPr>
                <w:rFonts w:ascii="Arial" w:eastAsiaTheme="minorEastAsia" w:hAnsi="Arial" w:cs="Arial"/>
                <w:lang w:eastAsia="zh-CN"/>
              </w:rPr>
              <w:t xml:space="preserve">Multiple </w:t>
            </w:r>
            <w:r>
              <w:rPr>
                <w:rFonts w:ascii="Arial" w:eastAsiaTheme="minorEastAsia" w:hAnsi="Arial" w:cs="Arial" w:hint="eastAsia"/>
                <w:lang w:eastAsia="zh-CN"/>
              </w:rPr>
              <w:t>R</w:t>
            </w:r>
            <w:r>
              <w:rPr>
                <w:rFonts w:ascii="Arial" w:eastAsiaTheme="minorEastAsia" w:hAnsi="Arial" w:cs="Arial"/>
                <w:lang w:eastAsia="zh-CN"/>
              </w:rPr>
              <w:t xml:space="preserve">AN visible </w:t>
            </w:r>
            <w:proofErr w:type="spellStart"/>
            <w:r>
              <w:rPr>
                <w:rFonts w:ascii="Arial" w:eastAsiaTheme="minorEastAsia" w:hAnsi="Arial" w:cs="Arial"/>
                <w:lang w:eastAsia="zh-CN"/>
              </w:rPr>
              <w:t>QoE</w:t>
            </w:r>
            <w:proofErr w:type="spellEnd"/>
            <w:r>
              <w:rPr>
                <w:rFonts w:ascii="Arial" w:eastAsiaTheme="minorEastAsia" w:hAnsi="Arial" w:cs="Arial"/>
                <w:lang w:eastAsia="zh-CN"/>
              </w:rPr>
              <w:t xml:space="preserve"> reports may be very small and can be reported simultaneously.</w:t>
            </w:r>
          </w:p>
        </w:tc>
      </w:tr>
    </w:tbl>
    <w:bookmarkEnd w:id="6"/>
    <w:p w14:paraId="265EBB7E" w14:textId="77777777" w:rsidR="00902D7C" w:rsidRDefault="00717CD7">
      <w:pPr>
        <w:pStyle w:val="3"/>
        <w:spacing w:after="0"/>
        <w:rPr>
          <w:rFonts w:cs="Arial"/>
        </w:rPr>
      </w:pPr>
      <w:r>
        <w:rPr>
          <w:rFonts w:cs="Arial"/>
        </w:rPr>
        <w:t>3.4 Others</w:t>
      </w:r>
    </w:p>
    <w:p w14:paraId="1B4B914A" w14:textId="77777777" w:rsidR="00902D7C" w:rsidRDefault="00717CD7">
      <w:pPr>
        <w:rPr>
          <w:rFonts w:ascii="Arial" w:hAnsi="Arial" w:cs="Arial"/>
        </w:rPr>
      </w:pPr>
      <w:r>
        <w:rPr>
          <w:rFonts w:ascii="Arial" w:hAnsi="Arial" w:cs="Arial"/>
        </w:rPr>
        <w:t>The following issues have dependency with other working group or other issues, rapporteur thinks we should wait for other working group or other issues progress.</w:t>
      </w:r>
    </w:p>
    <w:p w14:paraId="3D11866B" w14:textId="77777777" w:rsidR="00902D7C" w:rsidRDefault="00717CD7">
      <w:pPr>
        <w:ind w:firstLine="284"/>
        <w:rPr>
          <w:rFonts w:ascii="Arial" w:hAnsi="Arial" w:cs="Arial"/>
        </w:rPr>
      </w:pPr>
      <w:r>
        <w:rPr>
          <w:rFonts w:ascii="Arial" w:hAnsi="Arial" w:cs="Arial"/>
        </w:rPr>
        <w:t>- RVQoE specific periodicity, depends on RAN3 and SA4</w:t>
      </w:r>
    </w:p>
    <w:p w14:paraId="645E9C19" w14:textId="77777777" w:rsidR="00902D7C" w:rsidRDefault="00717CD7">
      <w:pPr>
        <w:ind w:firstLine="284"/>
        <w:rPr>
          <w:rFonts w:ascii="Arial" w:hAnsi="Arial" w:cs="Arial"/>
        </w:rPr>
      </w:pPr>
      <w:r>
        <w:rPr>
          <w:rFonts w:ascii="Arial" w:hAnsi="Arial" w:cs="Arial"/>
        </w:rPr>
        <w:t>- RVQoE mobility issues, depends on legacy QoE mobility</w:t>
      </w:r>
    </w:p>
    <w:p w14:paraId="1C975422" w14:textId="77777777" w:rsidR="00902D7C" w:rsidRDefault="00717CD7">
      <w:pPr>
        <w:ind w:firstLine="284"/>
        <w:rPr>
          <w:rFonts w:ascii="Arial" w:hAnsi="Arial" w:cs="Arial"/>
        </w:rPr>
      </w:pPr>
      <w:r>
        <w:rPr>
          <w:rFonts w:ascii="Arial" w:hAnsi="Arial" w:cs="Arial"/>
        </w:rPr>
        <w:t>- RVQoE pause and resume, depends on legacy QoE reporting pause and resume and RAN3 discussion.</w:t>
      </w:r>
    </w:p>
    <w:p w14:paraId="74836926" w14:textId="77777777" w:rsidR="00902D7C" w:rsidRDefault="00717CD7">
      <w:pPr>
        <w:ind w:firstLine="284"/>
        <w:rPr>
          <w:rFonts w:ascii="Arial" w:hAnsi="Arial" w:cs="Arial"/>
        </w:rPr>
      </w:pPr>
      <w:r>
        <w:rPr>
          <w:rFonts w:ascii="Arial" w:hAnsi="Arial" w:cs="Arial"/>
        </w:rPr>
        <w:t>- RVQoE SRB, depends on RAN3 feedback on the usage</w:t>
      </w:r>
    </w:p>
    <w:p w14:paraId="7065DDF9" w14:textId="77777777" w:rsidR="00902D7C" w:rsidRDefault="00717CD7">
      <w:pPr>
        <w:pStyle w:val="1"/>
        <w:rPr>
          <w:rFonts w:cs="Arial"/>
          <w:lang w:eastAsia="ko-KR"/>
        </w:rPr>
      </w:pPr>
      <w:r>
        <w:rPr>
          <w:rFonts w:cs="Arial"/>
          <w:lang w:eastAsia="ko-KR"/>
        </w:rPr>
        <w:lastRenderedPageBreak/>
        <w:t>4</w:t>
      </w:r>
      <w:r>
        <w:rPr>
          <w:rFonts w:cs="Arial"/>
          <w:lang w:eastAsia="ko-KR"/>
        </w:rPr>
        <w:tab/>
        <w:t>Conclusion</w:t>
      </w:r>
    </w:p>
    <w:p w14:paraId="0F018D60" w14:textId="77777777" w:rsidR="00902D7C" w:rsidRDefault="00717CD7">
      <w:pPr>
        <w:pStyle w:val="EX"/>
        <w:ind w:left="0" w:firstLine="0"/>
        <w:rPr>
          <w:rFonts w:ascii="Arial" w:eastAsia="宋体" w:hAnsi="Arial" w:cs="Arial"/>
          <w:b/>
          <w:sz w:val="22"/>
          <w:lang w:eastAsia="zh-CN"/>
        </w:rPr>
      </w:pPr>
      <w:r>
        <w:rPr>
          <w:rFonts w:ascii="Arial" w:eastAsia="宋体" w:hAnsi="Arial" w:cs="Arial"/>
          <w:b/>
          <w:sz w:val="22"/>
          <w:highlight w:val="yellow"/>
          <w:lang w:eastAsia="zh-CN"/>
        </w:rPr>
        <w:t>(TBC)</w:t>
      </w:r>
    </w:p>
    <w:p w14:paraId="49994F5A" w14:textId="77777777" w:rsidR="00902D7C" w:rsidRDefault="00717CD7">
      <w:pPr>
        <w:pStyle w:val="1"/>
        <w:rPr>
          <w:rFonts w:cs="Arial"/>
          <w:lang w:eastAsia="ko-KR"/>
        </w:rPr>
      </w:pPr>
      <w:r>
        <w:rPr>
          <w:rFonts w:cs="Arial"/>
          <w:lang w:eastAsia="ko-KR"/>
        </w:rPr>
        <w:t>5</w:t>
      </w:r>
      <w:r>
        <w:rPr>
          <w:rFonts w:cs="Arial"/>
          <w:lang w:eastAsia="ko-KR"/>
        </w:rPr>
        <w:tab/>
        <w:t>References</w:t>
      </w:r>
    </w:p>
    <w:p w14:paraId="1986015F" w14:textId="77777777" w:rsidR="00902D7C" w:rsidRDefault="00717CD7">
      <w:pPr>
        <w:pStyle w:val="Doc-title"/>
      </w:pPr>
      <w:r>
        <w:t xml:space="preserve">[1]      </w:t>
      </w:r>
      <w:r>
        <w:tab/>
        <w:t>R2-2200110</w:t>
      </w:r>
      <w:r>
        <w:tab/>
        <w:t xml:space="preserve">RAN3 agreements on RAN visible </w:t>
      </w:r>
      <w:proofErr w:type="spellStart"/>
      <w:r>
        <w:t>QoE</w:t>
      </w:r>
      <w:proofErr w:type="spellEnd"/>
      <w:r>
        <w:t xml:space="preserve"> (R3-216227; contact: Qualcomm)</w:t>
      </w:r>
      <w:r>
        <w:tab/>
        <w:t>RAN3</w:t>
      </w:r>
      <w:r>
        <w:tab/>
        <w:t>LS in</w:t>
      </w:r>
      <w:r>
        <w:tab/>
        <w:t>Rel-17</w:t>
      </w:r>
      <w:r>
        <w:tab/>
      </w:r>
      <w:proofErr w:type="spellStart"/>
      <w:r>
        <w:t>NR_QoE</w:t>
      </w:r>
      <w:proofErr w:type="spellEnd"/>
      <w:r>
        <w:t>-Core</w:t>
      </w:r>
      <w:r>
        <w:tab/>
        <w:t>To</w:t>
      </w:r>
      <w:proofErr w:type="gramStart"/>
      <w:r>
        <w:t>:RAN2</w:t>
      </w:r>
      <w:proofErr w:type="gramEnd"/>
    </w:p>
    <w:p w14:paraId="44EF4C8A" w14:textId="77777777" w:rsidR="00902D7C" w:rsidRDefault="00717CD7">
      <w:pPr>
        <w:pStyle w:val="Doc-title"/>
      </w:pPr>
      <w:r>
        <w:t>[2]</w:t>
      </w:r>
      <w:r>
        <w:tab/>
        <w:t>R2-2200268</w:t>
      </w:r>
      <w:r>
        <w:tab/>
        <w:t>Discussion on RAN Visible QoE</w:t>
      </w:r>
      <w:r>
        <w:tab/>
        <w:t>ZTE Corporation, Sanechips</w:t>
      </w:r>
      <w:r>
        <w:tab/>
        <w:t>discussion</w:t>
      </w:r>
      <w:r>
        <w:tab/>
        <w:t>Rel-17</w:t>
      </w:r>
    </w:p>
    <w:p w14:paraId="2B58185C" w14:textId="77777777" w:rsidR="00902D7C" w:rsidRDefault="00717CD7">
      <w:pPr>
        <w:pStyle w:val="Doc-title"/>
      </w:pPr>
      <w:r>
        <w:t>[3]</w:t>
      </w:r>
      <w:r>
        <w:tab/>
        <w:t>R2-2200546</w:t>
      </w:r>
      <w:r>
        <w:tab/>
        <w:t>RAN visible QoE configuration and report</w:t>
      </w:r>
      <w:r>
        <w:tab/>
        <w:t>Samsung</w:t>
      </w:r>
      <w:r>
        <w:tab/>
        <w:t>discussion</w:t>
      </w:r>
      <w:r>
        <w:tab/>
        <w:t>Rel-17</w:t>
      </w:r>
    </w:p>
    <w:p w14:paraId="6DAB4D2C" w14:textId="77777777" w:rsidR="00902D7C" w:rsidRDefault="00717CD7">
      <w:pPr>
        <w:pStyle w:val="Doc-title"/>
      </w:pPr>
      <w:r>
        <w:t>[4]</w:t>
      </w:r>
      <w:r>
        <w:tab/>
        <w:t>R2-2200558</w:t>
      </w:r>
      <w:r>
        <w:tab/>
        <w:t xml:space="preserve">Discussion on RAN visible </w:t>
      </w:r>
      <w:proofErr w:type="spellStart"/>
      <w:r>
        <w:t>QoE</w:t>
      </w:r>
      <w:proofErr w:type="spellEnd"/>
      <w:r>
        <w:t xml:space="preserve"> configuration</w:t>
      </w:r>
      <w:r>
        <w:tab/>
        <w:t>OPPO</w:t>
      </w:r>
      <w:r>
        <w:tab/>
        <w:t>discussion</w:t>
      </w:r>
      <w:r>
        <w:tab/>
        <w:t>Rel-17</w:t>
      </w:r>
      <w:r>
        <w:tab/>
      </w:r>
      <w:proofErr w:type="spellStart"/>
      <w:r>
        <w:t>NR_QoE</w:t>
      </w:r>
      <w:proofErr w:type="spellEnd"/>
      <w:r>
        <w:t>-Core</w:t>
      </w:r>
    </w:p>
    <w:p w14:paraId="5FBC8353" w14:textId="77777777" w:rsidR="00902D7C" w:rsidRDefault="00717CD7">
      <w:pPr>
        <w:pStyle w:val="Doc-title"/>
      </w:pPr>
      <w:r>
        <w:t>[5]</w:t>
      </w:r>
      <w:r>
        <w:tab/>
        <w:t>R2-2200705</w:t>
      </w:r>
      <w:r>
        <w:tab/>
        <w:t>Support of RAN visible QoE and per-slice QoE</w:t>
      </w:r>
      <w:r>
        <w:tab/>
        <w:t>Qualcomm Incorporated</w:t>
      </w:r>
      <w:r>
        <w:tab/>
        <w:t>discussion</w:t>
      </w:r>
    </w:p>
    <w:p w14:paraId="5E06E82F" w14:textId="77777777" w:rsidR="00902D7C" w:rsidRDefault="00717CD7">
      <w:pPr>
        <w:pStyle w:val="Doc-title"/>
      </w:pPr>
      <w:r>
        <w:t>[6]</w:t>
      </w:r>
      <w:r>
        <w:tab/>
        <w:t>R2-2200822</w:t>
      </w:r>
      <w:r>
        <w:tab/>
        <w:t xml:space="preserve">RAN visible </w:t>
      </w:r>
      <w:proofErr w:type="spellStart"/>
      <w:r>
        <w:t>QoE</w:t>
      </w:r>
      <w:proofErr w:type="spellEnd"/>
      <w:r>
        <w:tab/>
        <w:t xml:space="preserve">Huawei, </w:t>
      </w:r>
      <w:proofErr w:type="spellStart"/>
      <w:r>
        <w:t>HiSilicon</w:t>
      </w:r>
      <w:proofErr w:type="spellEnd"/>
      <w:r>
        <w:tab/>
        <w:t>discussion</w:t>
      </w:r>
      <w:r>
        <w:tab/>
        <w:t>Rel-17</w:t>
      </w:r>
      <w:r>
        <w:tab/>
      </w:r>
      <w:proofErr w:type="spellStart"/>
      <w:r>
        <w:t>NR_QoE</w:t>
      </w:r>
      <w:proofErr w:type="spellEnd"/>
      <w:r>
        <w:t>-Core</w:t>
      </w:r>
    </w:p>
    <w:p w14:paraId="4A063588" w14:textId="77777777" w:rsidR="00902D7C" w:rsidRDefault="00717CD7">
      <w:pPr>
        <w:pStyle w:val="Doc-title"/>
      </w:pPr>
      <w:r>
        <w:t>[7]</w:t>
      </w:r>
      <w:r>
        <w:tab/>
        <w:t>R2-2200854</w:t>
      </w:r>
      <w:r>
        <w:tab/>
        <w:t xml:space="preserve">Discussion on Ran </w:t>
      </w:r>
      <w:proofErr w:type="spellStart"/>
      <w:r>
        <w:t>visiable</w:t>
      </w:r>
      <w:proofErr w:type="spellEnd"/>
      <w:r>
        <w:t xml:space="preserve"> </w:t>
      </w:r>
      <w:proofErr w:type="spellStart"/>
      <w:r>
        <w:t>QoE</w:t>
      </w:r>
      <w:proofErr w:type="spellEnd"/>
      <w:r>
        <w:tab/>
        <w:t>CMCC</w:t>
      </w:r>
      <w:r>
        <w:tab/>
        <w:t>discussion</w:t>
      </w:r>
      <w:r>
        <w:tab/>
        <w:t>Rel-17</w:t>
      </w:r>
      <w:r>
        <w:tab/>
      </w:r>
      <w:proofErr w:type="spellStart"/>
      <w:r>
        <w:t>NR_QoE</w:t>
      </w:r>
      <w:proofErr w:type="spellEnd"/>
    </w:p>
    <w:p w14:paraId="6B406FCE" w14:textId="77777777" w:rsidR="00902D7C" w:rsidRDefault="00717CD7">
      <w:pPr>
        <w:pStyle w:val="Doc-title"/>
      </w:pPr>
      <w:r>
        <w:t>[8]</w:t>
      </w:r>
      <w:r>
        <w:tab/>
        <w:t>R2-2200998</w:t>
      </w:r>
      <w:r>
        <w:tab/>
        <w:t xml:space="preserve">RAN Visible </w:t>
      </w:r>
      <w:proofErr w:type="spellStart"/>
      <w:r>
        <w:t>QoE</w:t>
      </w:r>
      <w:proofErr w:type="spellEnd"/>
      <w:r>
        <w:t xml:space="preserve"> measurements</w:t>
      </w:r>
      <w:r>
        <w:tab/>
        <w:t>Ericsson</w:t>
      </w:r>
      <w:r>
        <w:tab/>
        <w:t>discussion</w:t>
      </w:r>
      <w:r>
        <w:tab/>
        <w:t>Rel-17</w:t>
      </w:r>
      <w:r>
        <w:tab/>
      </w:r>
      <w:proofErr w:type="spellStart"/>
      <w:r>
        <w:t>NR_QoE</w:t>
      </w:r>
      <w:proofErr w:type="spellEnd"/>
      <w:r>
        <w:t>-Core</w:t>
      </w:r>
    </w:p>
    <w:p w14:paraId="220E2407" w14:textId="77777777" w:rsidR="00902D7C" w:rsidRDefault="00717CD7">
      <w:pPr>
        <w:pStyle w:val="Doc-title"/>
      </w:pPr>
      <w:r>
        <w:t>[9]</w:t>
      </w:r>
      <w:r>
        <w:tab/>
        <w:t>R2-2201047</w:t>
      </w:r>
      <w:r>
        <w:tab/>
        <w:t xml:space="preserve">RAN visible </w:t>
      </w:r>
      <w:proofErr w:type="spellStart"/>
      <w:r>
        <w:t>QoE</w:t>
      </w:r>
      <w:proofErr w:type="spellEnd"/>
      <w:r>
        <w:tab/>
        <w:t>Nokia, Nokia Shanghai Bell</w:t>
      </w:r>
      <w:r>
        <w:tab/>
        <w:t>discussion</w:t>
      </w:r>
      <w:r>
        <w:tab/>
        <w:t>Rel-17</w:t>
      </w:r>
      <w:r>
        <w:tab/>
      </w:r>
      <w:proofErr w:type="spellStart"/>
      <w:r>
        <w:t>NR_QoE</w:t>
      </w:r>
      <w:proofErr w:type="spellEnd"/>
      <w:r>
        <w:t>-Core</w:t>
      </w:r>
    </w:p>
    <w:p w14:paraId="1388F37E" w14:textId="77777777" w:rsidR="00902D7C" w:rsidRDefault="00717CD7">
      <w:pPr>
        <w:pStyle w:val="Doc-title"/>
      </w:pPr>
      <w:r>
        <w:t>[10]</w:t>
      </w:r>
      <w:r>
        <w:tab/>
        <w:t>R2-2201419</w:t>
      </w:r>
      <w:r>
        <w:tab/>
        <w:t xml:space="preserve">Discussion on NR RAN-visible </w:t>
      </w:r>
      <w:proofErr w:type="spellStart"/>
      <w:r>
        <w:t>QoE</w:t>
      </w:r>
      <w:proofErr w:type="spellEnd"/>
      <w:r>
        <w:tab/>
        <w:t>CATT</w:t>
      </w:r>
      <w:r>
        <w:tab/>
        <w:t>discussion</w:t>
      </w:r>
      <w:r>
        <w:tab/>
      </w:r>
      <w:proofErr w:type="spellStart"/>
      <w:r>
        <w:t>NR_QoE</w:t>
      </w:r>
      <w:proofErr w:type="spellEnd"/>
      <w:r>
        <w:t>-Core</w:t>
      </w:r>
    </w:p>
    <w:p w14:paraId="07F1DF2D" w14:textId="77777777" w:rsidR="00902D7C" w:rsidRDefault="00717CD7">
      <w:pPr>
        <w:pStyle w:val="Doc-title"/>
      </w:pPr>
      <w:r>
        <w:t>[11]</w:t>
      </w:r>
      <w:r>
        <w:tab/>
        <w:t>R2-2201594</w:t>
      </w:r>
      <w:r>
        <w:tab/>
        <w:t xml:space="preserve">Discussion on RAN visible </w:t>
      </w:r>
      <w:proofErr w:type="spellStart"/>
      <w:r>
        <w:t>QoE</w:t>
      </w:r>
      <w:proofErr w:type="spellEnd"/>
      <w:r>
        <w:t xml:space="preserve"> measurement in Rel-17</w:t>
      </w:r>
      <w:r>
        <w:tab/>
        <w:t>China Unicom</w:t>
      </w:r>
      <w:r>
        <w:tab/>
        <w:t>discussion</w:t>
      </w:r>
      <w:r>
        <w:tab/>
      </w:r>
      <w:proofErr w:type="spellStart"/>
      <w:r>
        <w:t>NR_QoE</w:t>
      </w:r>
      <w:proofErr w:type="spellEnd"/>
      <w:r>
        <w:t>-Core</w:t>
      </w:r>
    </w:p>
    <w:p w14:paraId="650B6FE0" w14:textId="77777777" w:rsidR="00902D7C" w:rsidRDefault="00717CD7">
      <w:pPr>
        <w:pStyle w:val="Doc-title"/>
      </w:pPr>
      <w:r>
        <w:t>[12]</w:t>
      </w:r>
      <w:r>
        <w:tab/>
        <w:t>R2-2201596</w:t>
      </w:r>
      <w:r>
        <w:tab/>
        <w:t xml:space="preserve">Discussion on RAN Visible </w:t>
      </w:r>
      <w:proofErr w:type="spellStart"/>
      <w:r>
        <w:t>QoE</w:t>
      </w:r>
      <w:proofErr w:type="spellEnd"/>
      <w:r>
        <w:tab/>
        <w:t>vivo</w:t>
      </w:r>
      <w:r>
        <w:tab/>
        <w:t>discussion</w:t>
      </w:r>
      <w:r>
        <w:tab/>
        <w:t>Rel-17</w:t>
      </w:r>
      <w:r>
        <w:tab/>
      </w:r>
      <w:proofErr w:type="spellStart"/>
      <w:r>
        <w:t>NR_QoE</w:t>
      </w:r>
      <w:proofErr w:type="spellEnd"/>
      <w:r>
        <w:t>-Core</w:t>
      </w:r>
    </w:p>
    <w:p w14:paraId="02CFDCDD" w14:textId="77777777" w:rsidR="00902D7C" w:rsidRDefault="00717CD7">
      <w:pPr>
        <w:pStyle w:val="Doc-title"/>
      </w:pPr>
      <w:r>
        <w:t>[13]</w:t>
      </w:r>
      <w:r>
        <w:tab/>
        <w:t>R2-2201626</w:t>
      </w:r>
      <w:r>
        <w:tab/>
        <w:t xml:space="preserve">Discussion on RV </w:t>
      </w:r>
      <w:proofErr w:type="spellStart"/>
      <w:r>
        <w:t>QoE</w:t>
      </w:r>
      <w:proofErr w:type="spellEnd"/>
      <w:r>
        <w:tab/>
        <w:t>LG Electronics</w:t>
      </w:r>
      <w:r>
        <w:tab/>
        <w:t>discussion</w:t>
      </w:r>
      <w:r>
        <w:tab/>
        <w:t>Rel-17</w:t>
      </w:r>
      <w:r>
        <w:tab/>
      </w:r>
      <w:proofErr w:type="spellStart"/>
      <w:r>
        <w:t>NR_QoE</w:t>
      </w:r>
      <w:proofErr w:type="spellEnd"/>
      <w:r>
        <w:t>-Core</w:t>
      </w:r>
    </w:p>
    <w:p w14:paraId="7B58C0C1" w14:textId="77777777" w:rsidR="00902D7C" w:rsidRDefault="00902D7C">
      <w:pPr>
        <w:pStyle w:val="Doc-text2"/>
        <w:ind w:left="0" w:firstLine="0"/>
        <w:rPr>
          <w:rFonts w:cs="Arial"/>
        </w:rPr>
      </w:pPr>
    </w:p>
    <w:p w14:paraId="16E7AE58" w14:textId="77777777" w:rsidR="00902D7C" w:rsidRDefault="00902D7C">
      <w:pPr>
        <w:pStyle w:val="Doc-title"/>
        <w:rPr>
          <w:rFonts w:cs="Arial"/>
        </w:rPr>
      </w:pPr>
    </w:p>
    <w:p w14:paraId="511824AF" w14:textId="77777777" w:rsidR="00902D7C" w:rsidRDefault="00902D7C">
      <w:pPr>
        <w:pStyle w:val="Doc-title"/>
        <w:rPr>
          <w:rFonts w:cs="Arial"/>
        </w:rPr>
      </w:pPr>
    </w:p>
    <w:p w14:paraId="264428B0" w14:textId="77777777" w:rsidR="00902D7C" w:rsidRDefault="00902D7C">
      <w:pPr>
        <w:pStyle w:val="Doc-text2"/>
        <w:rPr>
          <w:rFonts w:cs="Arial"/>
        </w:rPr>
      </w:pPr>
    </w:p>
    <w:p w14:paraId="1FD9BCFC" w14:textId="77777777" w:rsidR="00902D7C" w:rsidRDefault="00902D7C">
      <w:pPr>
        <w:pStyle w:val="EX"/>
        <w:ind w:left="0" w:firstLine="0"/>
        <w:rPr>
          <w:rFonts w:ascii="Arial" w:eastAsia="宋体" w:hAnsi="Arial" w:cs="Arial"/>
          <w:b/>
          <w:sz w:val="22"/>
          <w:lang w:eastAsia="zh-CN"/>
        </w:rPr>
      </w:pPr>
    </w:p>
    <w:sectPr w:rsidR="00902D7C">
      <w:headerReference w:type="default" r:id="rId11"/>
      <w:footnotePr>
        <w:numRestart w:val="eachSect"/>
      </w:footnotePr>
      <w:pgSz w:w="11907" w:h="16840"/>
      <w:pgMar w:top="1134" w:right="1134" w:bottom="1418" w:left="1134" w:header="680" w:footer="567" w:gutter="0"/>
      <w:cols w:space="72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9FF12" w14:textId="77777777" w:rsidR="001D3BFE" w:rsidRDefault="001D3BFE">
      <w:pPr>
        <w:spacing w:after="0"/>
      </w:pPr>
      <w:r>
        <w:separator/>
      </w:r>
    </w:p>
  </w:endnote>
  <w:endnote w:type="continuationSeparator" w:id="0">
    <w:p w14:paraId="2EACEF68" w14:textId="77777777" w:rsidR="001D3BFE" w:rsidRDefault="001D3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C5673" w14:textId="77777777" w:rsidR="001D3BFE" w:rsidRDefault="001D3BFE">
      <w:pPr>
        <w:spacing w:after="0"/>
      </w:pPr>
      <w:r>
        <w:separator/>
      </w:r>
    </w:p>
  </w:footnote>
  <w:footnote w:type="continuationSeparator" w:id="0">
    <w:p w14:paraId="2D1B999A" w14:textId="77777777" w:rsidR="001D3BFE" w:rsidRDefault="001D3BF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69350" w14:textId="77777777" w:rsidR="00902D7C" w:rsidRDefault="00717CD7">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1F3673A"/>
    <w:multiLevelType w:val="multilevel"/>
    <w:tmpl w:val="61F3673A"/>
    <w:lvl w:ilvl="0">
      <w:start w:val="38"/>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Ma0FANkOf/8tAAAA"/>
  </w:docVars>
  <w:rsids>
    <w:rsidRoot w:val="00635E11"/>
    <w:rsid w:val="00001CF6"/>
    <w:rsid w:val="00002804"/>
    <w:rsid w:val="00004255"/>
    <w:rsid w:val="00004FAA"/>
    <w:rsid w:val="0000525B"/>
    <w:rsid w:val="00006676"/>
    <w:rsid w:val="00006E3B"/>
    <w:rsid w:val="000074E3"/>
    <w:rsid w:val="000076C6"/>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20C4"/>
    <w:rsid w:val="00023ADC"/>
    <w:rsid w:val="000243B1"/>
    <w:rsid w:val="0002497E"/>
    <w:rsid w:val="00025422"/>
    <w:rsid w:val="00030309"/>
    <w:rsid w:val="00031C2A"/>
    <w:rsid w:val="00032118"/>
    <w:rsid w:val="00032199"/>
    <w:rsid w:val="000328CE"/>
    <w:rsid w:val="00032D85"/>
    <w:rsid w:val="00032E9C"/>
    <w:rsid w:val="00034093"/>
    <w:rsid w:val="00034678"/>
    <w:rsid w:val="00034679"/>
    <w:rsid w:val="0003622B"/>
    <w:rsid w:val="00037E67"/>
    <w:rsid w:val="0004115E"/>
    <w:rsid w:val="0004270C"/>
    <w:rsid w:val="00043144"/>
    <w:rsid w:val="000434AF"/>
    <w:rsid w:val="0004388F"/>
    <w:rsid w:val="00043A31"/>
    <w:rsid w:val="00043C9E"/>
    <w:rsid w:val="00044A71"/>
    <w:rsid w:val="00045003"/>
    <w:rsid w:val="0004561F"/>
    <w:rsid w:val="00047A40"/>
    <w:rsid w:val="00047B0B"/>
    <w:rsid w:val="00051BB8"/>
    <w:rsid w:val="00051E06"/>
    <w:rsid w:val="00051F0B"/>
    <w:rsid w:val="00052FDA"/>
    <w:rsid w:val="00053D16"/>
    <w:rsid w:val="00054146"/>
    <w:rsid w:val="0005498E"/>
    <w:rsid w:val="00054C7D"/>
    <w:rsid w:val="00055032"/>
    <w:rsid w:val="00055460"/>
    <w:rsid w:val="000559C5"/>
    <w:rsid w:val="00056357"/>
    <w:rsid w:val="00056F48"/>
    <w:rsid w:val="00057816"/>
    <w:rsid w:val="000603FB"/>
    <w:rsid w:val="000607EB"/>
    <w:rsid w:val="00060B0C"/>
    <w:rsid w:val="00060CD3"/>
    <w:rsid w:val="000616B8"/>
    <w:rsid w:val="00061B69"/>
    <w:rsid w:val="000630FC"/>
    <w:rsid w:val="000654A3"/>
    <w:rsid w:val="00065AEC"/>
    <w:rsid w:val="000700E6"/>
    <w:rsid w:val="00070967"/>
    <w:rsid w:val="0007256C"/>
    <w:rsid w:val="0007394F"/>
    <w:rsid w:val="00073D09"/>
    <w:rsid w:val="00074792"/>
    <w:rsid w:val="00074CDB"/>
    <w:rsid w:val="000751F6"/>
    <w:rsid w:val="00076DE8"/>
    <w:rsid w:val="0008094A"/>
    <w:rsid w:val="00081065"/>
    <w:rsid w:val="0008152B"/>
    <w:rsid w:val="00081A2F"/>
    <w:rsid w:val="00081A72"/>
    <w:rsid w:val="000825DD"/>
    <w:rsid w:val="00083BB1"/>
    <w:rsid w:val="000904D8"/>
    <w:rsid w:val="00090D37"/>
    <w:rsid w:val="00092034"/>
    <w:rsid w:val="000921ED"/>
    <w:rsid w:val="0009256A"/>
    <w:rsid w:val="000927EA"/>
    <w:rsid w:val="000943A1"/>
    <w:rsid w:val="0009492D"/>
    <w:rsid w:val="00095192"/>
    <w:rsid w:val="0009591E"/>
    <w:rsid w:val="00096636"/>
    <w:rsid w:val="00096691"/>
    <w:rsid w:val="00097727"/>
    <w:rsid w:val="000A0283"/>
    <w:rsid w:val="000A02FB"/>
    <w:rsid w:val="000A235F"/>
    <w:rsid w:val="000A2659"/>
    <w:rsid w:val="000A340C"/>
    <w:rsid w:val="000A3BF2"/>
    <w:rsid w:val="000A4458"/>
    <w:rsid w:val="000A7A76"/>
    <w:rsid w:val="000A7C0D"/>
    <w:rsid w:val="000B115F"/>
    <w:rsid w:val="000B195D"/>
    <w:rsid w:val="000B1C51"/>
    <w:rsid w:val="000B20BA"/>
    <w:rsid w:val="000B21BD"/>
    <w:rsid w:val="000B2B45"/>
    <w:rsid w:val="000B2CB5"/>
    <w:rsid w:val="000B32CE"/>
    <w:rsid w:val="000B38E1"/>
    <w:rsid w:val="000B4170"/>
    <w:rsid w:val="000B50A8"/>
    <w:rsid w:val="000B534A"/>
    <w:rsid w:val="000B6B86"/>
    <w:rsid w:val="000B71E8"/>
    <w:rsid w:val="000C11CB"/>
    <w:rsid w:val="000C17A7"/>
    <w:rsid w:val="000C1D38"/>
    <w:rsid w:val="000C3439"/>
    <w:rsid w:val="000C372C"/>
    <w:rsid w:val="000C39F5"/>
    <w:rsid w:val="000C3E6C"/>
    <w:rsid w:val="000C4FA0"/>
    <w:rsid w:val="000C592C"/>
    <w:rsid w:val="000C67B3"/>
    <w:rsid w:val="000C70CC"/>
    <w:rsid w:val="000C7A0E"/>
    <w:rsid w:val="000D05DC"/>
    <w:rsid w:val="000D365F"/>
    <w:rsid w:val="000D39DD"/>
    <w:rsid w:val="000D3A7A"/>
    <w:rsid w:val="000D7C13"/>
    <w:rsid w:val="000E2A2C"/>
    <w:rsid w:val="000E67CE"/>
    <w:rsid w:val="000E692E"/>
    <w:rsid w:val="000E6EA9"/>
    <w:rsid w:val="000E7A61"/>
    <w:rsid w:val="000F0454"/>
    <w:rsid w:val="000F082D"/>
    <w:rsid w:val="000F1589"/>
    <w:rsid w:val="000F28F3"/>
    <w:rsid w:val="000F369B"/>
    <w:rsid w:val="000F389C"/>
    <w:rsid w:val="000F3A55"/>
    <w:rsid w:val="000F3DFF"/>
    <w:rsid w:val="000F3F73"/>
    <w:rsid w:val="000F458A"/>
    <w:rsid w:val="000F58F6"/>
    <w:rsid w:val="000F6E72"/>
    <w:rsid w:val="000F755F"/>
    <w:rsid w:val="000F7727"/>
    <w:rsid w:val="00100B97"/>
    <w:rsid w:val="00100CC3"/>
    <w:rsid w:val="001036D2"/>
    <w:rsid w:val="001038A8"/>
    <w:rsid w:val="0010620E"/>
    <w:rsid w:val="00110C62"/>
    <w:rsid w:val="00112409"/>
    <w:rsid w:val="0011278B"/>
    <w:rsid w:val="00113327"/>
    <w:rsid w:val="00113A68"/>
    <w:rsid w:val="001154DF"/>
    <w:rsid w:val="00115AD8"/>
    <w:rsid w:val="00115F3D"/>
    <w:rsid w:val="00115FC2"/>
    <w:rsid w:val="001171BA"/>
    <w:rsid w:val="00120DC8"/>
    <w:rsid w:val="00120E93"/>
    <w:rsid w:val="001219B8"/>
    <w:rsid w:val="001237A3"/>
    <w:rsid w:val="00124E2F"/>
    <w:rsid w:val="0012571D"/>
    <w:rsid w:val="00125C71"/>
    <w:rsid w:val="0012634F"/>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D51"/>
    <w:rsid w:val="00146E18"/>
    <w:rsid w:val="00147251"/>
    <w:rsid w:val="001522B3"/>
    <w:rsid w:val="00152502"/>
    <w:rsid w:val="00152627"/>
    <w:rsid w:val="00153008"/>
    <w:rsid w:val="001548C9"/>
    <w:rsid w:val="00157DA6"/>
    <w:rsid w:val="001612EE"/>
    <w:rsid w:val="001615E0"/>
    <w:rsid w:val="00161C49"/>
    <w:rsid w:val="001630AF"/>
    <w:rsid w:val="00163320"/>
    <w:rsid w:val="0016372D"/>
    <w:rsid w:val="0016488D"/>
    <w:rsid w:val="00166289"/>
    <w:rsid w:val="00170F77"/>
    <w:rsid w:val="0017145C"/>
    <w:rsid w:val="001722E2"/>
    <w:rsid w:val="0017250C"/>
    <w:rsid w:val="00174BAC"/>
    <w:rsid w:val="001763CF"/>
    <w:rsid w:val="0017655D"/>
    <w:rsid w:val="00176763"/>
    <w:rsid w:val="00180E3E"/>
    <w:rsid w:val="00181C88"/>
    <w:rsid w:val="00182311"/>
    <w:rsid w:val="001829B6"/>
    <w:rsid w:val="0018372D"/>
    <w:rsid w:val="0018413C"/>
    <w:rsid w:val="00184B1E"/>
    <w:rsid w:val="00184BAE"/>
    <w:rsid w:val="00185972"/>
    <w:rsid w:val="001860AE"/>
    <w:rsid w:val="00186D51"/>
    <w:rsid w:val="00187DF7"/>
    <w:rsid w:val="00191673"/>
    <w:rsid w:val="001923A9"/>
    <w:rsid w:val="00192632"/>
    <w:rsid w:val="0019299E"/>
    <w:rsid w:val="0019360A"/>
    <w:rsid w:val="0019366B"/>
    <w:rsid w:val="00195AC8"/>
    <w:rsid w:val="00196771"/>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3307"/>
    <w:rsid w:val="001B418D"/>
    <w:rsid w:val="001B41BA"/>
    <w:rsid w:val="001B6568"/>
    <w:rsid w:val="001C0502"/>
    <w:rsid w:val="001C0D33"/>
    <w:rsid w:val="001C0D44"/>
    <w:rsid w:val="001C1743"/>
    <w:rsid w:val="001C2836"/>
    <w:rsid w:val="001C2CBB"/>
    <w:rsid w:val="001C5049"/>
    <w:rsid w:val="001C5B29"/>
    <w:rsid w:val="001C6763"/>
    <w:rsid w:val="001C7BCB"/>
    <w:rsid w:val="001D12D7"/>
    <w:rsid w:val="001D158E"/>
    <w:rsid w:val="001D1809"/>
    <w:rsid w:val="001D29FF"/>
    <w:rsid w:val="001D3680"/>
    <w:rsid w:val="001D3BFE"/>
    <w:rsid w:val="001D4F65"/>
    <w:rsid w:val="001D502F"/>
    <w:rsid w:val="001D51C9"/>
    <w:rsid w:val="001D6474"/>
    <w:rsid w:val="001D7760"/>
    <w:rsid w:val="001E0BBA"/>
    <w:rsid w:val="001E0FB4"/>
    <w:rsid w:val="001E3709"/>
    <w:rsid w:val="001E4DD9"/>
    <w:rsid w:val="001E4DF9"/>
    <w:rsid w:val="001E5C4B"/>
    <w:rsid w:val="001E5E06"/>
    <w:rsid w:val="001E7BAF"/>
    <w:rsid w:val="001F098D"/>
    <w:rsid w:val="001F1ABB"/>
    <w:rsid w:val="001F1E9A"/>
    <w:rsid w:val="001F29A5"/>
    <w:rsid w:val="001F2CC1"/>
    <w:rsid w:val="001F364F"/>
    <w:rsid w:val="001F40F5"/>
    <w:rsid w:val="001F4C82"/>
    <w:rsid w:val="001F508F"/>
    <w:rsid w:val="001F6C71"/>
    <w:rsid w:val="001F709D"/>
    <w:rsid w:val="0020035F"/>
    <w:rsid w:val="002006DE"/>
    <w:rsid w:val="00201405"/>
    <w:rsid w:val="00203A2C"/>
    <w:rsid w:val="00203EEF"/>
    <w:rsid w:val="00204B99"/>
    <w:rsid w:val="00206B50"/>
    <w:rsid w:val="002071D4"/>
    <w:rsid w:val="00210808"/>
    <w:rsid w:val="0021346A"/>
    <w:rsid w:val="00213FDB"/>
    <w:rsid w:val="00214234"/>
    <w:rsid w:val="00214D6E"/>
    <w:rsid w:val="00215102"/>
    <w:rsid w:val="00215587"/>
    <w:rsid w:val="002155DC"/>
    <w:rsid w:val="00215CC4"/>
    <w:rsid w:val="00217247"/>
    <w:rsid w:val="002172E7"/>
    <w:rsid w:val="0022035F"/>
    <w:rsid w:val="00220587"/>
    <w:rsid w:val="00220996"/>
    <w:rsid w:val="0022304F"/>
    <w:rsid w:val="00223C99"/>
    <w:rsid w:val="002242EF"/>
    <w:rsid w:val="00224716"/>
    <w:rsid w:val="002269FE"/>
    <w:rsid w:val="00226F37"/>
    <w:rsid w:val="00227694"/>
    <w:rsid w:val="00230AF8"/>
    <w:rsid w:val="0023173E"/>
    <w:rsid w:val="00231B57"/>
    <w:rsid w:val="00232C77"/>
    <w:rsid w:val="00234ADF"/>
    <w:rsid w:val="00235C18"/>
    <w:rsid w:val="002362CE"/>
    <w:rsid w:val="002364BF"/>
    <w:rsid w:val="00236507"/>
    <w:rsid w:val="00236CEF"/>
    <w:rsid w:val="00237E82"/>
    <w:rsid w:val="0024087F"/>
    <w:rsid w:val="002438C1"/>
    <w:rsid w:val="00243E79"/>
    <w:rsid w:val="002466E0"/>
    <w:rsid w:val="0024672A"/>
    <w:rsid w:val="002469B4"/>
    <w:rsid w:val="002473C8"/>
    <w:rsid w:val="002478FB"/>
    <w:rsid w:val="0025087E"/>
    <w:rsid w:val="0025097B"/>
    <w:rsid w:val="002513ED"/>
    <w:rsid w:val="0025402D"/>
    <w:rsid w:val="00254411"/>
    <w:rsid w:val="00254B4D"/>
    <w:rsid w:val="002558DF"/>
    <w:rsid w:val="002559C2"/>
    <w:rsid w:val="00256791"/>
    <w:rsid w:val="00256B53"/>
    <w:rsid w:val="002570E2"/>
    <w:rsid w:val="002577B8"/>
    <w:rsid w:val="00260BE8"/>
    <w:rsid w:val="0026366B"/>
    <w:rsid w:val="00263B78"/>
    <w:rsid w:val="0026572C"/>
    <w:rsid w:val="00266B3C"/>
    <w:rsid w:val="00267005"/>
    <w:rsid w:val="00267348"/>
    <w:rsid w:val="002673EC"/>
    <w:rsid w:val="00267517"/>
    <w:rsid w:val="00267CDF"/>
    <w:rsid w:val="002704E1"/>
    <w:rsid w:val="00270959"/>
    <w:rsid w:val="0027415C"/>
    <w:rsid w:val="00274D19"/>
    <w:rsid w:val="00276AF2"/>
    <w:rsid w:val="00276F30"/>
    <w:rsid w:val="00281CDF"/>
    <w:rsid w:val="0028262E"/>
    <w:rsid w:val="00282CCD"/>
    <w:rsid w:val="00282F24"/>
    <w:rsid w:val="00283C06"/>
    <w:rsid w:val="00284781"/>
    <w:rsid w:val="00284E2C"/>
    <w:rsid w:val="00284FFB"/>
    <w:rsid w:val="00285134"/>
    <w:rsid w:val="00287BF7"/>
    <w:rsid w:val="00291298"/>
    <w:rsid w:val="00291787"/>
    <w:rsid w:val="00292444"/>
    <w:rsid w:val="0029262A"/>
    <w:rsid w:val="00294FAD"/>
    <w:rsid w:val="00295421"/>
    <w:rsid w:val="0029549E"/>
    <w:rsid w:val="002955EE"/>
    <w:rsid w:val="00296ADB"/>
    <w:rsid w:val="00297562"/>
    <w:rsid w:val="00297D11"/>
    <w:rsid w:val="00297F80"/>
    <w:rsid w:val="002A374B"/>
    <w:rsid w:val="002A3C50"/>
    <w:rsid w:val="002A5243"/>
    <w:rsid w:val="002A6688"/>
    <w:rsid w:val="002A6D3D"/>
    <w:rsid w:val="002A7748"/>
    <w:rsid w:val="002A77C4"/>
    <w:rsid w:val="002A7CCE"/>
    <w:rsid w:val="002B166F"/>
    <w:rsid w:val="002B16F9"/>
    <w:rsid w:val="002B1C6D"/>
    <w:rsid w:val="002B2951"/>
    <w:rsid w:val="002B3AEC"/>
    <w:rsid w:val="002B3D7C"/>
    <w:rsid w:val="002B3E9E"/>
    <w:rsid w:val="002B4808"/>
    <w:rsid w:val="002B4BFB"/>
    <w:rsid w:val="002B5296"/>
    <w:rsid w:val="002B56AE"/>
    <w:rsid w:val="002B6048"/>
    <w:rsid w:val="002B7369"/>
    <w:rsid w:val="002B7AA1"/>
    <w:rsid w:val="002B7C8F"/>
    <w:rsid w:val="002C0625"/>
    <w:rsid w:val="002C1AF7"/>
    <w:rsid w:val="002C1F1A"/>
    <w:rsid w:val="002C2379"/>
    <w:rsid w:val="002C29EA"/>
    <w:rsid w:val="002C398C"/>
    <w:rsid w:val="002C3EB0"/>
    <w:rsid w:val="002C5BA1"/>
    <w:rsid w:val="002C73E3"/>
    <w:rsid w:val="002C7BCC"/>
    <w:rsid w:val="002D040D"/>
    <w:rsid w:val="002D09FC"/>
    <w:rsid w:val="002D0EA9"/>
    <w:rsid w:val="002D149D"/>
    <w:rsid w:val="002D17B1"/>
    <w:rsid w:val="002D3AAB"/>
    <w:rsid w:val="002D4989"/>
    <w:rsid w:val="002D4DF5"/>
    <w:rsid w:val="002D665A"/>
    <w:rsid w:val="002D667D"/>
    <w:rsid w:val="002D6BE4"/>
    <w:rsid w:val="002D6F79"/>
    <w:rsid w:val="002E2128"/>
    <w:rsid w:val="002E60AE"/>
    <w:rsid w:val="002E7C3A"/>
    <w:rsid w:val="002F0E1F"/>
    <w:rsid w:val="002F1536"/>
    <w:rsid w:val="002F1F28"/>
    <w:rsid w:val="002F35BD"/>
    <w:rsid w:val="002F3AB2"/>
    <w:rsid w:val="002F41C7"/>
    <w:rsid w:val="002F422E"/>
    <w:rsid w:val="002F56A1"/>
    <w:rsid w:val="002F5803"/>
    <w:rsid w:val="002F7621"/>
    <w:rsid w:val="003004DD"/>
    <w:rsid w:val="003014E0"/>
    <w:rsid w:val="00302363"/>
    <w:rsid w:val="003023F4"/>
    <w:rsid w:val="00302C39"/>
    <w:rsid w:val="00302C65"/>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27ADB"/>
    <w:rsid w:val="00330B31"/>
    <w:rsid w:val="00332621"/>
    <w:rsid w:val="00332915"/>
    <w:rsid w:val="00332C07"/>
    <w:rsid w:val="00333B3C"/>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687D"/>
    <w:rsid w:val="00346DF0"/>
    <w:rsid w:val="00347A4E"/>
    <w:rsid w:val="00351002"/>
    <w:rsid w:val="0035146B"/>
    <w:rsid w:val="003516D0"/>
    <w:rsid w:val="0035229D"/>
    <w:rsid w:val="00352B83"/>
    <w:rsid w:val="00353EC9"/>
    <w:rsid w:val="00353F75"/>
    <w:rsid w:val="003547DB"/>
    <w:rsid w:val="00356413"/>
    <w:rsid w:val="0035765C"/>
    <w:rsid w:val="00357849"/>
    <w:rsid w:val="003578A5"/>
    <w:rsid w:val="00361107"/>
    <w:rsid w:val="003617D1"/>
    <w:rsid w:val="00361B7A"/>
    <w:rsid w:val="00362441"/>
    <w:rsid w:val="003639E7"/>
    <w:rsid w:val="00363DAC"/>
    <w:rsid w:val="00364AF3"/>
    <w:rsid w:val="00366E45"/>
    <w:rsid w:val="00366FF2"/>
    <w:rsid w:val="003670B7"/>
    <w:rsid w:val="003678BB"/>
    <w:rsid w:val="0036797D"/>
    <w:rsid w:val="003708B7"/>
    <w:rsid w:val="00371904"/>
    <w:rsid w:val="00371C5B"/>
    <w:rsid w:val="00372653"/>
    <w:rsid w:val="0037276E"/>
    <w:rsid w:val="0037354B"/>
    <w:rsid w:val="00374485"/>
    <w:rsid w:val="00374A2D"/>
    <w:rsid w:val="0037626D"/>
    <w:rsid w:val="00376D80"/>
    <w:rsid w:val="0037784F"/>
    <w:rsid w:val="003820AA"/>
    <w:rsid w:val="003822A9"/>
    <w:rsid w:val="003828A3"/>
    <w:rsid w:val="003839A2"/>
    <w:rsid w:val="00385258"/>
    <w:rsid w:val="003872A4"/>
    <w:rsid w:val="0039019C"/>
    <w:rsid w:val="00390ACC"/>
    <w:rsid w:val="00393182"/>
    <w:rsid w:val="0039362B"/>
    <w:rsid w:val="003939BB"/>
    <w:rsid w:val="00393E5A"/>
    <w:rsid w:val="00393F45"/>
    <w:rsid w:val="003957E4"/>
    <w:rsid w:val="00395E6D"/>
    <w:rsid w:val="00397474"/>
    <w:rsid w:val="003A059C"/>
    <w:rsid w:val="003A0E4C"/>
    <w:rsid w:val="003A218D"/>
    <w:rsid w:val="003A26F5"/>
    <w:rsid w:val="003A2F17"/>
    <w:rsid w:val="003A4585"/>
    <w:rsid w:val="003A4B3D"/>
    <w:rsid w:val="003A570E"/>
    <w:rsid w:val="003A5A47"/>
    <w:rsid w:val="003A676F"/>
    <w:rsid w:val="003A6E52"/>
    <w:rsid w:val="003A7C4D"/>
    <w:rsid w:val="003B0AF1"/>
    <w:rsid w:val="003B0B09"/>
    <w:rsid w:val="003B0EB4"/>
    <w:rsid w:val="003B1740"/>
    <w:rsid w:val="003B1822"/>
    <w:rsid w:val="003B1CB0"/>
    <w:rsid w:val="003B1E13"/>
    <w:rsid w:val="003B20C3"/>
    <w:rsid w:val="003B3415"/>
    <w:rsid w:val="003B6D7A"/>
    <w:rsid w:val="003B7D12"/>
    <w:rsid w:val="003C0509"/>
    <w:rsid w:val="003C07FE"/>
    <w:rsid w:val="003C12CB"/>
    <w:rsid w:val="003C203D"/>
    <w:rsid w:val="003C2B35"/>
    <w:rsid w:val="003C3FC7"/>
    <w:rsid w:val="003C4548"/>
    <w:rsid w:val="003C474A"/>
    <w:rsid w:val="003C5052"/>
    <w:rsid w:val="003C536D"/>
    <w:rsid w:val="003C6F12"/>
    <w:rsid w:val="003C750A"/>
    <w:rsid w:val="003C7FDE"/>
    <w:rsid w:val="003D27EF"/>
    <w:rsid w:val="003D2882"/>
    <w:rsid w:val="003D2EE1"/>
    <w:rsid w:val="003D2FE0"/>
    <w:rsid w:val="003D3DB8"/>
    <w:rsid w:val="003D4308"/>
    <w:rsid w:val="003D5297"/>
    <w:rsid w:val="003D5DB1"/>
    <w:rsid w:val="003D63F6"/>
    <w:rsid w:val="003D6D4F"/>
    <w:rsid w:val="003D785E"/>
    <w:rsid w:val="003D7BDB"/>
    <w:rsid w:val="003D7CB7"/>
    <w:rsid w:val="003E1278"/>
    <w:rsid w:val="003E1FA5"/>
    <w:rsid w:val="003E27E5"/>
    <w:rsid w:val="003E2924"/>
    <w:rsid w:val="003E3AAF"/>
    <w:rsid w:val="003E4017"/>
    <w:rsid w:val="003E43AC"/>
    <w:rsid w:val="003E5991"/>
    <w:rsid w:val="003E5CB3"/>
    <w:rsid w:val="003E7257"/>
    <w:rsid w:val="003E73BE"/>
    <w:rsid w:val="003E7435"/>
    <w:rsid w:val="003E74F6"/>
    <w:rsid w:val="003F03AC"/>
    <w:rsid w:val="003F07A0"/>
    <w:rsid w:val="003F0A7D"/>
    <w:rsid w:val="003F12F7"/>
    <w:rsid w:val="003F1EBA"/>
    <w:rsid w:val="003F225B"/>
    <w:rsid w:val="003F2985"/>
    <w:rsid w:val="003F34CF"/>
    <w:rsid w:val="003F40CB"/>
    <w:rsid w:val="003F488E"/>
    <w:rsid w:val="003F4FDE"/>
    <w:rsid w:val="003F52A6"/>
    <w:rsid w:val="003F78BD"/>
    <w:rsid w:val="00400C16"/>
    <w:rsid w:val="00401F5D"/>
    <w:rsid w:val="0040498B"/>
    <w:rsid w:val="004051ED"/>
    <w:rsid w:val="00405258"/>
    <w:rsid w:val="00405CF9"/>
    <w:rsid w:val="004067FA"/>
    <w:rsid w:val="00407399"/>
    <w:rsid w:val="004109C6"/>
    <w:rsid w:val="00412639"/>
    <w:rsid w:val="0041323D"/>
    <w:rsid w:val="00413D7F"/>
    <w:rsid w:val="00414FD4"/>
    <w:rsid w:val="00415129"/>
    <w:rsid w:val="00415177"/>
    <w:rsid w:val="004164BF"/>
    <w:rsid w:val="00416A28"/>
    <w:rsid w:val="004171A7"/>
    <w:rsid w:val="00420B0D"/>
    <w:rsid w:val="00420C34"/>
    <w:rsid w:val="004218FD"/>
    <w:rsid w:val="00422A84"/>
    <w:rsid w:val="00422C3E"/>
    <w:rsid w:val="00423146"/>
    <w:rsid w:val="00424706"/>
    <w:rsid w:val="00424B6C"/>
    <w:rsid w:val="0042646F"/>
    <w:rsid w:val="004267E4"/>
    <w:rsid w:val="00426BEC"/>
    <w:rsid w:val="004278BD"/>
    <w:rsid w:val="00427DBE"/>
    <w:rsid w:val="00430087"/>
    <w:rsid w:val="00430351"/>
    <w:rsid w:val="004303A5"/>
    <w:rsid w:val="004304E2"/>
    <w:rsid w:val="004305CE"/>
    <w:rsid w:val="00430620"/>
    <w:rsid w:val="00431007"/>
    <w:rsid w:val="00431826"/>
    <w:rsid w:val="00431868"/>
    <w:rsid w:val="00431DF5"/>
    <w:rsid w:val="0043233B"/>
    <w:rsid w:val="004323D5"/>
    <w:rsid w:val="004328F4"/>
    <w:rsid w:val="00432A40"/>
    <w:rsid w:val="004335FA"/>
    <w:rsid w:val="00434C64"/>
    <w:rsid w:val="0043674F"/>
    <w:rsid w:val="00437E9E"/>
    <w:rsid w:val="0044137A"/>
    <w:rsid w:val="0044156F"/>
    <w:rsid w:val="00441FA1"/>
    <w:rsid w:val="00442C85"/>
    <w:rsid w:val="00444265"/>
    <w:rsid w:val="00444D0A"/>
    <w:rsid w:val="004452A3"/>
    <w:rsid w:val="00446370"/>
    <w:rsid w:val="004464A3"/>
    <w:rsid w:val="00446E58"/>
    <w:rsid w:val="00447526"/>
    <w:rsid w:val="0045082F"/>
    <w:rsid w:val="0045164C"/>
    <w:rsid w:val="004517CA"/>
    <w:rsid w:val="004517DE"/>
    <w:rsid w:val="004522DB"/>
    <w:rsid w:val="00452341"/>
    <w:rsid w:val="00453C15"/>
    <w:rsid w:val="00454F90"/>
    <w:rsid w:val="004560E0"/>
    <w:rsid w:val="004564A3"/>
    <w:rsid w:val="00456BBE"/>
    <w:rsid w:val="00456D10"/>
    <w:rsid w:val="00457326"/>
    <w:rsid w:val="004575EA"/>
    <w:rsid w:val="00457B73"/>
    <w:rsid w:val="0046236B"/>
    <w:rsid w:val="004634D0"/>
    <w:rsid w:val="004646E3"/>
    <w:rsid w:val="00466077"/>
    <w:rsid w:val="00467590"/>
    <w:rsid w:val="00467F2A"/>
    <w:rsid w:val="004714D9"/>
    <w:rsid w:val="00471666"/>
    <w:rsid w:val="004732A4"/>
    <w:rsid w:val="00473EB7"/>
    <w:rsid w:val="00474A40"/>
    <w:rsid w:val="004750BE"/>
    <w:rsid w:val="00476CD7"/>
    <w:rsid w:val="004777A8"/>
    <w:rsid w:val="004778AA"/>
    <w:rsid w:val="00481181"/>
    <w:rsid w:val="00481A34"/>
    <w:rsid w:val="00482316"/>
    <w:rsid w:val="00482FF6"/>
    <w:rsid w:val="004866C6"/>
    <w:rsid w:val="00487C4F"/>
    <w:rsid w:val="00491B46"/>
    <w:rsid w:val="00492C02"/>
    <w:rsid w:val="00492E1C"/>
    <w:rsid w:val="0049374F"/>
    <w:rsid w:val="00493EA1"/>
    <w:rsid w:val="0049466B"/>
    <w:rsid w:val="00496A33"/>
    <w:rsid w:val="0049707C"/>
    <w:rsid w:val="004973E2"/>
    <w:rsid w:val="00497C03"/>
    <w:rsid w:val="004A00C1"/>
    <w:rsid w:val="004A09C9"/>
    <w:rsid w:val="004A0B8C"/>
    <w:rsid w:val="004A0E60"/>
    <w:rsid w:val="004A12D9"/>
    <w:rsid w:val="004A1611"/>
    <w:rsid w:val="004A1F32"/>
    <w:rsid w:val="004A23A7"/>
    <w:rsid w:val="004A26E9"/>
    <w:rsid w:val="004A2A88"/>
    <w:rsid w:val="004A2B2D"/>
    <w:rsid w:val="004A326F"/>
    <w:rsid w:val="004A3957"/>
    <w:rsid w:val="004A70F6"/>
    <w:rsid w:val="004A7444"/>
    <w:rsid w:val="004A7A55"/>
    <w:rsid w:val="004B179B"/>
    <w:rsid w:val="004B2018"/>
    <w:rsid w:val="004B25A7"/>
    <w:rsid w:val="004B2AC3"/>
    <w:rsid w:val="004B2BEA"/>
    <w:rsid w:val="004B3D05"/>
    <w:rsid w:val="004B3FB8"/>
    <w:rsid w:val="004B404A"/>
    <w:rsid w:val="004B47D3"/>
    <w:rsid w:val="004B4DFE"/>
    <w:rsid w:val="004B4E24"/>
    <w:rsid w:val="004B5E81"/>
    <w:rsid w:val="004B618C"/>
    <w:rsid w:val="004B77B4"/>
    <w:rsid w:val="004C146F"/>
    <w:rsid w:val="004C174B"/>
    <w:rsid w:val="004C1A2D"/>
    <w:rsid w:val="004C2329"/>
    <w:rsid w:val="004C32B7"/>
    <w:rsid w:val="004C4960"/>
    <w:rsid w:val="004C49B6"/>
    <w:rsid w:val="004C5654"/>
    <w:rsid w:val="004C6E9E"/>
    <w:rsid w:val="004D0EC0"/>
    <w:rsid w:val="004D1041"/>
    <w:rsid w:val="004D3FBE"/>
    <w:rsid w:val="004D469F"/>
    <w:rsid w:val="004D4801"/>
    <w:rsid w:val="004D661F"/>
    <w:rsid w:val="004D6A82"/>
    <w:rsid w:val="004D74FB"/>
    <w:rsid w:val="004D7F11"/>
    <w:rsid w:val="004E052D"/>
    <w:rsid w:val="004E11A7"/>
    <w:rsid w:val="004E15BF"/>
    <w:rsid w:val="004E1635"/>
    <w:rsid w:val="004E1C16"/>
    <w:rsid w:val="004E31D2"/>
    <w:rsid w:val="004E3CDD"/>
    <w:rsid w:val="004E4C9D"/>
    <w:rsid w:val="004E5518"/>
    <w:rsid w:val="004F0345"/>
    <w:rsid w:val="004F1831"/>
    <w:rsid w:val="004F1A29"/>
    <w:rsid w:val="004F227C"/>
    <w:rsid w:val="004F2C6F"/>
    <w:rsid w:val="004F2E2F"/>
    <w:rsid w:val="004F4568"/>
    <w:rsid w:val="004F4F92"/>
    <w:rsid w:val="004F661D"/>
    <w:rsid w:val="004F713B"/>
    <w:rsid w:val="004F724F"/>
    <w:rsid w:val="005000EA"/>
    <w:rsid w:val="00500553"/>
    <w:rsid w:val="00500D5C"/>
    <w:rsid w:val="00501920"/>
    <w:rsid w:val="0050202E"/>
    <w:rsid w:val="00502E1D"/>
    <w:rsid w:val="00504160"/>
    <w:rsid w:val="005050A8"/>
    <w:rsid w:val="00505A9D"/>
    <w:rsid w:val="005067A3"/>
    <w:rsid w:val="00506E29"/>
    <w:rsid w:val="005071A3"/>
    <w:rsid w:val="00507DA7"/>
    <w:rsid w:val="00507E6C"/>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35EFA"/>
    <w:rsid w:val="00540320"/>
    <w:rsid w:val="00541D94"/>
    <w:rsid w:val="0054363D"/>
    <w:rsid w:val="005448FA"/>
    <w:rsid w:val="00546156"/>
    <w:rsid w:val="005464C8"/>
    <w:rsid w:val="00546E8A"/>
    <w:rsid w:val="00547224"/>
    <w:rsid w:val="0054773F"/>
    <w:rsid w:val="00550248"/>
    <w:rsid w:val="0055095C"/>
    <w:rsid w:val="005521FC"/>
    <w:rsid w:val="00553A9F"/>
    <w:rsid w:val="00553ECA"/>
    <w:rsid w:val="00554D9A"/>
    <w:rsid w:val="0055566A"/>
    <w:rsid w:val="005576E9"/>
    <w:rsid w:val="00557A75"/>
    <w:rsid w:val="00560061"/>
    <w:rsid w:val="005601EB"/>
    <w:rsid w:val="00560806"/>
    <w:rsid w:val="00561937"/>
    <w:rsid w:val="00561E32"/>
    <w:rsid w:val="00564553"/>
    <w:rsid w:val="0056566B"/>
    <w:rsid w:val="00565DFF"/>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5F70"/>
    <w:rsid w:val="0057703B"/>
    <w:rsid w:val="00577809"/>
    <w:rsid w:val="0057783E"/>
    <w:rsid w:val="005778A7"/>
    <w:rsid w:val="00577DC2"/>
    <w:rsid w:val="00580E2A"/>
    <w:rsid w:val="00581091"/>
    <w:rsid w:val="00581AE3"/>
    <w:rsid w:val="00582120"/>
    <w:rsid w:val="005825FE"/>
    <w:rsid w:val="00582B38"/>
    <w:rsid w:val="0058309E"/>
    <w:rsid w:val="005838A0"/>
    <w:rsid w:val="005844C2"/>
    <w:rsid w:val="00584525"/>
    <w:rsid w:val="00584872"/>
    <w:rsid w:val="00584893"/>
    <w:rsid w:val="00586591"/>
    <w:rsid w:val="0058788F"/>
    <w:rsid w:val="00590CBD"/>
    <w:rsid w:val="00590FCA"/>
    <w:rsid w:val="0059118B"/>
    <w:rsid w:val="00592832"/>
    <w:rsid w:val="00592AC3"/>
    <w:rsid w:val="0059431B"/>
    <w:rsid w:val="0059431E"/>
    <w:rsid w:val="00594FCD"/>
    <w:rsid w:val="00595329"/>
    <w:rsid w:val="00595665"/>
    <w:rsid w:val="005956C4"/>
    <w:rsid w:val="00595A51"/>
    <w:rsid w:val="00595C2E"/>
    <w:rsid w:val="00595CE8"/>
    <w:rsid w:val="005960E7"/>
    <w:rsid w:val="005A0834"/>
    <w:rsid w:val="005A0BBE"/>
    <w:rsid w:val="005A1051"/>
    <w:rsid w:val="005A10EB"/>
    <w:rsid w:val="005A11BA"/>
    <w:rsid w:val="005A280D"/>
    <w:rsid w:val="005A2D42"/>
    <w:rsid w:val="005A322C"/>
    <w:rsid w:val="005A38AA"/>
    <w:rsid w:val="005A395A"/>
    <w:rsid w:val="005A3F49"/>
    <w:rsid w:val="005A416D"/>
    <w:rsid w:val="005A54BC"/>
    <w:rsid w:val="005A5E8E"/>
    <w:rsid w:val="005A67C9"/>
    <w:rsid w:val="005A6DAD"/>
    <w:rsid w:val="005B0215"/>
    <w:rsid w:val="005B070A"/>
    <w:rsid w:val="005B0A7D"/>
    <w:rsid w:val="005B0B53"/>
    <w:rsid w:val="005B2671"/>
    <w:rsid w:val="005B4E2D"/>
    <w:rsid w:val="005B542D"/>
    <w:rsid w:val="005B5D3A"/>
    <w:rsid w:val="005B63E4"/>
    <w:rsid w:val="005B65D1"/>
    <w:rsid w:val="005C0659"/>
    <w:rsid w:val="005C0ADB"/>
    <w:rsid w:val="005C0DF1"/>
    <w:rsid w:val="005C5BC2"/>
    <w:rsid w:val="005C6450"/>
    <w:rsid w:val="005D06B5"/>
    <w:rsid w:val="005D0B53"/>
    <w:rsid w:val="005D152A"/>
    <w:rsid w:val="005D209F"/>
    <w:rsid w:val="005D2199"/>
    <w:rsid w:val="005D29BE"/>
    <w:rsid w:val="005D41E6"/>
    <w:rsid w:val="005D5C5D"/>
    <w:rsid w:val="005D606E"/>
    <w:rsid w:val="005D6AA6"/>
    <w:rsid w:val="005D7E34"/>
    <w:rsid w:val="005E1227"/>
    <w:rsid w:val="005E2853"/>
    <w:rsid w:val="005E2B2D"/>
    <w:rsid w:val="005E2DC5"/>
    <w:rsid w:val="005E38E9"/>
    <w:rsid w:val="005E5883"/>
    <w:rsid w:val="005E6411"/>
    <w:rsid w:val="005E73ED"/>
    <w:rsid w:val="005E7472"/>
    <w:rsid w:val="005E7F43"/>
    <w:rsid w:val="005F086B"/>
    <w:rsid w:val="005F17AA"/>
    <w:rsid w:val="005F2A46"/>
    <w:rsid w:val="005F2FFE"/>
    <w:rsid w:val="005F3892"/>
    <w:rsid w:val="005F3A21"/>
    <w:rsid w:val="005F41AD"/>
    <w:rsid w:val="005F41F6"/>
    <w:rsid w:val="005F541E"/>
    <w:rsid w:val="005F564C"/>
    <w:rsid w:val="005F5AC5"/>
    <w:rsid w:val="005F5AFB"/>
    <w:rsid w:val="005F62B3"/>
    <w:rsid w:val="005F7A76"/>
    <w:rsid w:val="00600889"/>
    <w:rsid w:val="00601B0E"/>
    <w:rsid w:val="00601D9D"/>
    <w:rsid w:val="006027A8"/>
    <w:rsid w:val="00602808"/>
    <w:rsid w:val="006038DA"/>
    <w:rsid w:val="006044F2"/>
    <w:rsid w:val="00605AE8"/>
    <w:rsid w:val="00606E25"/>
    <w:rsid w:val="006079B2"/>
    <w:rsid w:val="006105AD"/>
    <w:rsid w:val="006120F7"/>
    <w:rsid w:val="0061221A"/>
    <w:rsid w:val="00612C58"/>
    <w:rsid w:val="0061312E"/>
    <w:rsid w:val="006134F9"/>
    <w:rsid w:val="00613E0E"/>
    <w:rsid w:val="0061439A"/>
    <w:rsid w:val="00614F56"/>
    <w:rsid w:val="00615486"/>
    <w:rsid w:val="0061559D"/>
    <w:rsid w:val="00615C89"/>
    <w:rsid w:val="00616229"/>
    <w:rsid w:val="00616AF7"/>
    <w:rsid w:val="00616C8F"/>
    <w:rsid w:val="00617B28"/>
    <w:rsid w:val="00617F86"/>
    <w:rsid w:val="006204F0"/>
    <w:rsid w:val="0062115A"/>
    <w:rsid w:val="0062193E"/>
    <w:rsid w:val="006220D8"/>
    <w:rsid w:val="00623935"/>
    <w:rsid w:val="00623B25"/>
    <w:rsid w:val="00624B89"/>
    <w:rsid w:val="00624F9A"/>
    <w:rsid w:val="00625223"/>
    <w:rsid w:val="00626ED2"/>
    <w:rsid w:val="00631AC4"/>
    <w:rsid w:val="00632198"/>
    <w:rsid w:val="00632E9E"/>
    <w:rsid w:val="006341D3"/>
    <w:rsid w:val="00634B59"/>
    <w:rsid w:val="00634FCF"/>
    <w:rsid w:val="00635C28"/>
    <w:rsid w:val="00635E11"/>
    <w:rsid w:val="00637128"/>
    <w:rsid w:val="006374F8"/>
    <w:rsid w:val="006379B5"/>
    <w:rsid w:val="00641FF8"/>
    <w:rsid w:val="0064372F"/>
    <w:rsid w:val="00643EF1"/>
    <w:rsid w:val="00644673"/>
    <w:rsid w:val="00644DF1"/>
    <w:rsid w:val="00647621"/>
    <w:rsid w:val="00647CFC"/>
    <w:rsid w:val="00647F06"/>
    <w:rsid w:val="00650035"/>
    <w:rsid w:val="00651654"/>
    <w:rsid w:val="00651DF0"/>
    <w:rsid w:val="00651E5A"/>
    <w:rsid w:val="00653ED4"/>
    <w:rsid w:val="006541B2"/>
    <w:rsid w:val="00655572"/>
    <w:rsid w:val="006561CF"/>
    <w:rsid w:val="00656202"/>
    <w:rsid w:val="0065674A"/>
    <w:rsid w:val="0066153F"/>
    <w:rsid w:val="0066157E"/>
    <w:rsid w:val="00661747"/>
    <w:rsid w:val="00661A84"/>
    <w:rsid w:val="00662401"/>
    <w:rsid w:val="00664308"/>
    <w:rsid w:val="006645CA"/>
    <w:rsid w:val="0066643D"/>
    <w:rsid w:val="00667D25"/>
    <w:rsid w:val="00667D78"/>
    <w:rsid w:val="00667D9E"/>
    <w:rsid w:val="006706C3"/>
    <w:rsid w:val="006707C0"/>
    <w:rsid w:val="00670C65"/>
    <w:rsid w:val="00670E7B"/>
    <w:rsid w:val="0067126E"/>
    <w:rsid w:val="0067164C"/>
    <w:rsid w:val="006722FE"/>
    <w:rsid w:val="006728AA"/>
    <w:rsid w:val="00672FC7"/>
    <w:rsid w:val="006730E0"/>
    <w:rsid w:val="006731FD"/>
    <w:rsid w:val="00673A04"/>
    <w:rsid w:val="006743E2"/>
    <w:rsid w:val="006753CB"/>
    <w:rsid w:val="00677D51"/>
    <w:rsid w:val="00680334"/>
    <w:rsid w:val="00681028"/>
    <w:rsid w:val="0068269B"/>
    <w:rsid w:val="00682B11"/>
    <w:rsid w:val="00682B2C"/>
    <w:rsid w:val="00686A49"/>
    <w:rsid w:val="00686D49"/>
    <w:rsid w:val="006920CE"/>
    <w:rsid w:val="006920EF"/>
    <w:rsid w:val="0069223A"/>
    <w:rsid w:val="00693DB9"/>
    <w:rsid w:val="006943AD"/>
    <w:rsid w:val="006943B5"/>
    <w:rsid w:val="006944CD"/>
    <w:rsid w:val="00695E98"/>
    <w:rsid w:val="00696A6C"/>
    <w:rsid w:val="00696B83"/>
    <w:rsid w:val="006970A5"/>
    <w:rsid w:val="006A0094"/>
    <w:rsid w:val="006A09C8"/>
    <w:rsid w:val="006A3323"/>
    <w:rsid w:val="006A347E"/>
    <w:rsid w:val="006A45CC"/>
    <w:rsid w:val="006A56C3"/>
    <w:rsid w:val="006A5E24"/>
    <w:rsid w:val="006A5F11"/>
    <w:rsid w:val="006A61A2"/>
    <w:rsid w:val="006A63B8"/>
    <w:rsid w:val="006A65F2"/>
    <w:rsid w:val="006A6FA6"/>
    <w:rsid w:val="006B0EDF"/>
    <w:rsid w:val="006B1110"/>
    <w:rsid w:val="006B1448"/>
    <w:rsid w:val="006B1803"/>
    <w:rsid w:val="006B1F93"/>
    <w:rsid w:val="006B2954"/>
    <w:rsid w:val="006B2C7B"/>
    <w:rsid w:val="006B33B7"/>
    <w:rsid w:val="006B3436"/>
    <w:rsid w:val="006B3779"/>
    <w:rsid w:val="006B4517"/>
    <w:rsid w:val="006B57F7"/>
    <w:rsid w:val="006B6989"/>
    <w:rsid w:val="006C05BE"/>
    <w:rsid w:val="006C0619"/>
    <w:rsid w:val="006C115D"/>
    <w:rsid w:val="006C1B32"/>
    <w:rsid w:val="006C2D87"/>
    <w:rsid w:val="006C3852"/>
    <w:rsid w:val="006C64A7"/>
    <w:rsid w:val="006C66C7"/>
    <w:rsid w:val="006D078A"/>
    <w:rsid w:val="006D1416"/>
    <w:rsid w:val="006D1F9B"/>
    <w:rsid w:val="006D3314"/>
    <w:rsid w:val="006D4262"/>
    <w:rsid w:val="006D435C"/>
    <w:rsid w:val="006D57DD"/>
    <w:rsid w:val="006D5AC5"/>
    <w:rsid w:val="006D5C17"/>
    <w:rsid w:val="006D6234"/>
    <w:rsid w:val="006D6B93"/>
    <w:rsid w:val="006D7BF9"/>
    <w:rsid w:val="006E0351"/>
    <w:rsid w:val="006E1ECF"/>
    <w:rsid w:val="006E2684"/>
    <w:rsid w:val="006E2E88"/>
    <w:rsid w:val="006E34E6"/>
    <w:rsid w:val="006E3B4E"/>
    <w:rsid w:val="006E4941"/>
    <w:rsid w:val="006E5B52"/>
    <w:rsid w:val="006E6250"/>
    <w:rsid w:val="006E65FD"/>
    <w:rsid w:val="006E724C"/>
    <w:rsid w:val="006E7FA8"/>
    <w:rsid w:val="006F12F6"/>
    <w:rsid w:val="006F1FE6"/>
    <w:rsid w:val="006F3397"/>
    <w:rsid w:val="006F35AB"/>
    <w:rsid w:val="006F5FD8"/>
    <w:rsid w:val="006F71BA"/>
    <w:rsid w:val="006F75D5"/>
    <w:rsid w:val="006F7A04"/>
    <w:rsid w:val="006F7A94"/>
    <w:rsid w:val="007001E2"/>
    <w:rsid w:val="0070180F"/>
    <w:rsid w:val="00702091"/>
    <w:rsid w:val="00702B60"/>
    <w:rsid w:val="007035DC"/>
    <w:rsid w:val="007041D2"/>
    <w:rsid w:val="00704E44"/>
    <w:rsid w:val="00704EB0"/>
    <w:rsid w:val="00705808"/>
    <w:rsid w:val="00705BA9"/>
    <w:rsid w:val="00706BDE"/>
    <w:rsid w:val="00710343"/>
    <w:rsid w:val="007104D4"/>
    <w:rsid w:val="007106F8"/>
    <w:rsid w:val="007113E8"/>
    <w:rsid w:val="0071186C"/>
    <w:rsid w:val="0071188B"/>
    <w:rsid w:val="0071208B"/>
    <w:rsid w:val="00712A74"/>
    <w:rsid w:val="00712BFD"/>
    <w:rsid w:val="00712FEE"/>
    <w:rsid w:val="007136C1"/>
    <w:rsid w:val="007141D6"/>
    <w:rsid w:val="007142CE"/>
    <w:rsid w:val="007146C8"/>
    <w:rsid w:val="00715B86"/>
    <w:rsid w:val="00716643"/>
    <w:rsid w:val="0071696B"/>
    <w:rsid w:val="00716B49"/>
    <w:rsid w:val="007170D4"/>
    <w:rsid w:val="00717CD7"/>
    <w:rsid w:val="007212CE"/>
    <w:rsid w:val="0072208C"/>
    <w:rsid w:val="00722667"/>
    <w:rsid w:val="00722A4E"/>
    <w:rsid w:val="00723340"/>
    <w:rsid w:val="0072388D"/>
    <w:rsid w:val="007239B8"/>
    <w:rsid w:val="00723C4A"/>
    <w:rsid w:val="00723CF2"/>
    <w:rsid w:val="00723F5A"/>
    <w:rsid w:val="0072402D"/>
    <w:rsid w:val="007249B5"/>
    <w:rsid w:val="00724AAA"/>
    <w:rsid w:val="00724E2E"/>
    <w:rsid w:val="0072557F"/>
    <w:rsid w:val="007258D8"/>
    <w:rsid w:val="00726306"/>
    <w:rsid w:val="00730FEE"/>
    <w:rsid w:val="007327B2"/>
    <w:rsid w:val="00735DCD"/>
    <w:rsid w:val="007362AA"/>
    <w:rsid w:val="0073646A"/>
    <w:rsid w:val="0073717D"/>
    <w:rsid w:val="00737F2F"/>
    <w:rsid w:val="00740310"/>
    <w:rsid w:val="00740A1C"/>
    <w:rsid w:val="00741993"/>
    <w:rsid w:val="007425E5"/>
    <w:rsid w:val="00742EC7"/>
    <w:rsid w:val="007435C8"/>
    <w:rsid w:val="00744A0E"/>
    <w:rsid w:val="00744C4B"/>
    <w:rsid w:val="007452EB"/>
    <w:rsid w:val="007459E7"/>
    <w:rsid w:val="007464CF"/>
    <w:rsid w:val="00746A37"/>
    <w:rsid w:val="007477FF"/>
    <w:rsid w:val="007500A3"/>
    <w:rsid w:val="00750377"/>
    <w:rsid w:val="007513C4"/>
    <w:rsid w:val="00751CE6"/>
    <w:rsid w:val="00751CF6"/>
    <w:rsid w:val="00751EF5"/>
    <w:rsid w:val="007520A3"/>
    <w:rsid w:val="007521D6"/>
    <w:rsid w:val="00752D8A"/>
    <w:rsid w:val="007530B3"/>
    <w:rsid w:val="00753553"/>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764"/>
    <w:rsid w:val="00773FE3"/>
    <w:rsid w:val="00774F10"/>
    <w:rsid w:val="0077526A"/>
    <w:rsid w:val="00777453"/>
    <w:rsid w:val="00781004"/>
    <w:rsid w:val="007818F5"/>
    <w:rsid w:val="00782163"/>
    <w:rsid w:val="007823B8"/>
    <w:rsid w:val="007830A4"/>
    <w:rsid w:val="00784705"/>
    <w:rsid w:val="00784AFC"/>
    <w:rsid w:val="00785218"/>
    <w:rsid w:val="007856E2"/>
    <w:rsid w:val="0078656D"/>
    <w:rsid w:val="00786BC1"/>
    <w:rsid w:val="007871B6"/>
    <w:rsid w:val="00790026"/>
    <w:rsid w:val="0079010D"/>
    <w:rsid w:val="00790A15"/>
    <w:rsid w:val="00790BF6"/>
    <w:rsid w:val="007914E4"/>
    <w:rsid w:val="00793198"/>
    <w:rsid w:val="00794311"/>
    <w:rsid w:val="00794D03"/>
    <w:rsid w:val="00795970"/>
    <w:rsid w:val="007979D2"/>
    <w:rsid w:val="00797B81"/>
    <w:rsid w:val="007A0497"/>
    <w:rsid w:val="007A0F65"/>
    <w:rsid w:val="007A1B4F"/>
    <w:rsid w:val="007A3DE5"/>
    <w:rsid w:val="007A3FA5"/>
    <w:rsid w:val="007A4E9C"/>
    <w:rsid w:val="007A605E"/>
    <w:rsid w:val="007A69BE"/>
    <w:rsid w:val="007A6DAC"/>
    <w:rsid w:val="007A7137"/>
    <w:rsid w:val="007A7C85"/>
    <w:rsid w:val="007B0695"/>
    <w:rsid w:val="007B0EC0"/>
    <w:rsid w:val="007B1113"/>
    <w:rsid w:val="007B510D"/>
    <w:rsid w:val="007B5339"/>
    <w:rsid w:val="007B6638"/>
    <w:rsid w:val="007C00BB"/>
    <w:rsid w:val="007C15DC"/>
    <w:rsid w:val="007C2068"/>
    <w:rsid w:val="007C2340"/>
    <w:rsid w:val="007C2F57"/>
    <w:rsid w:val="007C3AF7"/>
    <w:rsid w:val="007C5765"/>
    <w:rsid w:val="007C589B"/>
    <w:rsid w:val="007C65CC"/>
    <w:rsid w:val="007C671C"/>
    <w:rsid w:val="007C6A4C"/>
    <w:rsid w:val="007C72E4"/>
    <w:rsid w:val="007D00CD"/>
    <w:rsid w:val="007D0D5D"/>
    <w:rsid w:val="007D1F73"/>
    <w:rsid w:val="007D1FA6"/>
    <w:rsid w:val="007D2A10"/>
    <w:rsid w:val="007D34A2"/>
    <w:rsid w:val="007D37FA"/>
    <w:rsid w:val="007D4935"/>
    <w:rsid w:val="007D704D"/>
    <w:rsid w:val="007D7724"/>
    <w:rsid w:val="007D7ADD"/>
    <w:rsid w:val="007E2699"/>
    <w:rsid w:val="007E2AA7"/>
    <w:rsid w:val="007E3809"/>
    <w:rsid w:val="007E3A56"/>
    <w:rsid w:val="007E3B1E"/>
    <w:rsid w:val="007E53FF"/>
    <w:rsid w:val="007E65F5"/>
    <w:rsid w:val="007E6D2E"/>
    <w:rsid w:val="007E726F"/>
    <w:rsid w:val="007E76E3"/>
    <w:rsid w:val="007F0B1F"/>
    <w:rsid w:val="007F0FEB"/>
    <w:rsid w:val="007F1A67"/>
    <w:rsid w:val="007F222E"/>
    <w:rsid w:val="007F37B1"/>
    <w:rsid w:val="007F3D3B"/>
    <w:rsid w:val="007F446F"/>
    <w:rsid w:val="007F5109"/>
    <w:rsid w:val="007F72AB"/>
    <w:rsid w:val="0080086C"/>
    <w:rsid w:val="00800BBB"/>
    <w:rsid w:val="00802649"/>
    <w:rsid w:val="00802819"/>
    <w:rsid w:val="00802D31"/>
    <w:rsid w:val="008032FE"/>
    <w:rsid w:val="008065F5"/>
    <w:rsid w:val="00806C6B"/>
    <w:rsid w:val="00806E7C"/>
    <w:rsid w:val="0081089E"/>
    <w:rsid w:val="00811027"/>
    <w:rsid w:val="008115AE"/>
    <w:rsid w:val="00812188"/>
    <w:rsid w:val="00812A9D"/>
    <w:rsid w:val="0081366E"/>
    <w:rsid w:val="008137A7"/>
    <w:rsid w:val="0081385F"/>
    <w:rsid w:val="00813FEE"/>
    <w:rsid w:val="0081577E"/>
    <w:rsid w:val="00815C9C"/>
    <w:rsid w:val="008166CA"/>
    <w:rsid w:val="00816D67"/>
    <w:rsid w:val="00817C89"/>
    <w:rsid w:val="00820352"/>
    <w:rsid w:val="00821007"/>
    <w:rsid w:val="00822B98"/>
    <w:rsid w:val="00822D9E"/>
    <w:rsid w:val="008233FE"/>
    <w:rsid w:val="0082400A"/>
    <w:rsid w:val="00824439"/>
    <w:rsid w:val="00825240"/>
    <w:rsid w:val="00825471"/>
    <w:rsid w:val="00825CD5"/>
    <w:rsid w:val="00825F97"/>
    <w:rsid w:val="0082667E"/>
    <w:rsid w:val="00827023"/>
    <w:rsid w:val="008270B9"/>
    <w:rsid w:val="008272EF"/>
    <w:rsid w:val="00827CA1"/>
    <w:rsid w:val="00827E2D"/>
    <w:rsid w:val="00827F8F"/>
    <w:rsid w:val="00830908"/>
    <w:rsid w:val="008313A2"/>
    <w:rsid w:val="008321DC"/>
    <w:rsid w:val="008321EA"/>
    <w:rsid w:val="008324F8"/>
    <w:rsid w:val="008327BA"/>
    <w:rsid w:val="00834091"/>
    <w:rsid w:val="008346AC"/>
    <w:rsid w:val="00835411"/>
    <w:rsid w:val="00840430"/>
    <w:rsid w:val="008406E3"/>
    <w:rsid w:val="00841B89"/>
    <w:rsid w:val="00842A1B"/>
    <w:rsid w:val="0084347F"/>
    <w:rsid w:val="0084529B"/>
    <w:rsid w:val="00845B72"/>
    <w:rsid w:val="00845DBC"/>
    <w:rsid w:val="008503C5"/>
    <w:rsid w:val="00852658"/>
    <w:rsid w:val="008527DA"/>
    <w:rsid w:val="00853379"/>
    <w:rsid w:val="008539A4"/>
    <w:rsid w:val="0085633E"/>
    <w:rsid w:val="00857DBE"/>
    <w:rsid w:val="008605E6"/>
    <w:rsid w:val="00860B48"/>
    <w:rsid w:val="00860E37"/>
    <w:rsid w:val="00861383"/>
    <w:rsid w:val="00861CD1"/>
    <w:rsid w:val="00862904"/>
    <w:rsid w:val="00862A02"/>
    <w:rsid w:val="00862FA7"/>
    <w:rsid w:val="00863711"/>
    <w:rsid w:val="00863C5B"/>
    <w:rsid w:val="0086550A"/>
    <w:rsid w:val="00865AE8"/>
    <w:rsid w:val="008664D6"/>
    <w:rsid w:val="00866599"/>
    <w:rsid w:val="00871AF4"/>
    <w:rsid w:val="00872D35"/>
    <w:rsid w:val="00874222"/>
    <w:rsid w:val="008748FE"/>
    <w:rsid w:val="00874A91"/>
    <w:rsid w:val="00874EA2"/>
    <w:rsid w:val="00875483"/>
    <w:rsid w:val="008767CA"/>
    <w:rsid w:val="00876C36"/>
    <w:rsid w:val="00880187"/>
    <w:rsid w:val="00881130"/>
    <w:rsid w:val="008818E7"/>
    <w:rsid w:val="00881BCA"/>
    <w:rsid w:val="008826CD"/>
    <w:rsid w:val="00883528"/>
    <w:rsid w:val="00883A47"/>
    <w:rsid w:val="00883E6A"/>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6EDE"/>
    <w:rsid w:val="008A1036"/>
    <w:rsid w:val="008A2264"/>
    <w:rsid w:val="008A22DE"/>
    <w:rsid w:val="008A2D29"/>
    <w:rsid w:val="008A3F46"/>
    <w:rsid w:val="008A4CBB"/>
    <w:rsid w:val="008A5992"/>
    <w:rsid w:val="008A6F44"/>
    <w:rsid w:val="008B066B"/>
    <w:rsid w:val="008B3268"/>
    <w:rsid w:val="008B3808"/>
    <w:rsid w:val="008B477B"/>
    <w:rsid w:val="008B4E75"/>
    <w:rsid w:val="008B5695"/>
    <w:rsid w:val="008B5A1D"/>
    <w:rsid w:val="008B5BBB"/>
    <w:rsid w:val="008B7CC3"/>
    <w:rsid w:val="008C006F"/>
    <w:rsid w:val="008C097A"/>
    <w:rsid w:val="008C0A90"/>
    <w:rsid w:val="008C1593"/>
    <w:rsid w:val="008C2A0E"/>
    <w:rsid w:val="008C2FCD"/>
    <w:rsid w:val="008C3F34"/>
    <w:rsid w:val="008C44B6"/>
    <w:rsid w:val="008C498A"/>
    <w:rsid w:val="008C4F0B"/>
    <w:rsid w:val="008C59FC"/>
    <w:rsid w:val="008C605E"/>
    <w:rsid w:val="008C6561"/>
    <w:rsid w:val="008D0705"/>
    <w:rsid w:val="008D0CD5"/>
    <w:rsid w:val="008D1523"/>
    <w:rsid w:val="008D46E2"/>
    <w:rsid w:val="008D60A8"/>
    <w:rsid w:val="008D7848"/>
    <w:rsid w:val="008D7E24"/>
    <w:rsid w:val="008E0783"/>
    <w:rsid w:val="008E0D60"/>
    <w:rsid w:val="008E112C"/>
    <w:rsid w:val="008E1448"/>
    <w:rsid w:val="008E1B35"/>
    <w:rsid w:val="008E1EE5"/>
    <w:rsid w:val="008E2104"/>
    <w:rsid w:val="008E233C"/>
    <w:rsid w:val="008E2998"/>
    <w:rsid w:val="008E3582"/>
    <w:rsid w:val="008E3869"/>
    <w:rsid w:val="008E3C17"/>
    <w:rsid w:val="008E3EB1"/>
    <w:rsid w:val="008E49E5"/>
    <w:rsid w:val="008E4D1E"/>
    <w:rsid w:val="008E615D"/>
    <w:rsid w:val="008E6385"/>
    <w:rsid w:val="008E66FA"/>
    <w:rsid w:val="008E6B8C"/>
    <w:rsid w:val="008F1988"/>
    <w:rsid w:val="008F1A47"/>
    <w:rsid w:val="008F1C15"/>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2D7C"/>
    <w:rsid w:val="009032F5"/>
    <w:rsid w:val="00904866"/>
    <w:rsid w:val="00904E32"/>
    <w:rsid w:val="00905692"/>
    <w:rsid w:val="00906459"/>
    <w:rsid w:val="0091051A"/>
    <w:rsid w:val="0091051F"/>
    <w:rsid w:val="00911A1A"/>
    <w:rsid w:val="00911CC0"/>
    <w:rsid w:val="00913957"/>
    <w:rsid w:val="00915BB4"/>
    <w:rsid w:val="009161EE"/>
    <w:rsid w:val="009206DC"/>
    <w:rsid w:val="009227A6"/>
    <w:rsid w:val="009227D8"/>
    <w:rsid w:val="009228C1"/>
    <w:rsid w:val="0092339E"/>
    <w:rsid w:val="009234D6"/>
    <w:rsid w:val="00923846"/>
    <w:rsid w:val="00925721"/>
    <w:rsid w:val="00926D3B"/>
    <w:rsid w:val="00926DDE"/>
    <w:rsid w:val="009272C9"/>
    <w:rsid w:val="00927578"/>
    <w:rsid w:val="00933213"/>
    <w:rsid w:val="00933750"/>
    <w:rsid w:val="009340A4"/>
    <w:rsid w:val="00934248"/>
    <w:rsid w:val="00934902"/>
    <w:rsid w:val="009367D1"/>
    <w:rsid w:val="00937DDB"/>
    <w:rsid w:val="00937F0F"/>
    <w:rsid w:val="0094032C"/>
    <w:rsid w:val="0094050F"/>
    <w:rsid w:val="009408C7"/>
    <w:rsid w:val="009415F0"/>
    <w:rsid w:val="00943529"/>
    <w:rsid w:val="00943E8D"/>
    <w:rsid w:val="00943F49"/>
    <w:rsid w:val="0094424B"/>
    <w:rsid w:val="00945BE9"/>
    <w:rsid w:val="00945BFF"/>
    <w:rsid w:val="00945D33"/>
    <w:rsid w:val="00946B1C"/>
    <w:rsid w:val="0094760F"/>
    <w:rsid w:val="00950F6D"/>
    <w:rsid w:val="009513B7"/>
    <w:rsid w:val="00951F47"/>
    <w:rsid w:val="009525E8"/>
    <w:rsid w:val="0095313C"/>
    <w:rsid w:val="0095323A"/>
    <w:rsid w:val="00953521"/>
    <w:rsid w:val="00954E50"/>
    <w:rsid w:val="009566E9"/>
    <w:rsid w:val="00960ADC"/>
    <w:rsid w:val="00960EE7"/>
    <w:rsid w:val="00964698"/>
    <w:rsid w:val="00964794"/>
    <w:rsid w:val="009648C4"/>
    <w:rsid w:val="00965194"/>
    <w:rsid w:val="00965CD2"/>
    <w:rsid w:val="00967B33"/>
    <w:rsid w:val="009706E0"/>
    <w:rsid w:val="0097092A"/>
    <w:rsid w:val="009719BD"/>
    <w:rsid w:val="00971A09"/>
    <w:rsid w:val="00973202"/>
    <w:rsid w:val="0097463A"/>
    <w:rsid w:val="0097503B"/>
    <w:rsid w:val="009750A6"/>
    <w:rsid w:val="00975A7D"/>
    <w:rsid w:val="009765AA"/>
    <w:rsid w:val="00976C8E"/>
    <w:rsid w:val="00977369"/>
    <w:rsid w:val="009777D5"/>
    <w:rsid w:val="00977BBB"/>
    <w:rsid w:val="00980DD8"/>
    <w:rsid w:val="009814C0"/>
    <w:rsid w:val="00981F7C"/>
    <w:rsid w:val="00982AE1"/>
    <w:rsid w:val="00982D97"/>
    <w:rsid w:val="00983201"/>
    <w:rsid w:val="009841C6"/>
    <w:rsid w:val="0098545D"/>
    <w:rsid w:val="009866A9"/>
    <w:rsid w:val="00990684"/>
    <w:rsid w:val="00990812"/>
    <w:rsid w:val="00992470"/>
    <w:rsid w:val="0099262F"/>
    <w:rsid w:val="00992847"/>
    <w:rsid w:val="00992B47"/>
    <w:rsid w:val="00993090"/>
    <w:rsid w:val="00994596"/>
    <w:rsid w:val="0099576E"/>
    <w:rsid w:val="009957CB"/>
    <w:rsid w:val="00996592"/>
    <w:rsid w:val="009966D3"/>
    <w:rsid w:val="00996860"/>
    <w:rsid w:val="009975C0"/>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0D9D"/>
    <w:rsid w:val="009B112E"/>
    <w:rsid w:val="009B1880"/>
    <w:rsid w:val="009B22C6"/>
    <w:rsid w:val="009B36F8"/>
    <w:rsid w:val="009B3937"/>
    <w:rsid w:val="009B43A7"/>
    <w:rsid w:val="009B5CB2"/>
    <w:rsid w:val="009B6F44"/>
    <w:rsid w:val="009C0483"/>
    <w:rsid w:val="009C0D2B"/>
    <w:rsid w:val="009C1FC2"/>
    <w:rsid w:val="009C4E46"/>
    <w:rsid w:val="009C6308"/>
    <w:rsid w:val="009C71D8"/>
    <w:rsid w:val="009C7C58"/>
    <w:rsid w:val="009D0032"/>
    <w:rsid w:val="009D036F"/>
    <w:rsid w:val="009D043A"/>
    <w:rsid w:val="009D0C8C"/>
    <w:rsid w:val="009D3B69"/>
    <w:rsid w:val="009D4AE1"/>
    <w:rsid w:val="009D4F05"/>
    <w:rsid w:val="009D52DE"/>
    <w:rsid w:val="009D5C76"/>
    <w:rsid w:val="009D6B2C"/>
    <w:rsid w:val="009E11FD"/>
    <w:rsid w:val="009E13B9"/>
    <w:rsid w:val="009E2654"/>
    <w:rsid w:val="009E2761"/>
    <w:rsid w:val="009E346E"/>
    <w:rsid w:val="009E3D17"/>
    <w:rsid w:val="009E480C"/>
    <w:rsid w:val="009E689E"/>
    <w:rsid w:val="009E750C"/>
    <w:rsid w:val="009F1D66"/>
    <w:rsid w:val="009F214E"/>
    <w:rsid w:val="009F5425"/>
    <w:rsid w:val="009F558B"/>
    <w:rsid w:val="009F5DE9"/>
    <w:rsid w:val="009F631C"/>
    <w:rsid w:val="009F7624"/>
    <w:rsid w:val="009F7DB3"/>
    <w:rsid w:val="00A00DD9"/>
    <w:rsid w:val="00A01CE7"/>
    <w:rsid w:val="00A02B19"/>
    <w:rsid w:val="00A039AC"/>
    <w:rsid w:val="00A03C6F"/>
    <w:rsid w:val="00A03E95"/>
    <w:rsid w:val="00A04E8E"/>
    <w:rsid w:val="00A04F69"/>
    <w:rsid w:val="00A0526C"/>
    <w:rsid w:val="00A0544A"/>
    <w:rsid w:val="00A05CD0"/>
    <w:rsid w:val="00A068F9"/>
    <w:rsid w:val="00A06B86"/>
    <w:rsid w:val="00A07396"/>
    <w:rsid w:val="00A07926"/>
    <w:rsid w:val="00A07E02"/>
    <w:rsid w:val="00A10AAD"/>
    <w:rsid w:val="00A12105"/>
    <w:rsid w:val="00A12FDA"/>
    <w:rsid w:val="00A14894"/>
    <w:rsid w:val="00A14A90"/>
    <w:rsid w:val="00A15668"/>
    <w:rsid w:val="00A15FAC"/>
    <w:rsid w:val="00A16A2C"/>
    <w:rsid w:val="00A2097D"/>
    <w:rsid w:val="00A20D63"/>
    <w:rsid w:val="00A21084"/>
    <w:rsid w:val="00A21326"/>
    <w:rsid w:val="00A21608"/>
    <w:rsid w:val="00A21A7C"/>
    <w:rsid w:val="00A21D9D"/>
    <w:rsid w:val="00A23E60"/>
    <w:rsid w:val="00A2432D"/>
    <w:rsid w:val="00A24A3C"/>
    <w:rsid w:val="00A2561A"/>
    <w:rsid w:val="00A263F9"/>
    <w:rsid w:val="00A26D2D"/>
    <w:rsid w:val="00A30226"/>
    <w:rsid w:val="00A303B6"/>
    <w:rsid w:val="00A307D4"/>
    <w:rsid w:val="00A328CE"/>
    <w:rsid w:val="00A32905"/>
    <w:rsid w:val="00A3464D"/>
    <w:rsid w:val="00A34D28"/>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2882"/>
    <w:rsid w:val="00A54671"/>
    <w:rsid w:val="00A55475"/>
    <w:rsid w:val="00A5601D"/>
    <w:rsid w:val="00A5796B"/>
    <w:rsid w:val="00A57B72"/>
    <w:rsid w:val="00A57D45"/>
    <w:rsid w:val="00A6072B"/>
    <w:rsid w:val="00A608A8"/>
    <w:rsid w:val="00A619E9"/>
    <w:rsid w:val="00A61E9C"/>
    <w:rsid w:val="00A61EB2"/>
    <w:rsid w:val="00A62617"/>
    <w:rsid w:val="00A63329"/>
    <w:rsid w:val="00A6357F"/>
    <w:rsid w:val="00A64C64"/>
    <w:rsid w:val="00A6507F"/>
    <w:rsid w:val="00A65BE0"/>
    <w:rsid w:val="00A664E0"/>
    <w:rsid w:val="00A66C67"/>
    <w:rsid w:val="00A674A0"/>
    <w:rsid w:val="00A67C9F"/>
    <w:rsid w:val="00A67CF6"/>
    <w:rsid w:val="00A67DCF"/>
    <w:rsid w:val="00A70DC6"/>
    <w:rsid w:val="00A72089"/>
    <w:rsid w:val="00A72BA8"/>
    <w:rsid w:val="00A7466A"/>
    <w:rsid w:val="00A7516C"/>
    <w:rsid w:val="00A758C7"/>
    <w:rsid w:val="00A7707B"/>
    <w:rsid w:val="00A7718C"/>
    <w:rsid w:val="00A77B58"/>
    <w:rsid w:val="00A77F64"/>
    <w:rsid w:val="00A81061"/>
    <w:rsid w:val="00A810DC"/>
    <w:rsid w:val="00A81D65"/>
    <w:rsid w:val="00A82175"/>
    <w:rsid w:val="00A83106"/>
    <w:rsid w:val="00A834D1"/>
    <w:rsid w:val="00A836A7"/>
    <w:rsid w:val="00A8399B"/>
    <w:rsid w:val="00A83A03"/>
    <w:rsid w:val="00A83AB1"/>
    <w:rsid w:val="00A83F9F"/>
    <w:rsid w:val="00A84B8C"/>
    <w:rsid w:val="00A86347"/>
    <w:rsid w:val="00A8655F"/>
    <w:rsid w:val="00A86945"/>
    <w:rsid w:val="00A86B39"/>
    <w:rsid w:val="00A87AA6"/>
    <w:rsid w:val="00A90875"/>
    <w:rsid w:val="00A90C77"/>
    <w:rsid w:val="00A934DD"/>
    <w:rsid w:val="00A9643E"/>
    <w:rsid w:val="00A96605"/>
    <w:rsid w:val="00A976C2"/>
    <w:rsid w:val="00A97E2A"/>
    <w:rsid w:val="00AA0E0B"/>
    <w:rsid w:val="00AA0F65"/>
    <w:rsid w:val="00AA1C25"/>
    <w:rsid w:val="00AA1D65"/>
    <w:rsid w:val="00AA2466"/>
    <w:rsid w:val="00AA2D9F"/>
    <w:rsid w:val="00AA3233"/>
    <w:rsid w:val="00AA4956"/>
    <w:rsid w:val="00AA4DC7"/>
    <w:rsid w:val="00AA54DA"/>
    <w:rsid w:val="00AA61BB"/>
    <w:rsid w:val="00AA6979"/>
    <w:rsid w:val="00AB0162"/>
    <w:rsid w:val="00AB0485"/>
    <w:rsid w:val="00AB0D24"/>
    <w:rsid w:val="00AB202E"/>
    <w:rsid w:val="00AB2355"/>
    <w:rsid w:val="00AB3321"/>
    <w:rsid w:val="00AB3361"/>
    <w:rsid w:val="00AB3D90"/>
    <w:rsid w:val="00AB41C0"/>
    <w:rsid w:val="00AB4798"/>
    <w:rsid w:val="00AB4D83"/>
    <w:rsid w:val="00AB4EFF"/>
    <w:rsid w:val="00AB69C5"/>
    <w:rsid w:val="00AB7760"/>
    <w:rsid w:val="00AB7F2A"/>
    <w:rsid w:val="00AC0531"/>
    <w:rsid w:val="00AC0968"/>
    <w:rsid w:val="00AC09D1"/>
    <w:rsid w:val="00AC1A5D"/>
    <w:rsid w:val="00AC38AE"/>
    <w:rsid w:val="00AC3CE4"/>
    <w:rsid w:val="00AC45A6"/>
    <w:rsid w:val="00AC6853"/>
    <w:rsid w:val="00AC7B1B"/>
    <w:rsid w:val="00AD05F1"/>
    <w:rsid w:val="00AD0A8A"/>
    <w:rsid w:val="00AD17D7"/>
    <w:rsid w:val="00AD215C"/>
    <w:rsid w:val="00AD236A"/>
    <w:rsid w:val="00AD2673"/>
    <w:rsid w:val="00AD2ABD"/>
    <w:rsid w:val="00AD2FCA"/>
    <w:rsid w:val="00AD334E"/>
    <w:rsid w:val="00AD38A9"/>
    <w:rsid w:val="00AD46E0"/>
    <w:rsid w:val="00AD73EF"/>
    <w:rsid w:val="00AD75F0"/>
    <w:rsid w:val="00AE064E"/>
    <w:rsid w:val="00AE170D"/>
    <w:rsid w:val="00AE1BAB"/>
    <w:rsid w:val="00AE3743"/>
    <w:rsid w:val="00AE3C3C"/>
    <w:rsid w:val="00AE453E"/>
    <w:rsid w:val="00AE4597"/>
    <w:rsid w:val="00AE4A5E"/>
    <w:rsid w:val="00AE539C"/>
    <w:rsid w:val="00AE5A1B"/>
    <w:rsid w:val="00AE5BE7"/>
    <w:rsid w:val="00AE6756"/>
    <w:rsid w:val="00AE7159"/>
    <w:rsid w:val="00AE7400"/>
    <w:rsid w:val="00AF3C55"/>
    <w:rsid w:val="00AF3E6F"/>
    <w:rsid w:val="00AF41E7"/>
    <w:rsid w:val="00AF4921"/>
    <w:rsid w:val="00AF6EDB"/>
    <w:rsid w:val="00AF7427"/>
    <w:rsid w:val="00B01727"/>
    <w:rsid w:val="00B0282E"/>
    <w:rsid w:val="00B029AA"/>
    <w:rsid w:val="00B02F3D"/>
    <w:rsid w:val="00B0303E"/>
    <w:rsid w:val="00B04A44"/>
    <w:rsid w:val="00B04B85"/>
    <w:rsid w:val="00B04BFB"/>
    <w:rsid w:val="00B066C0"/>
    <w:rsid w:val="00B0766E"/>
    <w:rsid w:val="00B07896"/>
    <w:rsid w:val="00B07E01"/>
    <w:rsid w:val="00B10413"/>
    <w:rsid w:val="00B11433"/>
    <w:rsid w:val="00B15AF9"/>
    <w:rsid w:val="00B15EAD"/>
    <w:rsid w:val="00B1715C"/>
    <w:rsid w:val="00B20582"/>
    <w:rsid w:val="00B20DC9"/>
    <w:rsid w:val="00B211A1"/>
    <w:rsid w:val="00B216DF"/>
    <w:rsid w:val="00B21E41"/>
    <w:rsid w:val="00B21FB9"/>
    <w:rsid w:val="00B23F9A"/>
    <w:rsid w:val="00B2415B"/>
    <w:rsid w:val="00B24503"/>
    <w:rsid w:val="00B2479C"/>
    <w:rsid w:val="00B25A98"/>
    <w:rsid w:val="00B26041"/>
    <w:rsid w:val="00B3007B"/>
    <w:rsid w:val="00B3052D"/>
    <w:rsid w:val="00B34495"/>
    <w:rsid w:val="00B375DF"/>
    <w:rsid w:val="00B40ADF"/>
    <w:rsid w:val="00B428E8"/>
    <w:rsid w:val="00B42FCD"/>
    <w:rsid w:val="00B43A09"/>
    <w:rsid w:val="00B44DCC"/>
    <w:rsid w:val="00B468A7"/>
    <w:rsid w:val="00B46BD0"/>
    <w:rsid w:val="00B46BF7"/>
    <w:rsid w:val="00B470D1"/>
    <w:rsid w:val="00B47321"/>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71F"/>
    <w:rsid w:val="00B65694"/>
    <w:rsid w:val="00B65C98"/>
    <w:rsid w:val="00B66FE2"/>
    <w:rsid w:val="00B67652"/>
    <w:rsid w:val="00B67941"/>
    <w:rsid w:val="00B71DCB"/>
    <w:rsid w:val="00B72219"/>
    <w:rsid w:val="00B74923"/>
    <w:rsid w:val="00B75669"/>
    <w:rsid w:val="00B758FB"/>
    <w:rsid w:val="00B75CDC"/>
    <w:rsid w:val="00B76409"/>
    <w:rsid w:val="00B765FE"/>
    <w:rsid w:val="00B800FC"/>
    <w:rsid w:val="00B8037C"/>
    <w:rsid w:val="00B8156D"/>
    <w:rsid w:val="00B81EFA"/>
    <w:rsid w:val="00B81F0C"/>
    <w:rsid w:val="00B82D46"/>
    <w:rsid w:val="00B82F21"/>
    <w:rsid w:val="00B876B9"/>
    <w:rsid w:val="00B87C7F"/>
    <w:rsid w:val="00B90090"/>
    <w:rsid w:val="00B900B8"/>
    <w:rsid w:val="00B904E3"/>
    <w:rsid w:val="00B90E13"/>
    <w:rsid w:val="00B95700"/>
    <w:rsid w:val="00B96185"/>
    <w:rsid w:val="00B963A2"/>
    <w:rsid w:val="00B96CC5"/>
    <w:rsid w:val="00BA0F35"/>
    <w:rsid w:val="00BA19BC"/>
    <w:rsid w:val="00BA26E8"/>
    <w:rsid w:val="00BA482C"/>
    <w:rsid w:val="00BA51FB"/>
    <w:rsid w:val="00BA54CB"/>
    <w:rsid w:val="00BA6553"/>
    <w:rsid w:val="00BA6AE6"/>
    <w:rsid w:val="00BA6F72"/>
    <w:rsid w:val="00BA7317"/>
    <w:rsid w:val="00BB0AAC"/>
    <w:rsid w:val="00BB14CC"/>
    <w:rsid w:val="00BB4400"/>
    <w:rsid w:val="00BB5E08"/>
    <w:rsid w:val="00BB6562"/>
    <w:rsid w:val="00BB747E"/>
    <w:rsid w:val="00BC0CD0"/>
    <w:rsid w:val="00BC13D3"/>
    <w:rsid w:val="00BC293C"/>
    <w:rsid w:val="00BC2B1C"/>
    <w:rsid w:val="00BC2C4C"/>
    <w:rsid w:val="00BC3336"/>
    <w:rsid w:val="00BC3772"/>
    <w:rsid w:val="00BC5443"/>
    <w:rsid w:val="00BC67C5"/>
    <w:rsid w:val="00BC6DAA"/>
    <w:rsid w:val="00BD130F"/>
    <w:rsid w:val="00BD1440"/>
    <w:rsid w:val="00BD1525"/>
    <w:rsid w:val="00BD1978"/>
    <w:rsid w:val="00BD2FFE"/>
    <w:rsid w:val="00BD31BB"/>
    <w:rsid w:val="00BD4DB5"/>
    <w:rsid w:val="00BD68A4"/>
    <w:rsid w:val="00BD7B48"/>
    <w:rsid w:val="00BD7F80"/>
    <w:rsid w:val="00BE1943"/>
    <w:rsid w:val="00BE1B0C"/>
    <w:rsid w:val="00BE2A12"/>
    <w:rsid w:val="00BE3F53"/>
    <w:rsid w:val="00BE5B2B"/>
    <w:rsid w:val="00BE5E32"/>
    <w:rsid w:val="00BE7213"/>
    <w:rsid w:val="00BE7A92"/>
    <w:rsid w:val="00BE7F44"/>
    <w:rsid w:val="00BF0154"/>
    <w:rsid w:val="00BF06A2"/>
    <w:rsid w:val="00BF0F6B"/>
    <w:rsid w:val="00BF132A"/>
    <w:rsid w:val="00BF1842"/>
    <w:rsid w:val="00BF21B8"/>
    <w:rsid w:val="00BF2729"/>
    <w:rsid w:val="00BF431C"/>
    <w:rsid w:val="00BF462D"/>
    <w:rsid w:val="00BF49F3"/>
    <w:rsid w:val="00BF5226"/>
    <w:rsid w:val="00BF7141"/>
    <w:rsid w:val="00BF7576"/>
    <w:rsid w:val="00BF78A6"/>
    <w:rsid w:val="00BF7CD8"/>
    <w:rsid w:val="00BF7F43"/>
    <w:rsid w:val="00C0027B"/>
    <w:rsid w:val="00C00AC2"/>
    <w:rsid w:val="00C01276"/>
    <w:rsid w:val="00C01303"/>
    <w:rsid w:val="00C014ED"/>
    <w:rsid w:val="00C018F6"/>
    <w:rsid w:val="00C01A73"/>
    <w:rsid w:val="00C01A7E"/>
    <w:rsid w:val="00C025F7"/>
    <w:rsid w:val="00C05444"/>
    <w:rsid w:val="00C05B70"/>
    <w:rsid w:val="00C0700E"/>
    <w:rsid w:val="00C07778"/>
    <w:rsid w:val="00C07D47"/>
    <w:rsid w:val="00C1171E"/>
    <w:rsid w:val="00C120AB"/>
    <w:rsid w:val="00C127FD"/>
    <w:rsid w:val="00C13599"/>
    <w:rsid w:val="00C16971"/>
    <w:rsid w:val="00C17B0C"/>
    <w:rsid w:val="00C17E0A"/>
    <w:rsid w:val="00C2011D"/>
    <w:rsid w:val="00C21082"/>
    <w:rsid w:val="00C21C7B"/>
    <w:rsid w:val="00C2293D"/>
    <w:rsid w:val="00C2390A"/>
    <w:rsid w:val="00C23ADF"/>
    <w:rsid w:val="00C23D25"/>
    <w:rsid w:val="00C25278"/>
    <w:rsid w:val="00C255C8"/>
    <w:rsid w:val="00C3183D"/>
    <w:rsid w:val="00C326D0"/>
    <w:rsid w:val="00C32B8D"/>
    <w:rsid w:val="00C33C5A"/>
    <w:rsid w:val="00C365DF"/>
    <w:rsid w:val="00C36B6A"/>
    <w:rsid w:val="00C36BF3"/>
    <w:rsid w:val="00C405D0"/>
    <w:rsid w:val="00C40614"/>
    <w:rsid w:val="00C40B72"/>
    <w:rsid w:val="00C412BF"/>
    <w:rsid w:val="00C41313"/>
    <w:rsid w:val="00C4172A"/>
    <w:rsid w:val="00C41760"/>
    <w:rsid w:val="00C422E3"/>
    <w:rsid w:val="00C439BA"/>
    <w:rsid w:val="00C46444"/>
    <w:rsid w:val="00C466DD"/>
    <w:rsid w:val="00C474C6"/>
    <w:rsid w:val="00C47CA3"/>
    <w:rsid w:val="00C50EDC"/>
    <w:rsid w:val="00C510D8"/>
    <w:rsid w:val="00C51445"/>
    <w:rsid w:val="00C52AD2"/>
    <w:rsid w:val="00C52E63"/>
    <w:rsid w:val="00C5539D"/>
    <w:rsid w:val="00C55803"/>
    <w:rsid w:val="00C55CF7"/>
    <w:rsid w:val="00C56348"/>
    <w:rsid w:val="00C6238B"/>
    <w:rsid w:val="00C63379"/>
    <w:rsid w:val="00C639AA"/>
    <w:rsid w:val="00C6432D"/>
    <w:rsid w:val="00C64746"/>
    <w:rsid w:val="00C65553"/>
    <w:rsid w:val="00C6574B"/>
    <w:rsid w:val="00C65F6D"/>
    <w:rsid w:val="00C66A17"/>
    <w:rsid w:val="00C6754F"/>
    <w:rsid w:val="00C7033F"/>
    <w:rsid w:val="00C71A70"/>
    <w:rsid w:val="00C74577"/>
    <w:rsid w:val="00C762BF"/>
    <w:rsid w:val="00C762D5"/>
    <w:rsid w:val="00C77050"/>
    <w:rsid w:val="00C815B8"/>
    <w:rsid w:val="00C830C5"/>
    <w:rsid w:val="00C83F90"/>
    <w:rsid w:val="00C841FB"/>
    <w:rsid w:val="00C847F9"/>
    <w:rsid w:val="00C85012"/>
    <w:rsid w:val="00C861A1"/>
    <w:rsid w:val="00C8654B"/>
    <w:rsid w:val="00C91BA1"/>
    <w:rsid w:val="00C91D4D"/>
    <w:rsid w:val="00C92616"/>
    <w:rsid w:val="00C9292D"/>
    <w:rsid w:val="00C92CDA"/>
    <w:rsid w:val="00C93340"/>
    <w:rsid w:val="00C94B01"/>
    <w:rsid w:val="00C95CF1"/>
    <w:rsid w:val="00C971BB"/>
    <w:rsid w:val="00C97410"/>
    <w:rsid w:val="00C97C2C"/>
    <w:rsid w:val="00C97CC4"/>
    <w:rsid w:val="00C97EC3"/>
    <w:rsid w:val="00CA0B13"/>
    <w:rsid w:val="00CA0F21"/>
    <w:rsid w:val="00CA1B26"/>
    <w:rsid w:val="00CA214C"/>
    <w:rsid w:val="00CA3A12"/>
    <w:rsid w:val="00CA4844"/>
    <w:rsid w:val="00CA5B51"/>
    <w:rsid w:val="00CA73C1"/>
    <w:rsid w:val="00CA7F2B"/>
    <w:rsid w:val="00CB03AD"/>
    <w:rsid w:val="00CB1F71"/>
    <w:rsid w:val="00CB2EEA"/>
    <w:rsid w:val="00CB3A79"/>
    <w:rsid w:val="00CB3E62"/>
    <w:rsid w:val="00CB4498"/>
    <w:rsid w:val="00CB44FA"/>
    <w:rsid w:val="00CB5303"/>
    <w:rsid w:val="00CB5E4D"/>
    <w:rsid w:val="00CB6F90"/>
    <w:rsid w:val="00CB7E22"/>
    <w:rsid w:val="00CC0668"/>
    <w:rsid w:val="00CC0CD3"/>
    <w:rsid w:val="00CC129C"/>
    <w:rsid w:val="00CC3260"/>
    <w:rsid w:val="00CC35A2"/>
    <w:rsid w:val="00CC3A60"/>
    <w:rsid w:val="00CC3EE5"/>
    <w:rsid w:val="00CC4478"/>
    <w:rsid w:val="00CC6FD7"/>
    <w:rsid w:val="00CC7F98"/>
    <w:rsid w:val="00CD0893"/>
    <w:rsid w:val="00CD0EA8"/>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1E52"/>
    <w:rsid w:val="00CE215B"/>
    <w:rsid w:val="00CE2222"/>
    <w:rsid w:val="00CE4109"/>
    <w:rsid w:val="00CE483F"/>
    <w:rsid w:val="00CE4CE7"/>
    <w:rsid w:val="00CE4F4D"/>
    <w:rsid w:val="00CE596E"/>
    <w:rsid w:val="00CE69E7"/>
    <w:rsid w:val="00CE6BE9"/>
    <w:rsid w:val="00CE6E0F"/>
    <w:rsid w:val="00CF088D"/>
    <w:rsid w:val="00CF2C9A"/>
    <w:rsid w:val="00CF3480"/>
    <w:rsid w:val="00CF4C07"/>
    <w:rsid w:val="00CF57C9"/>
    <w:rsid w:val="00CF5DBA"/>
    <w:rsid w:val="00CF7AA7"/>
    <w:rsid w:val="00D03BBF"/>
    <w:rsid w:val="00D03F7D"/>
    <w:rsid w:val="00D044EA"/>
    <w:rsid w:val="00D04D00"/>
    <w:rsid w:val="00D05596"/>
    <w:rsid w:val="00D06D4B"/>
    <w:rsid w:val="00D075DD"/>
    <w:rsid w:val="00D10787"/>
    <w:rsid w:val="00D1079A"/>
    <w:rsid w:val="00D108F8"/>
    <w:rsid w:val="00D12015"/>
    <w:rsid w:val="00D127C3"/>
    <w:rsid w:val="00D12FDA"/>
    <w:rsid w:val="00D130AD"/>
    <w:rsid w:val="00D14F8F"/>
    <w:rsid w:val="00D17814"/>
    <w:rsid w:val="00D21285"/>
    <w:rsid w:val="00D2160C"/>
    <w:rsid w:val="00D21675"/>
    <w:rsid w:val="00D22177"/>
    <w:rsid w:val="00D25D53"/>
    <w:rsid w:val="00D27624"/>
    <w:rsid w:val="00D30064"/>
    <w:rsid w:val="00D3095A"/>
    <w:rsid w:val="00D310B0"/>
    <w:rsid w:val="00D31191"/>
    <w:rsid w:val="00D333E7"/>
    <w:rsid w:val="00D34EF1"/>
    <w:rsid w:val="00D3531D"/>
    <w:rsid w:val="00D35B42"/>
    <w:rsid w:val="00D371CF"/>
    <w:rsid w:val="00D41845"/>
    <w:rsid w:val="00D418A1"/>
    <w:rsid w:val="00D41CCA"/>
    <w:rsid w:val="00D422F2"/>
    <w:rsid w:val="00D447E8"/>
    <w:rsid w:val="00D44D60"/>
    <w:rsid w:val="00D45145"/>
    <w:rsid w:val="00D45FB3"/>
    <w:rsid w:val="00D5102D"/>
    <w:rsid w:val="00D52714"/>
    <w:rsid w:val="00D52E9D"/>
    <w:rsid w:val="00D537D7"/>
    <w:rsid w:val="00D53978"/>
    <w:rsid w:val="00D54078"/>
    <w:rsid w:val="00D54A14"/>
    <w:rsid w:val="00D54EAA"/>
    <w:rsid w:val="00D553C7"/>
    <w:rsid w:val="00D564DE"/>
    <w:rsid w:val="00D56823"/>
    <w:rsid w:val="00D56A01"/>
    <w:rsid w:val="00D56AF0"/>
    <w:rsid w:val="00D579C9"/>
    <w:rsid w:val="00D600B6"/>
    <w:rsid w:val="00D61D0C"/>
    <w:rsid w:val="00D62631"/>
    <w:rsid w:val="00D628A1"/>
    <w:rsid w:val="00D62F77"/>
    <w:rsid w:val="00D6450E"/>
    <w:rsid w:val="00D64A72"/>
    <w:rsid w:val="00D65004"/>
    <w:rsid w:val="00D65E22"/>
    <w:rsid w:val="00D70637"/>
    <w:rsid w:val="00D71075"/>
    <w:rsid w:val="00D712C7"/>
    <w:rsid w:val="00D71A85"/>
    <w:rsid w:val="00D7537D"/>
    <w:rsid w:val="00D75420"/>
    <w:rsid w:val="00D7689C"/>
    <w:rsid w:val="00D76DF5"/>
    <w:rsid w:val="00D8061B"/>
    <w:rsid w:val="00D81F17"/>
    <w:rsid w:val="00D82C2B"/>
    <w:rsid w:val="00D837CA"/>
    <w:rsid w:val="00D83EF2"/>
    <w:rsid w:val="00D84126"/>
    <w:rsid w:val="00D845BD"/>
    <w:rsid w:val="00D84AA5"/>
    <w:rsid w:val="00D85624"/>
    <w:rsid w:val="00D85718"/>
    <w:rsid w:val="00D8643E"/>
    <w:rsid w:val="00D8775C"/>
    <w:rsid w:val="00D879DB"/>
    <w:rsid w:val="00D9078F"/>
    <w:rsid w:val="00D91A0C"/>
    <w:rsid w:val="00D932B5"/>
    <w:rsid w:val="00D934D2"/>
    <w:rsid w:val="00D93C86"/>
    <w:rsid w:val="00D97C60"/>
    <w:rsid w:val="00DA053C"/>
    <w:rsid w:val="00DA0593"/>
    <w:rsid w:val="00DA1F78"/>
    <w:rsid w:val="00DA230B"/>
    <w:rsid w:val="00DA2702"/>
    <w:rsid w:val="00DA28A1"/>
    <w:rsid w:val="00DA2D58"/>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EC8"/>
    <w:rsid w:val="00DC0681"/>
    <w:rsid w:val="00DC0FCC"/>
    <w:rsid w:val="00DC1FC7"/>
    <w:rsid w:val="00DC2346"/>
    <w:rsid w:val="00DC2A85"/>
    <w:rsid w:val="00DC318D"/>
    <w:rsid w:val="00DC41EF"/>
    <w:rsid w:val="00DC4CD9"/>
    <w:rsid w:val="00DC4F00"/>
    <w:rsid w:val="00DC559C"/>
    <w:rsid w:val="00DC573C"/>
    <w:rsid w:val="00DC5862"/>
    <w:rsid w:val="00DC66B1"/>
    <w:rsid w:val="00DD0CBA"/>
    <w:rsid w:val="00DD11D1"/>
    <w:rsid w:val="00DD18A1"/>
    <w:rsid w:val="00DD2201"/>
    <w:rsid w:val="00DD2214"/>
    <w:rsid w:val="00DD2330"/>
    <w:rsid w:val="00DD26E9"/>
    <w:rsid w:val="00DD2CA4"/>
    <w:rsid w:val="00DD390A"/>
    <w:rsid w:val="00DD63E9"/>
    <w:rsid w:val="00DD64D1"/>
    <w:rsid w:val="00DD6D86"/>
    <w:rsid w:val="00DD762E"/>
    <w:rsid w:val="00DD7A8C"/>
    <w:rsid w:val="00DE167B"/>
    <w:rsid w:val="00DE19C4"/>
    <w:rsid w:val="00DE1D93"/>
    <w:rsid w:val="00DE373A"/>
    <w:rsid w:val="00DE3BBA"/>
    <w:rsid w:val="00DE40C3"/>
    <w:rsid w:val="00DE4E7D"/>
    <w:rsid w:val="00DE58FC"/>
    <w:rsid w:val="00DE78B2"/>
    <w:rsid w:val="00DF064A"/>
    <w:rsid w:val="00DF0681"/>
    <w:rsid w:val="00DF16A0"/>
    <w:rsid w:val="00DF1FFC"/>
    <w:rsid w:val="00DF2C73"/>
    <w:rsid w:val="00DF3372"/>
    <w:rsid w:val="00DF3559"/>
    <w:rsid w:val="00DF3844"/>
    <w:rsid w:val="00DF758D"/>
    <w:rsid w:val="00DF7C20"/>
    <w:rsid w:val="00DF7C98"/>
    <w:rsid w:val="00DF7F34"/>
    <w:rsid w:val="00E016C4"/>
    <w:rsid w:val="00E01794"/>
    <w:rsid w:val="00E02AD9"/>
    <w:rsid w:val="00E02E99"/>
    <w:rsid w:val="00E02FB1"/>
    <w:rsid w:val="00E03958"/>
    <w:rsid w:val="00E04DA9"/>
    <w:rsid w:val="00E0647C"/>
    <w:rsid w:val="00E06ABF"/>
    <w:rsid w:val="00E070A1"/>
    <w:rsid w:val="00E109D8"/>
    <w:rsid w:val="00E111A7"/>
    <w:rsid w:val="00E116F9"/>
    <w:rsid w:val="00E13868"/>
    <w:rsid w:val="00E14A2B"/>
    <w:rsid w:val="00E1521E"/>
    <w:rsid w:val="00E155CF"/>
    <w:rsid w:val="00E15BA7"/>
    <w:rsid w:val="00E15D52"/>
    <w:rsid w:val="00E16800"/>
    <w:rsid w:val="00E17945"/>
    <w:rsid w:val="00E20173"/>
    <w:rsid w:val="00E22EF4"/>
    <w:rsid w:val="00E230F1"/>
    <w:rsid w:val="00E236BA"/>
    <w:rsid w:val="00E23B38"/>
    <w:rsid w:val="00E24023"/>
    <w:rsid w:val="00E24737"/>
    <w:rsid w:val="00E251A4"/>
    <w:rsid w:val="00E25225"/>
    <w:rsid w:val="00E254CC"/>
    <w:rsid w:val="00E26078"/>
    <w:rsid w:val="00E263BD"/>
    <w:rsid w:val="00E270A9"/>
    <w:rsid w:val="00E2771B"/>
    <w:rsid w:val="00E27EAD"/>
    <w:rsid w:val="00E303C7"/>
    <w:rsid w:val="00E32A9C"/>
    <w:rsid w:val="00E335C7"/>
    <w:rsid w:val="00E338DE"/>
    <w:rsid w:val="00E33A5F"/>
    <w:rsid w:val="00E35C6F"/>
    <w:rsid w:val="00E363BF"/>
    <w:rsid w:val="00E367EE"/>
    <w:rsid w:val="00E36A31"/>
    <w:rsid w:val="00E37974"/>
    <w:rsid w:val="00E37C2E"/>
    <w:rsid w:val="00E37FF8"/>
    <w:rsid w:val="00E419AF"/>
    <w:rsid w:val="00E41FC9"/>
    <w:rsid w:val="00E4266E"/>
    <w:rsid w:val="00E43512"/>
    <w:rsid w:val="00E4412E"/>
    <w:rsid w:val="00E45BC6"/>
    <w:rsid w:val="00E468E3"/>
    <w:rsid w:val="00E47DF3"/>
    <w:rsid w:val="00E5088D"/>
    <w:rsid w:val="00E53478"/>
    <w:rsid w:val="00E5419C"/>
    <w:rsid w:val="00E54402"/>
    <w:rsid w:val="00E55B15"/>
    <w:rsid w:val="00E55D4D"/>
    <w:rsid w:val="00E573EE"/>
    <w:rsid w:val="00E579BE"/>
    <w:rsid w:val="00E60A88"/>
    <w:rsid w:val="00E6185F"/>
    <w:rsid w:val="00E62B59"/>
    <w:rsid w:val="00E62C7C"/>
    <w:rsid w:val="00E63D4E"/>
    <w:rsid w:val="00E64E1F"/>
    <w:rsid w:val="00E65413"/>
    <w:rsid w:val="00E657CD"/>
    <w:rsid w:val="00E65B10"/>
    <w:rsid w:val="00E66186"/>
    <w:rsid w:val="00E66250"/>
    <w:rsid w:val="00E66CC2"/>
    <w:rsid w:val="00E675D0"/>
    <w:rsid w:val="00E67A07"/>
    <w:rsid w:val="00E67F76"/>
    <w:rsid w:val="00E70281"/>
    <w:rsid w:val="00E704B1"/>
    <w:rsid w:val="00E71451"/>
    <w:rsid w:val="00E714D2"/>
    <w:rsid w:val="00E71B75"/>
    <w:rsid w:val="00E72D88"/>
    <w:rsid w:val="00E730CE"/>
    <w:rsid w:val="00E732EE"/>
    <w:rsid w:val="00E735C5"/>
    <w:rsid w:val="00E74B4A"/>
    <w:rsid w:val="00E75B68"/>
    <w:rsid w:val="00E76D12"/>
    <w:rsid w:val="00E835B6"/>
    <w:rsid w:val="00E84BA4"/>
    <w:rsid w:val="00E85366"/>
    <w:rsid w:val="00E86A8B"/>
    <w:rsid w:val="00E87AE6"/>
    <w:rsid w:val="00E9055F"/>
    <w:rsid w:val="00E91A12"/>
    <w:rsid w:val="00E92911"/>
    <w:rsid w:val="00E94248"/>
    <w:rsid w:val="00E944FE"/>
    <w:rsid w:val="00E94CB9"/>
    <w:rsid w:val="00E957AF"/>
    <w:rsid w:val="00E969C7"/>
    <w:rsid w:val="00E96B35"/>
    <w:rsid w:val="00E97E8A"/>
    <w:rsid w:val="00EA06B8"/>
    <w:rsid w:val="00EA16A9"/>
    <w:rsid w:val="00EA1856"/>
    <w:rsid w:val="00EA2110"/>
    <w:rsid w:val="00EA2AFC"/>
    <w:rsid w:val="00EA2F33"/>
    <w:rsid w:val="00EA3D1E"/>
    <w:rsid w:val="00EA4908"/>
    <w:rsid w:val="00EA49AF"/>
    <w:rsid w:val="00EA4D68"/>
    <w:rsid w:val="00EA5048"/>
    <w:rsid w:val="00EA512D"/>
    <w:rsid w:val="00EA5602"/>
    <w:rsid w:val="00EA6365"/>
    <w:rsid w:val="00EA66D5"/>
    <w:rsid w:val="00EA67D4"/>
    <w:rsid w:val="00EA6811"/>
    <w:rsid w:val="00EA6F54"/>
    <w:rsid w:val="00EA778F"/>
    <w:rsid w:val="00EB01B5"/>
    <w:rsid w:val="00EB02A6"/>
    <w:rsid w:val="00EB039A"/>
    <w:rsid w:val="00EB0B11"/>
    <w:rsid w:val="00EB15A3"/>
    <w:rsid w:val="00EB3B2B"/>
    <w:rsid w:val="00EB43A7"/>
    <w:rsid w:val="00EC1599"/>
    <w:rsid w:val="00EC176E"/>
    <w:rsid w:val="00EC2417"/>
    <w:rsid w:val="00EC2991"/>
    <w:rsid w:val="00EC3662"/>
    <w:rsid w:val="00EC3F63"/>
    <w:rsid w:val="00EC5306"/>
    <w:rsid w:val="00EC5426"/>
    <w:rsid w:val="00EC5F21"/>
    <w:rsid w:val="00ED0F92"/>
    <w:rsid w:val="00ED2081"/>
    <w:rsid w:val="00ED39E4"/>
    <w:rsid w:val="00ED474D"/>
    <w:rsid w:val="00ED4BF3"/>
    <w:rsid w:val="00ED4D58"/>
    <w:rsid w:val="00ED529F"/>
    <w:rsid w:val="00ED5789"/>
    <w:rsid w:val="00ED728C"/>
    <w:rsid w:val="00ED7F68"/>
    <w:rsid w:val="00EE0763"/>
    <w:rsid w:val="00EE0B7B"/>
    <w:rsid w:val="00EE1176"/>
    <w:rsid w:val="00EE21FE"/>
    <w:rsid w:val="00EE2852"/>
    <w:rsid w:val="00EE2E34"/>
    <w:rsid w:val="00EE3EE7"/>
    <w:rsid w:val="00EE4855"/>
    <w:rsid w:val="00EE4D67"/>
    <w:rsid w:val="00EE5F17"/>
    <w:rsid w:val="00EE7C0D"/>
    <w:rsid w:val="00EF0C12"/>
    <w:rsid w:val="00EF1845"/>
    <w:rsid w:val="00EF2601"/>
    <w:rsid w:val="00EF2F68"/>
    <w:rsid w:val="00EF301A"/>
    <w:rsid w:val="00EF336C"/>
    <w:rsid w:val="00EF3F18"/>
    <w:rsid w:val="00EF41E5"/>
    <w:rsid w:val="00EF4772"/>
    <w:rsid w:val="00EF492D"/>
    <w:rsid w:val="00EF5AA5"/>
    <w:rsid w:val="00EF5F62"/>
    <w:rsid w:val="00EF69E7"/>
    <w:rsid w:val="00EF70D6"/>
    <w:rsid w:val="00EF7DD7"/>
    <w:rsid w:val="00F00E58"/>
    <w:rsid w:val="00F02423"/>
    <w:rsid w:val="00F02886"/>
    <w:rsid w:val="00F02A47"/>
    <w:rsid w:val="00F04024"/>
    <w:rsid w:val="00F04278"/>
    <w:rsid w:val="00F04567"/>
    <w:rsid w:val="00F04A78"/>
    <w:rsid w:val="00F04C16"/>
    <w:rsid w:val="00F05F75"/>
    <w:rsid w:val="00F06292"/>
    <w:rsid w:val="00F06689"/>
    <w:rsid w:val="00F0673D"/>
    <w:rsid w:val="00F1156F"/>
    <w:rsid w:val="00F11791"/>
    <w:rsid w:val="00F127A7"/>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27B"/>
    <w:rsid w:val="00F44B6D"/>
    <w:rsid w:val="00F457E9"/>
    <w:rsid w:val="00F46C59"/>
    <w:rsid w:val="00F46D76"/>
    <w:rsid w:val="00F473C9"/>
    <w:rsid w:val="00F473E8"/>
    <w:rsid w:val="00F4797F"/>
    <w:rsid w:val="00F47BFC"/>
    <w:rsid w:val="00F51BB6"/>
    <w:rsid w:val="00F530B9"/>
    <w:rsid w:val="00F54953"/>
    <w:rsid w:val="00F571C4"/>
    <w:rsid w:val="00F57A16"/>
    <w:rsid w:val="00F57DF0"/>
    <w:rsid w:val="00F6118B"/>
    <w:rsid w:val="00F6118D"/>
    <w:rsid w:val="00F622CF"/>
    <w:rsid w:val="00F6389F"/>
    <w:rsid w:val="00F63CBB"/>
    <w:rsid w:val="00F653DE"/>
    <w:rsid w:val="00F65E88"/>
    <w:rsid w:val="00F660EF"/>
    <w:rsid w:val="00F665D5"/>
    <w:rsid w:val="00F70394"/>
    <w:rsid w:val="00F70506"/>
    <w:rsid w:val="00F72262"/>
    <w:rsid w:val="00F7311D"/>
    <w:rsid w:val="00F735FB"/>
    <w:rsid w:val="00F744AD"/>
    <w:rsid w:val="00F74C46"/>
    <w:rsid w:val="00F876FA"/>
    <w:rsid w:val="00F9079F"/>
    <w:rsid w:val="00F90C7C"/>
    <w:rsid w:val="00F91ED5"/>
    <w:rsid w:val="00F921CC"/>
    <w:rsid w:val="00F935B9"/>
    <w:rsid w:val="00F94176"/>
    <w:rsid w:val="00F959BB"/>
    <w:rsid w:val="00F95E0F"/>
    <w:rsid w:val="00F9603C"/>
    <w:rsid w:val="00F96A82"/>
    <w:rsid w:val="00FA01E0"/>
    <w:rsid w:val="00FA2044"/>
    <w:rsid w:val="00FA2AD5"/>
    <w:rsid w:val="00FA2E17"/>
    <w:rsid w:val="00FA3B84"/>
    <w:rsid w:val="00FA40F5"/>
    <w:rsid w:val="00FA540C"/>
    <w:rsid w:val="00FA6527"/>
    <w:rsid w:val="00FA7424"/>
    <w:rsid w:val="00FB0327"/>
    <w:rsid w:val="00FB0677"/>
    <w:rsid w:val="00FB2B03"/>
    <w:rsid w:val="00FB2EB2"/>
    <w:rsid w:val="00FB2FFE"/>
    <w:rsid w:val="00FB303E"/>
    <w:rsid w:val="00FB32AE"/>
    <w:rsid w:val="00FB32DE"/>
    <w:rsid w:val="00FB3664"/>
    <w:rsid w:val="00FB46F4"/>
    <w:rsid w:val="00FB49C0"/>
    <w:rsid w:val="00FC1160"/>
    <w:rsid w:val="00FC24CB"/>
    <w:rsid w:val="00FC291C"/>
    <w:rsid w:val="00FC36AE"/>
    <w:rsid w:val="00FC44A3"/>
    <w:rsid w:val="00FC48CC"/>
    <w:rsid w:val="00FC6460"/>
    <w:rsid w:val="00FC6813"/>
    <w:rsid w:val="00FC69BF"/>
    <w:rsid w:val="00FC6A86"/>
    <w:rsid w:val="00FC7C62"/>
    <w:rsid w:val="00FD0860"/>
    <w:rsid w:val="00FD0FE9"/>
    <w:rsid w:val="00FD1E98"/>
    <w:rsid w:val="00FD2A3D"/>
    <w:rsid w:val="00FD3341"/>
    <w:rsid w:val="00FD3BCE"/>
    <w:rsid w:val="00FD528F"/>
    <w:rsid w:val="00FD7584"/>
    <w:rsid w:val="00FD7D3D"/>
    <w:rsid w:val="00FE06CF"/>
    <w:rsid w:val="00FE289D"/>
    <w:rsid w:val="00FE310B"/>
    <w:rsid w:val="00FE381B"/>
    <w:rsid w:val="00FE3D28"/>
    <w:rsid w:val="00FE3E7C"/>
    <w:rsid w:val="00FE47CC"/>
    <w:rsid w:val="00FE4C4B"/>
    <w:rsid w:val="00FE4DC7"/>
    <w:rsid w:val="00FE6D0C"/>
    <w:rsid w:val="00FE6EC6"/>
    <w:rsid w:val="00FF094B"/>
    <w:rsid w:val="00FF1221"/>
    <w:rsid w:val="00FF12F9"/>
    <w:rsid w:val="00FF1774"/>
    <w:rsid w:val="00FF207C"/>
    <w:rsid w:val="00FF208A"/>
    <w:rsid w:val="00FF21D2"/>
    <w:rsid w:val="00FF5DD6"/>
    <w:rsid w:val="00FF6F2A"/>
    <w:rsid w:val="00FF7DB2"/>
    <w:rsid w:val="00FF7EDB"/>
    <w:rsid w:val="0CA35721"/>
    <w:rsid w:val="253344B4"/>
    <w:rsid w:val="32757DF9"/>
    <w:rsid w:val="4FA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71C980"/>
  <w15:docId w15:val="{FB03C9D5-FD38-4AF7-A540-A1C427899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uiPriority w:val="99"/>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2">
    <w:name w:val="列出段落 Char"/>
    <w:basedOn w:val="a0"/>
    <w:link w:val="af4"/>
    <w:uiPriority w:val="34"/>
    <w:qFormat/>
    <w:locked/>
    <w:rPr>
      <w:rFonts w:ascii="Times New Roman" w:hAnsi="Times New Roman" w:cs="Calibri"/>
      <w:lang w:eastAsia="zh-CN"/>
    </w:rPr>
  </w:style>
  <w:style w:type="paragraph" w:styleId="af4">
    <w:name w:val="List Paragraph"/>
    <w:basedOn w:val="a"/>
    <w:link w:val="Char2"/>
    <w:uiPriority w:val="34"/>
    <w:qFormat/>
    <w:pPr>
      <w:spacing w:after="0"/>
      <w:ind w:firstLine="420"/>
    </w:pPr>
    <w:rPr>
      <w:rFonts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4">
    <w:name w:val="列表段落 字符1"/>
    <w:uiPriority w:val="34"/>
    <w:qFormat/>
    <w:rPr>
      <w:lang w:eastAsia="en-US"/>
    </w:rPr>
  </w:style>
  <w:style w:type="character" w:customStyle="1" w:styleId="Char1">
    <w:name w:val="页眉 Char"/>
    <w:link w:val="ab"/>
    <w:uiPriority w:val="99"/>
    <w:qFormat/>
    <w:rPr>
      <w:rFonts w:ascii="Arial" w:hAnsi="Arial"/>
      <w:b/>
      <w:sz w:val="18"/>
      <w:lang w:val="en-GB" w:eastAsia="en-US"/>
    </w:rPr>
  </w:style>
  <w:style w:type="character" w:customStyle="1" w:styleId="15">
    <w:name w:val="书籍标题1"/>
    <w:basedOn w:val="a0"/>
    <w:uiPriority w:val="33"/>
    <w:qFormat/>
    <w:rPr>
      <w:b/>
      <w:bCs/>
      <w:i/>
      <w:iCs/>
      <w:spacing w:val="5"/>
    </w:r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pacing w:before="100" w:beforeAutospacing="1" w:after="100" w:afterAutospacing="1"/>
    </w:pPr>
    <w:rPr>
      <w:rFonts w:eastAsia="Times New Roman"/>
      <w:sz w:val="24"/>
      <w:szCs w:val="24"/>
      <w:lang w:val="en-US"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3GPPHeader">
    <w:name w:val="3GPP_Header"/>
    <w:basedOn w:val="a8"/>
    <w:pPr>
      <w:tabs>
        <w:tab w:val="left" w:pos="1701"/>
        <w:tab w:val="right" w:pos="9639"/>
      </w:tabs>
      <w:overflowPunct w:val="0"/>
      <w:autoSpaceDE w:val="0"/>
      <w:autoSpaceDN w:val="0"/>
      <w:adjustRightInd w:val="0"/>
      <w:spacing w:before="0" w:after="240"/>
      <w:jc w:val="both"/>
      <w:textAlignment w:val="baseline"/>
    </w:pPr>
    <w:rPr>
      <w:rFonts w:eastAsia="Times New Roman"/>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iuyangbj@op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393DA-D3B8-48E5-A4F4-A1D9E7877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4803</Words>
  <Characters>27383</Characters>
  <Application>Microsoft Office Word</Application>
  <DocSecurity>0</DocSecurity>
  <Lines>228</Lines>
  <Paragraphs>64</Paragraphs>
  <ScaleCrop>false</ScaleCrop>
  <Company/>
  <LinksUpToDate>false</LinksUpToDate>
  <CharactersWithSpaces>32122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China Unicom</cp:lastModifiedBy>
  <cp:revision>4</cp:revision>
  <dcterms:created xsi:type="dcterms:W3CDTF">2022-01-21T02:31:00Z</dcterms:created>
  <dcterms:modified xsi:type="dcterms:W3CDTF">2022-01-21T05:36:00Z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2052-11.8.2.10393</vt:lpwstr>
  </property>
  <property fmtid="{D5CDD505-2E9C-101B-9397-08002B2CF9AE}" pid="4" name="CWMe3f1ad63755f4c23ac5901e9bb7bc2cd">
    <vt:lpwstr>CWM4e2a6CVKmHCXGncgtdAD0n316VqI1AO7eNlAmuOCQGJQALpmmjujdJNLPgcPqLg5Uk6RGuhNibuT3RKCzRME2Q==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1642433906</vt:lpwstr>
  </property>
</Properties>
</file>