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528D1986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1-12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0B3E697D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>Reply LS on the physical layer aspects of small data transmission</w:t>
      </w:r>
    </w:p>
    <w:p w14:paraId="23AA7A49" w14:textId="531813E3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 w:rsidRPr="00B075B0">
        <w:rPr>
          <w:rFonts w:ascii="Arial" w:hAnsi="Arial" w:cs="Arial"/>
          <w:b/>
          <w:bCs/>
          <w:sz w:val="22"/>
          <w:szCs w:val="22"/>
        </w:rPr>
        <w:t>R2-2111219</w:t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09ED6285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64C8A938" w14:textId="77777777" w:rsidR="0017101A" w:rsidRDefault="00B075B0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</w:t>
      </w:r>
      <w:r w:rsidR="00F11A5D">
        <w:rPr>
          <w:rFonts w:ascii="Arial" w:hAnsi="Arial" w:cs="Arial"/>
          <w:color w:val="000000"/>
        </w:rPr>
        <w:t xml:space="preserve">would like to thank RAN1 for the LS on the physical layer aspects of small data transmission in </w:t>
      </w:r>
      <w:r w:rsidR="00F11A5D" w:rsidRPr="00F11A5D">
        <w:rPr>
          <w:rFonts w:ascii="Arial" w:hAnsi="Arial" w:cs="Arial"/>
          <w:color w:val="000000"/>
        </w:rPr>
        <w:t>R2-2111219</w:t>
      </w:r>
      <w:r w:rsidR="00E96FEA">
        <w:rPr>
          <w:rFonts w:ascii="Arial" w:hAnsi="Arial" w:cs="Arial"/>
          <w:color w:val="000000"/>
        </w:rPr>
        <w:t xml:space="preserve">. </w:t>
      </w:r>
    </w:p>
    <w:p w14:paraId="77342987" w14:textId="77777777" w:rsidR="0017101A" w:rsidRDefault="0017101A" w:rsidP="009F6397">
      <w:pPr>
        <w:spacing w:after="0"/>
        <w:rPr>
          <w:rFonts w:ascii="Arial" w:hAnsi="Arial" w:cs="Arial"/>
          <w:color w:val="000000"/>
        </w:rPr>
      </w:pPr>
    </w:p>
    <w:p w14:paraId="183DE246" w14:textId="272A0D24" w:rsidR="00E96FEA" w:rsidRDefault="00F11A5D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has made the following agreements for SDT at RAN2#116-e. </w:t>
      </w:r>
    </w:p>
    <w:p w14:paraId="514FA7ED" w14:textId="77777777" w:rsidR="0017101A" w:rsidRDefault="0017101A" w:rsidP="009F6397">
      <w:pPr>
        <w:spacing w:after="0"/>
        <w:rPr>
          <w:rFonts w:ascii="Arial" w:hAnsi="Arial" w:cs="Arial"/>
          <w:color w:val="000000"/>
          <w:u w:val="single"/>
        </w:rPr>
      </w:pPr>
    </w:p>
    <w:p w14:paraId="1346EF14" w14:textId="128B4378" w:rsidR="0017101A" w:rsidRPr="00E17F20" w:rsidRDefault="0017101A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E17F20">
        <w:rPr>
          <w:rFonts w:ascii="Arial" w:hAnsi="Arial" w:cs="Arial"/>
          <w:b/>
          <w:bCs/>
          <w:color w:val="000000"/>
          <w:u w:val="single"/>
        </w:rPr>
        <w:t>Agreements for RA-SDT and CG-SDT</w:t>
      </w:r>
    </w:p>
    <w:p w14:paraId="33963961" w14:textId="00D9CADD" w:rsidR="00E96FEA" w:rsidRDefault="00E96FEA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6FEA" w14:paraId="65ABBB78" w14:textId="77777777" w:rsidTr="00E96FEA">
        <w:tc>
          <w:tcPr>
            <w:tcW w:w="9016" w:type="dxa"/>
          </w:tcPr>
          <w:p w14:paraId="046D06D5" w14:textId="52B6DE95" w:rsidR="00F11A5D" w:rsidRPr="00F11A5D" w:rsidRDefault="00F11A5D" w:rsidP="00F11A5D">
            <w:pPr>
              <w:pStyle w:val="Doc-text2"/>
              <w:ind w:left="363"/>
            </w:pPr>
            <w:r>
              <w:t>=&gt;</w:t>
            </w:r>
            <w:r>
              <w:tab/>
              <w:t xml:space="preserve">RAN2 changes the agreements and as a baseline we will focus on initial BWP for RA and CG SDT.  FFS if further work on CG SDT for non-initial BWP will be needed, based on RAN1 consensus. </w:t>
            </w:r>
          </w:p>
        </w:tc>
      </w:tr>
    </w:tbl>
    <w:p w14:paraId="3E483E1A" w14:textId="3AC93C31" w:rsidR="00E96FEA" w:rsidRDefault="00E96FEA" w:rsidP="009F6397">
      <w:pPr>
        <w:spacing w:after="0"/>
        <w:rPr>
          <w:rFonts w:ascii="Arial" w:hAnsi="Arial" w:cs="Arial"/>
          <w:color w:val="000000"/>
        </w:rPr>
      </w:pPr>
    </w:p>
    <w:p w14:paraId="46AE50EB" w14:textId="295E7A43" w:rsidR="00F11A5D" w:rsidRDefault="00F11A5D" w:rsidP="009F6397">
      <w:pPr>
        <w:spacing w:after="0"/>
        <w:rPr>
          <w:rFonts w:ascii="Arial" w:hAnsi="Arial" w:cs="Arial"/>
          <w:lang w:val="en-US"/>
        </w:rPr>
      </w:pPr>
      <w:r w:rsidRPr="0017101A">
        <w:rPr>
          <w:rFonts w:ascii="Arial" w:hAnsi="Arial" w:cs="Arial"/>
          <w:color w:val="000000"/>
        </w:rPr>
        <w:t xml:space="preserve">For the configuration of </w:t>
      </w:r>
      <w:r w:rsidR="00710AB9">
        <w:rPr>
          <w:rFonts w:ascii="Arial" w:hAnsi="Arial" w:cs="Arial"/>
          <w:color w:val="000000"/>
        </w:rPr>
        <w:t>CG-</w:t>
      </w:r>
      <w:r w:rsidRPr="0017101A">
        <w:rPr>
          <w:rFonts w:ascii="Arial" w:hAnsi="Arial" w:cs="Arial"/>
          <w:color w:val="000000"/>
        </w:rPr>
        <w:t xml:space="preserve">SDT resources on non-initial BWP, </w:t>
      </w:r>
      <w:commentRangeStart w:id="7"/>
      <w:r w:rsidR="0017101A" w:rsidRPr="0017101A">
        <w:rPr>
          <w:rFonts w:ascii="Arial" w:hAnsi="Arial" w:cs="Arial"/>
          <w:color w:val="000000"/>
        </w:rPr>
        <w:t>so</w:t>
      </w:r>
      <w:r w:rsidR="0017101A" w:rsidRPr="0017101A">
        <w:rPr>
          <w:rFonts w:ascii="Arial" w:hAnsi="Arial" w:cs="Arial"/>
          <w:lang w:val="en-US"/>
        </w:rPr>
        <w:t>me companies supported this as this will reduce the congestion on initial BWP, whilst others expressed concerns on the complexity and paging monitoring.</w:t>
      </w:r>
      <w:commentRangeEnd w:id="7"/>
      <w:r w:rsidR="0017101A">
        <w:rPr>
          <w:rStyle w:val="CommentReference"/>
        </w:rPr>
        <w:commentReference w:id="7"/>
      </w:r>
    </w:p>
    <w:p w14:paraId="5AB4479F" w14:textId="77777777" w:rsidR="0017101A" w:rsidRPr="0017101A" w:rsidRDefault="0017101A" w:rsidP="009F6397">
      <w:pPr>
        <w:spacing w:after="0"/>
        <w:rPr>
          <w:rFonts w:ascii="Arial" w:hAnsi="Arial" w:cs="Arial"/>
          <w:color w:val="000000"/>
        </w:rPr>
      </w:pPr>
    </w:p>
    <w:p w14:paraId="03F04282" w14:textId="5F18EE2B" w:rsidR="0017101A" w:rsidRPr="00E17F20" w:rsidRDefault="0017101A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E17F20">
        <w:rPr>
          <w:rFonts w:ascii="Arial" w:hAnsi="Arial" w:cs="Arial"/>
          <w:b/>
          <w:bCs/>
          <w:color w:val="000000"/>
          <w:u w:val="single"/>
        </w:rPr>
        <w:t>Agreements for CG-SDT</w:t>
      </w:r>
    </w:p>
    <w:p w14:paraId="5A75DD42" w14:textId="56452FF5" w:rsidR="0017101A" w:rsidRDefault="0017101A" w:rsidP="009F6397">
      <w:pPr>
        <w:spacing w:after="0"/>
        <w:rPr>
          <w:rFonts w:ascii="Arial" w:hAnsi="Arial" w:cs="Arial"/>
          <w:color w:val="000000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7101A" w14:paraId="33F4AFE8" w14:textId="77777777" w:rsidTr="0017101A">
        <w:tc>
          <w:tcPr>
            <w:tcW w:w="9021" w:type="dxa"/>
          </w:tcPr>
          <w:p w14:paraId="3FD148B5" w14:textId="77777777" w:rsidR="0017101A" w:rsidRDefault="0017101A" w:rsidP="001556EF">
            <w:pPr>
              <w:pStyle w:val="Doc-text2"/>
              <w:ind w:left="363"/>
            </w:pPr>
          </w:p>
          <w:p w14:paraId="64E86254" w14:textId="13C9CD2F" w:rsidR="0017101A" w:rsidRDefault="0017101A" w:rsidP="001556EF">
            <w:pPr>
              <w:pStyle w:val="Doc-text2"/>
              <w:ind w:left="363"/>
              <w:rPr>
                <w:b/>
                <w:bCs/>
              </w:rPr>
            </w:pPr>
            <w:r>
              <w:t>=&gt;</w:t>
            </w:r>
            <w:r>
              <w:tab/>
              <w:t>Assumption that we won’t have L1 feedback as a functionality</w:t>
            </w:r>
          </w:p>
          <w:p w14:paraId="24EEFDE7" w14:textId="77777777" w:rsidR="0017101A" w:rsidRDefault="0017101A" w:rsidP="001556EF">
            <w:pPr>
              <w:pStyle w:val="Doc-text2"/>
              <w:ind w:left="363"/>
              <w:rPr>
                <w:b/>
                <w:bCs/>
              </w:rPr>
            </w:pPr>
          </w:p>
          <w:p w14:paraId="4419A893" w14:textId="421118BE" w:rsidR="0017101A" w:rsidRPr="00E17F20" w:rsidRDefault="0017101A" w:rsidP="001556EF">
            <w:pPr>
              <w:pStyle w:val="Doc-text2"/>
              <w:ind w:left="363"/>
              <w:rPr>
                <w:b/>
                <w:bCs/>
                <w:u w:val="single"/>
              </w:rPr>
            </w:pPr>
            <w:r w:rsidRPr="00E17F20">
              <w:rPr>
                <w:b/>
                <w:bCs/>
                <w:u w:val="single"/>
              </w:rPr>
              <w:t>Agreements</w:t>
            </w:r>
          </w:p>
          <w:p w14:paraId="2764D8C2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>The Rel-16 CG configuration mechanism in licensed band is reused the baseline for CG-SDT.</w:t>
            </w:r>
          </w:p>
          <w:p w14:paraId="62DC5DA5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 xml:space="preserve">At least for initial transmission we will have a mechanism to allow the UE to transmit the message again.  FFS for retransmission for subsequent. </w:t>
            </w:r>
          </w:p>
          <w:p w14:paraId="3B01749C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 xml:space="preserve">The UE uses/selects the same HARQ process for retransmission </w:t>
            </w:r>
          </w:p>
          <w:p w14:paraId="41E34D34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7664A5">
              <w:t>The “CG-SDT timer” starts at the first “valid” PDCCH occasion from the end of the CG-SDT PUSCH transmission. The first “valid” PDCCH occasion is defined in RAN1</w:t>
            </w:r>
          </w:p>
          <w:p w14:paraId="48159723" w14:textId="77777777" w:rsidR="0017101A" w:rsidRPr="00601D96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601D96">
              <w:t>The “CG-SDT timer” can be started/restarted during for initial and subsequent transmissions</w:t>
            </w:r>
          </w:p>
          <w:p w14:paraId="7F53EBFC" w14:textId="77777777" w:rsidR="0017101A" w:rsidRPr="00892B40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892B40">
              <w:t>The UE restarts the “CG-SDT timer”</w:t>
            </w:r>
            <w:r>
              <w:t xml:space="preserve"> at least</w:t>
            </w:r>
            <w:r w:rsidRPr="00892B40">
              <w:t>:</w:t>
            </w:r>
          </w:p>
          <w:p w14:paraId="51910D52" w14:textId="77777777" w:rsidR="0017101A" w:rsidRPr="00892B40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 w:rsidRPr="00892B40">
              <w:t>upon the PUSCH retransmission indicated by the CS-RNTI PDCCH</w:t>
            </w:r>
          </w:p>
          <w:p w14:paraId="44B8D67C" w14:textId="77777777" w:rsidR="0017101A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 w:rsidRPr="00892B40">
              <w:t>after each CG-SDT transmission</w:t>
            </w:r>
          </w:p>
          <w:p w14:paraId="020928C5" w14:textId="77777777" w:rsidR="0017101A" w:rsidRDefault="0017101A" w:rsidP="001556EF">
            <w:pPr>
              <w:pStyle w:val="Doc-text2"/>
              <w:ind w:left="363"/>
            </w:pPr>
            <w:r>
              <w:t>7.</w:t>
            </w:r>
            <w:r>
              <w:tab/>
              <w:t>The “CG-SDT timer” stops at least:</w:t>
            </w:r>
          </w:p>
          <w:p w14:paraId="346DB940" w14:textId="77777777" w:rsidR="0017101A" w:rsidRPr="00892B40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>
              <w:t>When the UE receives RRC feedback messages 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RRCResume</w:t>
            </w:r>
            <w:proofErr w:type="spellEnd"/>
            <w:r>
              <w:t xml:space="preserve">, </w:t>
            </w:r>
            <w:proofErr w:type="spellStart"/>
            <w:r>
              <w:t>RRCSetup</w:t>
            </w:r>
            <w:proofErr w:type="spellEnd"/>
            <w:r>
              <w:t xml:space="preserve">, </w:t>
            </w:r>
            <w:proofErr w:type="spellStart"/>
            <w:r>
              <w:t>RRCRelease</w:t>
            </w:r>
            <w:proofErr w:type="spellEnd"/>
            <w:r>
              <w:t xml:space="preserve"> and </w:t>
            </w:r>
            <w:proofErr w:type="spellStart"/>
            <w:r>
              <w:t>RRCReject</w:t>
            </w:r>
            <w:proofErr w:type="spellEnd"/>
            <w:r>
              <w:t>)</w:t>
            </w:r>
          </w:p>
          <w:p w14:paraId="7068A21E" w14:textId="77777777" w:rsidR="0017101A" w:rsidRPr="004412A3" w:rsidRDefault="0017101A" w:rsidP="001556EF">
            <w:pPr>
              <w:pStyle w:val="Doc-text2"/>
              <w:ind w:left="363"/>
            </w:pPr>
            <w:r w:rsidRPr="004412A3">
              <w:lastRenderedPageBreak/>
              <w:t>8.</w:t>
            </w:r>
            <w:r w:rsidRPr="004412A3">
              <w:tab/>
              <w:t>The Rel-16 calculation on the HARQ process ID of the CG type-1 for licensed band is reused as the baseline for CG-SDT</w:t>
            </w:r>
          </w:p>
          <w:p w14:paraId="79204FE2" w14:textId="77777777" w:rsidR="0017101A" w:rsidRDefault="0017101A" w:rsidP="001556EF">
            <w:pPr>
              <w:pStyle w:val="Doc-text2"/>
              <w:ind w:left="363"/>
            </w:pPr>
            <w:r w:rsidRPr="004412A3">
              <w:t>9.</w:t>
            </w:r>
            <w:r w:rsidRPr="004412A3">
              <w:tab/>
              <w:t xml:space="preserve">The UE is allowed to initiate subsequent UL data transmission only after the reception of </w:t>
            </w:r>
            <w:r>
              <w:t xml:space="preserve">confirmation of initial transmission </w:t>
            </w:r>
            <w:r w:rsidRPr="004412A3">
              <w:t xml:space="preserve">from the </w:t>
            </w:r>
            <w:proofErr w:type="spellStart"/>
            <w:r w:rsidRPr="004412A3">
              <w:t>gNB</w:t>
            </w:r>
            <w:proofErr w:type="spellEnd"/>
          </w:p>
          <w:p w14:paraId="67A57C06" w14:textId="77777777" w:rsidR="0017101A" w:rsidRPr="004412A3" w:rsidRDefault="0017101A" w:rsidP="001556EF">
            <w:pPr>
              <w:pStyle w:val="Doc-text2"/>
              <w:ind w:left="363"/>
            </w:pPr>
            <w:r>
              <w:t>10.</w:t>
            </w:r>
            <w:r>
              <w:tab/>
            </w:r>
            <w:r w:rsidRPr="006C0E6A">
              <w:t>The UE can use multiple CG resources for the HARQ initial transmission as Rel-16 in the subsequent CG transmission phase</w:t>
            </w:r>
          </w:p>
          <w:p w14:paraId="5293D3CF" w14:textId="77777777" w:rsidR="0017101A" w:rsidRPr="006F5D94" w:rsidRDefault="0017101A" w:rsidP="001556EF">
            <w:pPr>
              <w:pStyle w:val="Doc-text2"/>
              <w:ind w:left="363"/>
            </w:pPr>
            <w:r>
              <w:t>11.</w:t>
            </w:r>
            <w:r>
              <w:tab/>
            </w:r>
            <w:r w:rsidRPr="006F5D94">
              <w:t>The following CG-SDT configurations are per UE:</w:t>
            </w:r>
          </w:p>
          <w:p w14:paraId="0C31A00B" w14:textId="576C3728" w:rsidR="0017101A" w:rsidRPr="006F5D94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new TA timer in RRC_INACTIVE</w:t>
            </w:r>
          </w:p>
          <w:p w14:paraId="66D5726D" w14:textId="4D95E0B1" w:rsidR="0017101A" w:rsidRPr="006F5D94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RSRP change threshold for TA validation mechanism in SDT</w:t>
            </w:r>
          </w:p>
          <w:p w14:paraId="2593B4CA" w14:textId="04D79249" w:rsidR="0017101A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SSB RSRP threshold for beam selection</w:t>
            </w:r>
          </w:p>
          <w:p w14:paraId="3634E863" w14:textId="283ED48A" w:rsidR="0017101A" w:rsidRDefault="0017101A" w:rsidP="001556EF">
            <w:pPr>
              <w:pStyle w:val="Doc-text2"/>
              <w:ind w:left="363"/>
            </w:pPr>
            <w:r w:rsidRPr="0017101A">
              <w:t>12.</w:t>
            </w:r>
            <w:r w:rsidRPr="0017101A">
              <w:tab/>
              <w:t>The R15/R16 PUSCH skipping mechanism is supported for CG-SDT</w:t>
            </w:r>
          </w:p>
          <w:p w14:paraId="2E8B6028" w14:textId="7BC36D0A" w:rsidR="0017101A" w:rsidRDefault="0017101A" w:rsidP="0017101A">
            <w:pPr>
              <w:pStyle w:val="Doc-text2"/>
              <w:ind w:left="363"/>
            </w:pPr>
            <w:r>
              <w:t>13</w:t>
            </w:r>
            <w:r w:rsidRPr="0017101A">
              <w:t>.</w:t>
            </w:r>
            <w:r w:rsidRPr="0017101A">
              <w:tab/>
              <w:t>Highest N SSBs of all SSBs actually transmitted as indicated in SIB1 is used for RSRP based TA validation</w:t>
            </w:r>
          </w:p>
        </w:tc>
      </w:tr>
    </w:tbl>
    <w:p w14:paraId="3B10715D" w14:textId="362D53AF" w:rsidR="00E96FEA" w:rsidRPr="005C0509" w:rsidRDefault="00B527D8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60BD2AB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C0509">
        <w:rPr>
          <w:rFonts w:ascii="Arial" w:hAnsi="Arial" w:cs="Arial"/>
          <w:b/>
        </w:rPr>
        <w:t>RAN1</w:t>
      </w:r>
    </w:p>
    <w:p w14:paraId="54F64918" w14:textId="3DD1AAEF" w:rsidR="009F6397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RAN1 to take the above information into account in their specification work</w:t>
      </w:r>
      <w:r w:rsidR="00C75537">
        <w:rPr>
          <w:rFonts w:ascii="Arial" w:hAnsi="Arial" w:cs="Arial"/>
        </w:rPr>
        <w:t xml:space="preserve"> and</w:t>
      </w:r>
      <w:r w:rsidR="0078620D" w:rsidRPr="0078620D">
        <w:rPr>
          <w:rFonts w:ascii="Arial" w:hAnsi="Arial" w:cs="Arial"/>
        </w:rPr>
        <w:t xml:space="preserve"> inform RAN2 if RAN1 has </w:t>
      </w:r>
      <w:r w:rsidR="00E96FEA">
        <w:rPr>
          <w:rFonts w:ascii="Arial" w:hAnsi="Arial" w:cs="Arial"/>
        </w:rPr>
        <w:t xml:space="preserve">any </w:t>
      </w:r>
      <w:r w:rsidR="00710AB9">
        <w:rPr>
          <w:rFonts w:ascii="Arial" w:hAnsi="Arial" w:cs="Arial"/>
        </w:rPr>
        <w:t>feedback</w:t>
      </w:r>
      <w:r w:rsidR="00E96FEA">
        <w:rPr>
          <w:rFonts w:ascii="Arial" w:hAnsi="Arial" w:cs="Arial"/>
        </w:rPr>
        <w:t xml:space="preserve">. </w:t>
      </w:r>
      <w:r w:rsidR="005C0509">
        <w:rPr>
          <w:rFonts w:ascii="Arial" w:hAnsi="Arial" w:cs="Arial"/>
        </w:rPr>
        <w:t xml:space="preserve">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8" w:name="OLE_LINK53"/>
      <w:bookmarkStart w:id="9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25235C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2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8"/>
    <w:bookmarkEnd w:id="9"/>
    <w:p w14:paraId="48872252" w14:textId="77777777" w:rsidR="00037249" w:rsidRDefault="0025235C"/>
    <w:sectPr w:rsidR="000372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ZTE(Eswar)" w:date="2021-11-10T05:32:00Z" w:initials="Z(EV)">
    <w:p w14:paraId="31BCA1E3" w14:textId="1022099B" w:rsidR="0017101A" w:rsidRDefault="0017101A">
      <w:pPr>
        <w:pStyle w:val="CommentText"/>
      </w:pPr>
      <w:r>
        <w:rPr>
          <w:rStyle w:val="CommentReference"/>
        </w:rPr>
        <w:annotationRef/>
      </w:r>
      <w:r>
        <w:t xml:space="preserve">Copied from </w:t>
      </w:r>
      <w:r w:rsidRPr="0017101A">
        <w:t>R2-2109222</w:t>
      </w:r>
      <w:r>
        <w:t>.</w:t>
      </w:r>
      <w:r w:rsidR="004F7818">
        <w:t xml:space="preserve"> Please discuss any delta to this…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BCA1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D7D7" w16cex:dateUtc="2021-11-10T0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BCA1E3" w16cid:durableId="2535D7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D5D0" w14:textId="77777777" w:rsidR="0025235C" w:rsidRDefault="0025235C" w:rsidP="004462E7">
      <w:pPr>
        <w:spacing w:after="0"/>
      </w:pPr>
      <w:r>
        <w:separator/>
      </w:r>
    </w:p>
  </w:endnote>
  <w:endnote w:type="continuationSeparator" w:id="0">
    <w:p w14:paraId="585760BC" w14:textId="77777777" w:rsidR="0025235C" w:rsidRDefault="0025235C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5B18" w14:textId="77777777" w:rsidR="004F7818" w:rsidRDefault="004F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5382" w14:textId="77777777" w:rsidR="004F7818" w:rsidRDefault="004F7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A7F4" w14:textId="77777777" w:rsidR="004F7818" w:rsidRDefault="004F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F47D" w14:textId="77777777" w:rsidR="0025235C" w:rsidRDefault="0025235C" w:rsidP="004462E7">
      <w:pPr>
        <w:spacing w:after="0"/>
      </w:pPr>
      <w:r>
        <w:separator/>
      </w:r>
    </w:p>
  </w:footnote>
  <w:footnote w:type="continuationSeparator" w:id="0">
    <w:p w14:paraId="55D4B64A" w14:textId="77777777" w:rsidR="0025235C" w:rsidRDefault="0025235C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1FD5" w14:textId="77777777" w:rsidR="004F7818" w:rsidRDefault="004F7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0E70" w14:textId="77777777" w:rsidR="004F7818" w:rsidRDefault="004F78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0781" w14:textId="77777777" w:rsidR="004F7818" w:rsidRDefault="004F7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Eswar)">
    <w15:presenceInfo w15:providerId="None" w15:userId="ZTE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7"/>
    <w:rsid w:val="00011021"/>
    <w:rsid w:val="00017EBE"/>
    <w:rsid w:val="00026E93"/>
    <w:rsid w:val="00047A04"/>
    <w:rsid w:val="0007674D"/>
    <w:rsid w:val="000863CC"/>
    <w:rsid w:val="000A69D0"/>
    <w:rsid w:val="000E09B9"/>
    <w:rsid w:val="000E356E"/>
    <w:rsid w:val="000E5201"/>
    <w:rsid w:val="00135BE3"/>
    <w:rsid w:val="0017101A"/>
    <w:rsid w:val="0017558A"/>
    <w:rsid w:val="0019179C"/>
    <w:rsid w:val="001A6822"/>
    <w:rsid w:val="001D0764"/>
    <w:rsid w:val="001E6AA2"/>
    <w:rsid w:val="00202876"/>
    <w:rsid w:val="00207C2B"/>
    <w:rsid w:val="0024188D"/>
    <w:rsid w:val="0025235C"/>
    <w:rsid w:val="00256C68"/>
    <w:rsid w:val="00263D39"/>
    <w:rsid w:val="00263F3E"/>
    <w:rsid w:val="00292910"/>
    <w:rsid w:val="002B5C6D"/>
    <w:rsid w:val="002D6EF3"/>
    <w:rsid w:val="002E36F7"/>
    <w:rsid w:val="002E44C1"/>
    <w:rsid w:val="003300E8"/>
    <w:rsid w:val="00332AD2"/>
    <w:rsid w:val="00334BD8"/>
    <w:rsid w:val="00336303"/>
    <w:rsid w:val="003E4623"/>
    <w:rsid w:val="00407A5A"/>
    <w:rsid w:val="004462E7"/>
    <w:rsid w:val="00446B6A"/>
    <w:rsid w:val="004522FF"/>
    <w:rsid w:val="00471E55"/>
    <w:rsid w:val="0048183D"/>
    <w:rsid w:val="004A226A"/>
    <w:rsid w:val="004A69EF"/>
    <w:rsid w:val="004B4EC4"/>
    <w:rsid w:val="004C6E45"/>
    <w:rsid w:val="004D1A17"/>
    <w:rsid w:val="004D4401"/>
    <w:rsid w:val="004D5729"/>
    <w:rsid w:val="004F7818"/>
    <w:rsid w:val="005019BE"/>
    <w:rsid w:val="00510BE4"/>
    <w:rsid w:val="005207D1"/>
    <w:rsid w:val="00544CE5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6107E2"/>
    <w:rsid w:val="00625376"/>
    <w:rsid w:val="00645930"/>
    <w:rsid w:val="00675B9F"/>
    <w:rsid w:val="00691F11"/>
    <w:rsid w:val="006A0914"/>
    <w:rsid w:val="006A7F74"/>
    <w:rsid w:val="006C2F7E"/>
    <w:rsid w:val="007058C2"/>
    <w:rsid w:val="00710AB9"/>
    <w:rsid w:val="0071500F"/>
    <w:rsid w:val="007316EB"/>
    <w:rsid w:val="00744D9B"/>
    <w:rsid w:val="00745509"/>
    <w:rsid w:val="0075679C"/>
    <w:rsid w:val="00782509"/>
    <w:rsid w:val="0078620D"/>
    <w:rsid w:val="00787694"/>
    <w:rsid w:val="007A5104"/>
    <w:rsid w:val="007B1A4B"/>
    <w:rsid w:val="007C0300"/>
    <w:rsid w:val="007D4223"/>
    <w:rsid w:val="0089754C"/>
    <w:rsid w:val="008B55F9"/>
    <w:rsid w:val="008B578F"/>
    <w:rsid w:val="0092371A"/>
    <w:rsid w:val="00977765"/>
    <w:rsid w:val="00984AF1"/>
    <w:rsid w:val="0099524F"/>
    <w:rsid w:val="00996B51"/>
    <w:rsid w:val="009D0CE7"/>
    <w:rsid w:val="009F319F"/>
    <w:rsid w:val="009F6397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B5D77"/>
    <w:rsid w:val="00AE34B3"/>
    <w:rsid w:val="00B052A5"/>
    <w:rsid w:val="00B075B0"/>
    <w:rsid w:val="00B16429"/>
    <w:rsid w:val="00B22652"/>
    <w:rsid w:val="00B26472"/>
    <w:rsid w:val="00B527D8"/>
    <w:rsid w:val="00B54ADD"/>
    <w:rsid w:val="00BA4121"/>
    <w:rsid w:val="00BC2D04"/>
    <w:rsid w:val="00BE6C2D"/>
    <w:rsid w:val="00BE6D48"/>
    <w:rsid w:val="00C11439"/>
    <w:rsid w:val="00C132E7"/>
    <w:rsid w:val="00C13F0C"/>
    <w:rsid w:val="00C41D47"/>
    <w:rsid w:val="00C46CE4"/>
    <w:rsid w:val="00C75537"/>
    <w:rsid w:val="00C9344B"/>
    <w:rsid w:val="00C97B3D"/>
    <w:rsid w:val="00CB1A57"/>
    <w:rsid w:val="00CF21A7"/>
    <w:rsid w:val="00D06466"/>
    <w:rsid w:val="00D17589"/>
    <w:rsid w:val="00D3096E"/>
    <w:rsid w:val="00D53F3D"/>
    <w:rsid w:val="00D60ACB"/>
    <w:rsid w:val="00D63A6D"/>
    <w:rsid w:val="00DB698E"/>
    <w:rsid w:val="00DF4D6D"/>
    <w:rsid w:val="00E05CBE"/>
    <w:rsid w:val="00E17F20"/>
    <w:rsid w:val="00E72A59"/>
    <w:rsid w:val="00E77687"/>
    <w:rsid w:val="00E96FEA"/>
    <w:rsid w:val="00EE1810"/>
    <w:rsid w:val="00EE2CA9"/>
    <w:rsid w:val="00F11A5D"/>
    <w:rsid w:val="00F20275"/>
    <w:rsid w:val="00F26066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Home.aspx?tbid=380&amp;SubTB=38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ZTE(Eswar)</cp:lastModifiedBy>
  <cp:revision>8</cp:revision>
  <dcterms:created xsi:type="dcterms:W3CDTF">2021-11-10T05:19:00Z</dcterms:created>
  <dcterms:modified xsi:type="dcterms:W3CDTF">2021-11-10T06:00:00Z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