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][IoT-NTN] Non continuous coverage (Mediatek)</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7A15BDA" w:rsidR="009B2A9E" w:rsidRDefault="00AC5BBD" w:rsidP="004B716A">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4B716A">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r>
              <w:rPr>
                <w:rFonts w:eastAsia="SimSun" w:cs="Arial" w:hint="eastAsia"/>
                <w:lang w:eastAsia="zh-CN"/>
              </w:rPr>
              <w:t>X</w:t>
            </w:r>
            <w:r>
              <w:rPr>
                <w:rFonts w:eastAsia="SimSun" w:cs="Arial"/>
                <w:lang w:eastAsia="zh-CN"/>
              </w:rPr>
              <w:t>iaolong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4B716A">
        <w:tc>
          <w:tcPr>
            <w:tcW w:w="3053" w:type="dxa"/>
          </w:tcPr>
          <w:p w14:paraId="1C5ED414" w14:textId="3A6B6230" w:rsidR="0089364D" w:rsidRDefault="002117E5" w:rsidP="004B716A">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4B716A">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4B716A">
            <w:pPr>
              <w:rPr>
                <w:rFonts w:eastAsia="SimSun" w:cs="Arial"/>
                <w:lang w:eastAsia="zh-CN"/>
              </w:rPr>
            </w:pPr>
            <w:r>
              <w:rPr>
                <w:rFonts w:eastAsia="SimSun" w:cs="Arial"/>
                <w:lang w:eastAsia="zh-CN"/>
              </w:rPr>
              <w:t>Ping.1.Yuan@nokia-sbell.com</w:t>
            </w:r>
          </w:p>
        </w:tc>
      </w:tr>
      <w:tr w:rsidR="008F5C3D" w14:paraId="61C62CF9" w14:textId="77777777" w:rsidTr="004B716A">
        <w:tc>
          <w:tcPr>
            <w:tcW w:w="3053" w:type="dxa"/>
          </w:tcPr>
          <w:p w14:paraId="78E9FB85" w14:textId="463A2D44" w:rsidR="008F5C3D" w:rsidRDefault="00D44ADC" w:rsidP="004B716A">
            <w:pPr>
              <w:rPr>
                <w:rFonts w:eastAsia="SimSun" w:cs="Arial"/>
                <w:lang w:eastAsia="zh-CN"/>
              </w:rPr>
            </w:pPr>
            <w:r>
              <w:rPr>
                <w:rFonts w:eastAsia="SimSun" w:cs="Arial"/>
                <w:lang w:eastAsia="zh-CN"/>
              </w:rPr>
              <w:t>Huawei, HiSilicon</w:t>
            </w:r>
          </w:p>
        </w:tc>
        <w:tc>
          <w:tcPr>
            <w:tcW w:w="3062" w:type="dxa"/>
          </w:tcPr>
          <w:p w14:paraId="43630BD6" w14:textId="40E75EE6" w:rsidR="008F5C3D" w:rsidRDefault="00D44ADC" w:rsidP="004B716A">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4B716A">
            <w:pPr>
              <w:rPr>
                <w:rFonts w:eastAsia="SimSun" w:cs="Arial"/>
                <w:lang w:eastAsia="zh-CN"/>
              </w:rPr>
            </w:pPr>
            <w:r>
              <w:rPr>
                <w:rFonts w:eastAsia="SimSun" w:cs="Arial"/>
                <w:lang w:eastAsia="zh-CN"/>
              </w:rPr>
              <w:t>odile.rollinger@huawei.com</w:t>
            </w:r>
          </w:p>
        </w:tc>
      </w:tr>
      <w:tr w:rsidR="008F5C3D" w14:paraId="6BDB18B0" w14:textId="77777777" w:rsidTr="004B716A">
        <w:tc>
          <w:tcPr>
            <w:tcW w:w="3053" w:type="dxa"/>
          </w:tcPr>
          <w:p w14:paraId="0AB8313D" w14:textId="77777777" w:rsidR="008F5C3D" w:rsidRDefault="008F5C3D" w:rsidP="004B716A">
            <w:pPr>
              <w:rPr>
                <w:rFonts w:eastAsia="SimSun" w:cs="Arial"/>
                <w:lang w:eastAsia="zh-CN"/>
              </w:rPr>
            </w:pPr>
          </w:p>
        </w:tc>
        <w:tc>
          <w:tcPr>
            <w:tcW w:w="3062" w:type="dxa"/>
          </w:tcPr>
          <w:p w14:paraId="5745B066" w14:textId="77777777" w:rsidR="008F5C3D" w:rsidRDefault="008F5C3D" w:rsidP="004B716A">
            <w:pPr>
              <w:rPr>
                <w:rFonts w:eastAsia="SimSun" w:cs="Arial"/>
                <w:lang w:eastAsia="zh-CN"/>
              </w:rPr>
            </w:pPr>
          </w:p>
        </w:tc>
        <w:tc>
          <w:tcPr>
            <w:tcW w:w="3128" w:type="dxa"/>
          </w:tcPr>
          <w:p w14:paraId="278D1E96" w14:textId="77777777" w:rsidR="008F5C3D" w:rsidRDefault="008F5C3D" w:rsidP="004B716A">
            <w:pPr>
              <w:rPr>
                <w:rFonts w:eastAsia="SimSun" w:cs="Arial"/>
                <w:lang w:eastAsia="zh-CN"/>
              </w:rPr>
            </w:pPr>
          </w:p>
        </w:tc>
      </w:tr>
      <w:tr w:rsidR="008F5C3D" w14:paraId="1E13CE4E" w14:textId="77777777" w:rsidTr="004B716A">
        <w:tc>
          <w:tcPr>
            <w:tcW w:w="3053" w:type="dxa"/>
          </w:tcPr>
          <w:p w14:paraId="4F4EFA9E" w14:textId="77777777" w:rsidR="008F5C3D" w:rsidRDefault="008F5C3D" w:rsidP="004B716A">
            <w:pPr>
              <w:rPr>
                <w:rFonts w:eastAsia="SimSun" w:cs="Arial"/>
                <w:lang w:eastAsia="zh-CN"/>
              </w:rPr>
            </w:pPr>
          </w:p>
        </w:tc>
        <w:tc>
          <w:tcPr>
            <w:tcW w:w="3062" w:type="dxa"/>
          </w:tcPr>
          <w:p w14:paraId="23F161C8" w14:textId="77777777" w:rsidR="008F5C3D" w:rsidRDefault="008F5C3D" w:rsidP="004B716A">
            <w:pPr>
              <w:rPr>
                <w:rFonts w:eastAsia="SimSun" w:cs="Arial"/>
                <w:lang w:eastAsia="zh-CN"/>
              </w:rPr>
            </w:pPr>
          </w:p>
        </w:tc>
        <w:tc>
          <w:tcPr>
            <w:tcW w:w="3128" w:type="dxa"/>
          </w:tcPr>
          <w:p w14:paraId="7E40FC16" w14:textId="77777777" w:rsidR="008F5C3D" w:rsidRDefault="008F5C3D" w:rsidP="004B716A">
            <w:pPr>
              <w:rPr>
                <w:rFonts w:eastAsia="SimSun" w:cs="Arial"/>
                <w:lang w:eastAsia="zh-CN"/>
              </w:rPr>
            </w:pPr>
          </w:p>
        </w:tc>
      </w:tr>
      <w:tr w:rsidR="008F5C3D" w14:paraId="1226F0C2" w14:textId="77777777" w:rsidTr="004B716A">
        <w:tc>
          <w:tcPr>
            <w:tcW w:w="3053" w:type="dxa"/>
          </w:tcPr>
          <w:p w14:paraId="78DE58FB" w14:textId="77777777" w:rsidR="008F5C3D" w:rsidRDefault="008F5C3D" w:rsidP="004B716A">
            <w:pPr>
              <w:rPr>
                <w:rFonts w:eastAsia="SimSun" w:cs="Arial"/>
                <w:lang w:eastAsia="zh-CN"/>
              </w:rPr>
            </w:pPr>
          </w:p>
        </w:tc>
        <w:tc>
          <w:tcPr>
            <w:tcW w:w="3062" w:type="dxa"/>
          </w:tcPr>
          <w:p w14:paraId="05087C70" w14:textId="77777777" w:rsidR="008F5C3D" w:rsidRDefault="008F5C3D" w:rsidP="004B716A">
            <w:pPr>
              <w:rPr>
                <w:rFonts w:eastAsia="SimSun" w:cs="Arial"/>
                <w:lang w:eastAsia="zh-CN"/>
              </w:rPr>
            </w:pPr>
          </w:p>
        </w:tc>
        <w:tc>
          <w:tcPr>
            <w:tcW w:w="3128" w:type="dxa"/>
          </w:tcPr>
          <w:p w14:paraId="319A93DA" w14:textId="77777777" w:rsidR="008F5C3D" w:rsidRDefault="008F5C3D" w:rsidP="004B716A">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6F3C46">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6F3C46">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 xml:space="preserve">For example, for NB-IoT, the maximum SIB and SI message size is 680 bits per 36.331. Based on RAN1 WA, the size of PV information and orbital parameters is 17 bytes and 18 bytes separately. This means one SI </w:t>
            </w:r>
            <w:r w:rsidRPr="004766B8">
              <w:rPr>
                <w:rFonts w:eastAsia="DengXian"/>
              </w:rPr>
              <w:lastRenderedPageBreak/>
              <w:t>can accommodate only  4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6F3C46">
            <w:pPr>
              <w:rPr>
                <w:lang w:eastAsia="sv-SE"/>
              </w:rPr>
            </w:pPr>
            <w:r>
              <w:rPr>
                <w:lang w:eastAsia="sv-SE"/>
              </w:rPr>
              <w:lastRenderedPageBreak/>
              <w:t>Huawei, HiSilicon</w:t>
            </w:r>
          </w:p>
        </w:tc>
        <w:tc>
          <w:tcPr>
            <w:tcW w:w="1800" w:type="dxa"/>
            <w:shd w:val="clear" w:color="auto" w:fill="auto"/>
          </w:tcPr>
          <w:p w14:paraId="1DF93300" w14:textId="5E0121AB" w:rsidR="00AA7C93" w:rsidRDefault="00D44ADC" w:rsidP="006F3C46">
            <w:pPr>
              <w:rPr>
                <w:lang w:eastAsia="sv-SE"/>
              </w:rPr>
            </w:pPr>
            <w:r>
              <w:rPr>
                <w:lang w:eastAsia="sv-SE"/>
              </w:rPr>
              <w:t>Agree with comments</w:t>
            </w:r>
          </w:p>
        </w:tc>
        <w:tc>
          <w:tcPr>
            <w:tcW w:w="6210" w:type="dxa"/>
            <w:shd w:val="clear" w:color="auto" w:fill="auto"/>
          </w:tcPr>
          <w:p w14:paraId="7C26506D" w14:textId="247956BC" w:rsidR="00AA7C93" w:rsidRDefault="00D44ADC" w:rsidP="006F3C46">
            <w:pPr>
              <w:rPr>
                <w:lang w:eastAsia="sv-SE"/>
              </w:rPr>
            </w:pPr>
            <w:r>
              <w:rPr>
                <w:lang w:eastAsia="sv-SE"/>
              </w:rPr>
              <w:t>At least information about the serving satellite and the next satellite is needed.</w:t>
            </w:r>
          </w:p>
        </w:tc>
      </w:tr>
      <w:tr w:rsidR="00AA7C93" w14:paraId="78F493BD" w14:textId="77777777" w:rsidTr="00BD5EC8">
        <w:tc>
          <w:tcPr>
            <w:tcW w:w="1705" w:type="dxa"/>
            <w:shd w:val="clear" w:color="auto" w:fill="auto"/>
          </w:tcPr>
          <w:p w14:paraId="42A1BAB4" w14:textId="77777777" w:rsidR="00AA7C93" w:rsidRDefault="00AA7C93" w:rsidP="006F3C46">
            <w:pPr>
              <w:rPr>
                <w:lang w:eastAsia="sv-SE"/>
              </w:rPr>
            </w:pPr>
          </w:p>
        </w:tc>
        <w:tc>
          <w:tcPr>
            <w:tcW w:w="1800"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BD5EC8">
        <w:tc>
          <w:tcPr>
            <w:tcW w:w="1705" w:type="dxa"/>
            <w:shd w:val="clear" w:color="auto" w:fill="auto"/>
          </w:tcPr>
          <w:p w14:paraId="59D4A2C9" w14:textId="77777777" w:rsidR="00AA7C93" w:rsidRDefault="00AA7C93" w:rsidP="006F3C46">
            <w:pPr>
              <w:rPr>
                <w:lang w:eastAsia="sv-SE"/>
              </w:rPr>
            </w:pPr>
          </w:p>
        </w:tc>
        <w:tc>
          <w:tcPr>
            <w:tcW w:w="1800"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BD5EC8">
        <w:tc>
          <w:tcPr>
            <w:tcW w:w="1705" w:type="dxa"/>
            <w:shd w:val="clear" w:color="auto" w:fill="auto"/>
          </w:tcPr>
          <w:p w14:paraId="79B129AC" w14:textId="77777777" w:rsidR="00AA7C93" w:rsidRPr="0040498B" w:rsidRDefault="00AA7C93" w:rsidP="006F3C46">
            <w:pPr>
              <w:rPr>
                <w:rFonts w:eastAsia="DengXian"/>
              </w:rPr>
            </w:pPr>
          </w:p>
        </w:tc>
        <w:tc>
          <w:tcPr>
            <w:tcW w:w="1800"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BD5EC8">
        <w:tc>
          <w:tcPr>
            <w:tcW w:w="1705" w:type="dxa"/>
            <w:shd w:val="clear" w:color="auto" w:fill="auto"/>
          </w:tcPr>
          <w:p w14:paraId="340CBD7F" w14:textId="77777777" w:rsidR="00AA7C93" w:rsidRPr="0040498B" w:rsidRDefault="00AA7C93" w:rsidP="006F3C46">
            <w:pPr>
              <w:rPr>
                <w:rFonts w:eastAsia="DengXian"/>
              </w:rPr>
            </w:pPr>
          </w:p>
        </w:tc>
        <w:tc>
          <w:tcPr>
            <w:tcW w:w="1800"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BD5EC8">
        <w:tc>
          <w:tcPr>
            <w:tcW w:w="1705" w:type="dxa"/>
            <w:shd w:val="clear" w:color="auto" w:fill="auto"/>
          </w:tcPr>
          <w:p w14:paraId="4DCA3812" w14:textId="77777777" w:rsidR="00AA7C93" w:rsidRPr="0040498B" w:rsidRDefault="00AA7C93" w:rsidP="006F3C46">
            <w:pPr>
              <w:rPr>
                <w:rFonts w:eastAsia="DengXian"/>
              </w:rPr>
            </w:pPr>
          </w:p>
        </w:tc>
        <w:tc>
          <w:tcPr>
            <w:tcW w:w="1800"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6F3C46">
            <w:pPr>
              <w:rPr>
                <w:rFonts w:eastAsia="DengXian"/>
              </w:rPr>
            </w:pPr>
          </w:p>
        </w:tc>
        <w:tc>
          <w:tcPr>
            <w:tcW w:w="1800"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6F3C46">
            <w:pPr>
              <w:rPr>
                <w:rFonts w:eastAsia="DengXian"/>
              </w:rPr>
            </w:pPr>
          </w:p>
        </w:tc>
        <w:tc>
          <w:tcPr>
            <w:tcW w:w="1800"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lastRenderedPageBreak/>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r>
              <w:rPr>
                <w:rFonts w:eastAsia="DengXian"/>
              </w:rPr>
              <w:t>Yes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6F3C46">
            <w:pPr>
              <w:rPr>
                <w:lang w:eastAsia="sv-SE"/>
              </w:rPr>
            </w:pPr>
            <w:r>
              <w:rPr>
                <w:lang w:eastAsia="sv-SE"/>
              </w:rPr>
              <w:t>Huawei, HiSilicon</w:t>
            </w:r>
          </w:p>
        </w:tc>
        <w:tc>
          <w:tcPr>
            <w:tcW w:w="1800" w:type="dxa"/>
            <w:shd w:val="clear" w:color="auto" w:fill="auto"/>
          </w:tcPr>
          <w:p w14:paraId="6D00BA3C" w14:textId="00F6DCA1" w:rsidR="00AA7C93" w:rsidRDefault="00D44ADC" w:rsidP="006F3C46">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AA7C93" w14:paraId="42946886" w14:textId="77777777" w:rsidTr="00BD5EC8">
        <w:tc>
          <w:tcPr>
            <w:tcW w:w="1705" w:type="dxa"/>
            <w:shd w:val="clear" w:color="auto" w:fill="auto"/>
          </w:tcPr>
          <w:p w14:paraId="47993DF5" w14:textId="77777777" w:rsidR="00AA7C93" w:rsidRDefault="00AA7C93" w:rsidP="006F3C46">
            <w:pPr>
              <w:rPr>
                <w:lang w:eastAsia="sv-SE"/>
              </w:rPr>
            </w:pPr>
          </w:p>
        </w:tc>
        <w:tc>
          <w:tcPr>
            <w:tcW w:w="1800"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BD5EC8">
        <w:tc>
          <w:tcPr>
            <w:tcW w:w="1705" w:type="dxa"/>
            <w:shd w:val="clear" w:color="auto" w:fill="auto"/>
          </w:tcPr>
          <w:p w14:paraId="527ABD30" w14:textId="77777777" w:rsidR="00AA7C93" w:rsidRDefault="00AA7C93" w:rsidP="006F3C46">
            <w:pPr>
              <w:rPr>
                <w:lang w:eastAsia="sv-SE"/>
              </w:rPr>
            </w:pPr>
          </w:p>
        </w:tc>
        <w:tc>
          <w:tcPr>
            <w:tcW w:w="1800"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BD5EC8">
        <w:tc>
          <w:tcPr>
            <w:tcW w:w="1705" w:type="dxa"/>
            <w:shd w:val="clear" w:color="auto" w:fill="auto"/>
          </w:tcPr>
          <w:p w14:paraId="2EFDB41F" w14:textId="77777777" w:rsidR="00AA7C93" w:rsidRPr="0040498B" w:rsidRDefault="00AA7C93" w:rsidP="006F3C46">
            <w:pPr>
              <w:rPr>
                <w:rFonts w:eastAsia="DengXian"/>
              </w:rPr>
            </w:pPr>
          </w:p>
        </w:tc>
        <w:tc>
          <w:tcPr>
            <w:tcW w:w="1800"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BD5EC8">
        <w:tc>
          <w:tcPr>
            <w:tcW w:w="1705" w:type="dxa"/>
            <w:shd w:val="clear" w:color="auto" w:fill="auto"/>
          </w:tcPr>
          <w:p w14:paraId="5EC0AA13" w14:textId="77777777" w:rsidR="00AA7C93" w:rsidRPr="0040498B" w:rsidRDefault="00AA7C93" w:rsidP="006F3C46">
            <w:pPr>
              <w:rPr>
                <w:rFonts w:eastAsia="DengXian"/>
              </w:rPr>
            </w:pPr>
          </w:p>
        </w:tc>
        <w:tc>
          <w:tcPr>
            <w:tcW w:w="1800"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BD5EC8">
        <w:tc>
          <w:tcPr>
            <w:tcW w:w="1705" w:type="dxa"/>
            <w:shd w:val="clear" w:color="auto" w:fill="auto"/>
          </w:tcPr>
          <w:p w14:paraId="3FE21700" w14:textId="77777777" w:rsidR="00AA7C93" w:rsidRPr="0040498B" w:rsidRDefault="00AA7C93" w:rsidP="006F3C46">
            <w:pPr>
              <w:rPr>
                <w:rFonts w:eastAsia="DengXian"/>
              </w:rPr>
            </w:pPr>
          </w:p>
        </w:tc>
        <w:tc>
          <w:tcPr>
            <w:tcW w:w="1800"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6F3C46">
            <w:pPr>
              <w:rPr>
                <w:rFonts w:eastAsia="DengXian"/>
              </w:rPr>
            </w:pPr>
          </w:p>
        </w:tc>
        <w:tc>
          <w:tcPr>
            <w:tcW w:w="1800"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6F3C46">
            <w:pPr>
              <w:rPr>
                <w:rFonts w:eastAsia="DengXian"/>
              </w:rPr>
            </w:pPr>
          </w:p>
        </w:tc>
        <w:tc>
          <w:tcPr>
            <w:tcW w:w="1800"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563182" w14:paraId="55C1883C" w14:textId="77777777" w:rsidTr="006F3C46">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6F3C46">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6F3C46">
        <w:tc>
          <w:tcPr>
            <w:tcW w:w="1496" w:type="dxa"/>
            <w:shd w:val="clear" w:color="auto" w:fill="auto"/>
          </w:tcPr>
          <w:p w14:paraId="0EBA0D5C" w14:textId="51060316" w:rsidR="00FE3F5F" w:rsidRDefault="00FE3F5F" w:rsidP="00FE3F5F">
            <w:pPr>
              <w:rPr>
                <w:lang w:eastAsia="sv-SE"/>
              </w:rPr>
            </w:pPr>
            <w:r>
              <w:rPr>
                <w:rFonts w:eastAsia="DengXian"/>
              </w:rPr>
              <w:lastRenderedPageBreak/>
              <w:t>Nokia</w:t>
            </w:r>
          </w:p>
        </w:tc>
        <w:tc>
          <w:tcPr>
            <w:tcW w:w="2009" w:type="dxa"/>
            <w:shd w:val="clear" w:color="auto" w:fill="auto"/>
          </w:tcPr>
          <w:p w14:paraId="129F46C2" w14:textId="6B463799" w:rsidR="00FE3F5F" w:rsidRDefault="00FE3F5F" w:rsidP="00FE3F5F">
            <w:pPr>
              <w:rPr>
                <w:lang w:eastAsia="sv-SE"/>
              </w:rPr>
            </w:pPr>
            <w:r>
              <w:rPr>
                <w:rFonts w:eastAsia="DengXian"/>
              </w:rPr>
              <w:t xml:space="preserve">Yes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Huawei HiSilicon</w:t>
            </w:r>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r>
              <w:rPr>
                <w:rFonts w:eastAsia="DengXian"/>
              </w:rPr>
              <w:t>Y</w:t>
            </w:r>
            <w:r>
              <w:rPr>
                <w:rFonts w:eastAsia="DengXian"/>
              </w:rPr>
              <w:t>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We</w:t>
            </w:r>
            <w:r>
              <w:rPr>
                <w:rFonts w:eastAsia="DengXian"/>
              </w:rPr>
              <w:t xml:space="preserve"> still</w:t>
            </w:r>
            <w:r>
              <w:rPr>
                <w:rFonts w:eastAsia="DengXian"/>
              </w:rPr>
              <w:t xml:space="preserve"> need to clarify the UE behaviour when in no coverage, i.e. stop all usual AS idle mode functions (can be very simple, similar to PSM description). </w:t>
            </w: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DengXian"/>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DengXian"/>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DengXian"/>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DengXian"/>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DengXian"/>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63182" w14:paraId="29776610" w14:textId="77777777" w:rsidTr="006F3C46">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lastRenderedPageBreak/>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time period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6F3C46">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can CN</w:t>
            </w:r>
            <w:r>
              <w:rPr>
                <w:rFonts w:eastAsia="DengXian"/>
                <w:lang w:eastAsia="zh-CN"/>
              </w:rPr>
              <w:t xml:space="preserve"> </w:t>
            </w:r>
            <w:r w:rsidR="008F5C4E">
              <w:rPr>
                <w:rFonts w:eastAsia="DengXian"/>
                <w:lang w:eastAsia="zh-CN"/>
              </w:rPr>
              <w:t>will not</w:t>
            </w:r>
            <w:r>
              <w:rPr>
                <w:rFonts w:eastAsia="DengXian"/>
                <w:lang w:eastAsia="zh-CN"/>
              </w:rPr>
              <w:t xml:space="preserve"> page UE when UE in the non-continuous coverage. </w:t>
            </w:r>
          </w:p>
        </w:tc>
      </w:tr>
      <w:tr w:rsidR="00D70B71" w14:paraId="39E18941" w14:textId="77777777" w:rsidTr="006F3C46">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w.r.t.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6F3C46">
        <w:tc>
          <w:tcPr>
            <w:tcW w:w="1496" w:type="dxa"/>
            <w:shd w:val="clear" w:color="auto" w:fill="auto"/>
          </w:tcPr>
          <w:p w14:paraId="1C5B477A" w14:textId="31F3C495" w:rsidR="00521B94" w:rsidRDefault="00D44ADC" w:rsidP="00D44ADC">
            <w:pPr>
              <w:rPr>
                <w:lang w:eastAsia="sv-SE"/>
              </w:rPr>
            </w:pPr>
            <w:r>
              <w:rPr>
                <w:lang w:eastAsia="sv-SE"/>
              </w:rPr>
              <w:t>Huawei, HiSilicon</w:t>
            </w:r>
          </w:p>
        </w:tc>
        <w:tc>
          <w:tcPr>
            <w:tcW w:w="2009" w:type="dxa"/>
            <w:shd w:val="clear" w:color="auto" w:fill="auto"/>
          </w:tcPr>
          <w:p w14:paraId="74D1C405" w14:textId="6FC955AD" w:rsidR="00521B94" w:rsidRDefault="00D44ADC" w:rsidP="006F3C46">
            <w:pPr>
              <w:rPr>
                <w:lang w:eastAsia="sv-SE"/>
              </w:rPr>
            </w:pPr>
            <w:r>
              <w:rPr>
                <w:lang w:eastAsia="sv-SE"/>
              </w:rPr>
              <w:t>No</w:t>
            </w:r>
          </w:p>
        </w:tc>
        <w:tc>
          <w:tcPr>
            <w:tcW w:w="6210" w:type="dxa"/>
            <w:shd w:val="clear" w:color="auto" w:fill="auto"/>
          </w:tcPr>
          <w:p w14:paraId="2E59F691" w14:textId="19E8CDFA" w:rsidR="00521B94" w:rsidRDefault="00D44ADC" w:rsidP="006F3C46">
            <w:pPr>
              <w:rPr>
                <w:lang w:eastAsia="sv-SE"/>
              </w:rPr>
            </w:pPr>
            <w:r>
              <w:rPr>
                <w:lang w:eastAsia="sv-SE"/>
              </w:rPr>
              <w:t>Paging aspects should be discussed in SA2</w:t>
            </w: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DengXian"/>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DengXian"/>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DengXian"/>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DengXian"/>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DengXian"/>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DRX, PSM, eDRX,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rom RAN2 point of view, the existing power saving mechanisms e.g. DRX, PSM, eDRX,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1548C17A" w:rsidR="003F0303" w:rsidRPr="0040498B" w:rsidRDefault="00563182" w:rsidP="006F3C46">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6F3C46">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lastRenderedPageBreak/>
              <w:t xml:space="preserve">To use relaxed monitoring it is required that less than 24 hours have passed since measurements for cell reselection were last performed and the UE has performed intra-frequency or inter-frequency measurements for at least </w:t>
            </w:r>
            <w:r w:rsidRPr="00417EBB">
              <w:rPr>
                <w:lang w:eastAsia="ja-JP"/>
              </w:rPr>
              <w:t>T</w:t>
            </w:r>
            <w:r w:rsidRPr="00417EBB">
              <w:rPr>
                <w:vertAlign w:val="subscript"/>
                <w:lang w:eastAsia="ja-JP"/>
              </w:rPr>
              <w:t>SearchDeltaP</w:t>
            </w:r>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(S</w:t>
            </w:r>
            <w:r w:rsidRPr="00417EBB">
              <w:rPr>
                <w:vertAlign w:val="subscript"/>
                <w:lang w:eastAsia="ja-JP"/>
              </w:rPr>
              <w:t>SearchDeltaP</w:t>
            </w:r>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r w:rsidRPr="00417EBB">
              <w:rPr>
                <w:lang w:eastAsia="ja-JP"/>
              </w:rPr>
              <w:t>T</w:t>
            </w:r>
            <w:r w:rsidRPr="00417EBB">
              <w:rPr>
                <w:vertAlign w:val="subscript"/>
                <w:lang w:eastAsia="ja-JP"/>
              </w:rPr>
              <w:t>SearchDeltaP</w:t>
            </w:r>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{0~31}*{2s,1min,10min} i.e. 0s~310min. And the duration of PSM is restricted by periodic TAU timer T3412 (as GPRS timer 3) with value range {0~31}*{2s,30s,1min,10min,1h,10h,320h(extended)}.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6F3C46">
        <w:tc>
          <w:tcPr>
            <w:tcW w:w="1496" w:type="dxa"/>
            <w:shd w:val="clear" w:color="auto" w:fill="auto"/>
          </w:tcPr>
          <w:p w14:paraId="7F348C07" w14:textId="08E50E78" w:rsidR="008F5C4E" w:rsidRDefault="008F5C4E" w:rsidP="008F5C4E">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r>
              <w:rPr>
                <w:rFonts w:eastAsia="DengXian" w:hint="eastAsia"/>
                <w:lang w:eastAsia="zh-CN"/>
              </w:rPr>
              <w:t>eDRX</w:t>
            </w:r>
            <w:r>
              <w:rPr>
                <w:rFonts w:eastAsia="DengXian"/>
                <w:lang w:eastAsia="zh-CN"/>
              </w:rPr>
              <w:t xml:space="preserve"> configuration based on the UE prediction of the non-continuous coverage and then the CN will provide the proper PSM/eDRX configuration, and the configuration could match the non-continuous coverage.  </w:t>
            </w:r>
          </w:p>
        </w:tc>
      </w:tr>
      <w:tr w:rsidR="00163BC3" w14:paraId="05C81977" w14:textId="77777777" w:rsidTr="006F3C46">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r>
              <w:rPr>
                <w:rFonts w:eastAsia="DengXian"/>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eDRX need to be discussed. (e.g. to save UE’s power, NW should align the eDRX/PSM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6F3C46">
        <w:tc>
          <w:tcPr>
            <w:tcW w:w="1496" w:type="dxa"/>
            <w:shd w:val="clear" w:color="auto" w:fill="auto"/>
          </w:tcPr>
          <w:p w14:paraId="68858C3F" w14:textId="1332BAAD" w:rsidR="003F0303" w:rsidRDefault="00D44ADC" w:rsidP="006F3C46">
            <w:pPr>
              <w:rPr>
                <w:lang w:eastAsia="sv-SE"/>
              </w:rPr>
            </w:pPr>
            <w:r>
              <w:rPr>
                <w:lang w:eastAsia="sv-SE"/>
              </w:rPr>
              <w:t>Huawei, HiSilicon</w:t>
            </w:r>
          </w:p>
        </w:tc>
        <w:tc>
          <w:tcPr>
            <w:tcW w:w="2009" w:type="dxa"/>
            <w:shd w:val="clear" w:color="auto" w:fill="auto"/>
          </w:tcPr>
          <w:p w14:paraId="6662388F" w14:textId="1C3043EF" w:rsidR="003F0303" w:rsidRDefault="00D44ADC" w:rsidP="006F3C46">
            <w:pPr>
              <w:rPr>
                <w:lang w:eastAsia="sv-SE"/>
              </w:rPr>
            </w:pPr>
            <w:r>
              <w:rPr>
                <w:lang w:eastAsia="sv-SE"/>
              </w:rPr>
              <w:t>Yes with comments</w:t>
            </w:r>
          </w:p>
        </w:tc>
        <w:tc>
          <w:tcPr>
            <w:tcW w:w="6210" w:type="dxa"/>
            <w:shd w:val="clear" w:color="auto" w:fill="auto"/>
          </w:tcPr>
          <w:p w14:paraId="6120A076" w14:textId="6451AC8B" w:rsidR="003F0303" w:rsidRDefault="00D44ADC" w:rsidP="006F3C46">
            <w:pPr>
              <w:rPr>
                <w:lang w:eastAsia="sv-SE"/>
              </w:rPr>
            </w:pPr>
            <w:r>
              <w:rPr>
                <w:rFonts w:eastAsia="DengXian"/>
              </w:rPr>
              <w:t>We agree that we do not need enhancements to DRX, PSM, eDRX, relaxed monitoring, and WUS features. But we still need to specify the behaviour of the UE in discontinuous coverage, i.e. stop all these functions.</w:t>
            </w: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DengXian"/>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DengXian"/>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DengXian"/>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DengXian"/>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DengXian"/>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responses from the comp</w:t>
      </w:r>
      <w:bookmarkStart w:id="2" w:name="_GoBack"/>
      <w:bookmarkEnd w:id="2"/>
      <w:r w:rsidR="009957C0">
        <w:rPr>
          <w:rFonts w:ascii="Arial" w:eastAsia="Arial" w:hAnsi="Arial" w:cs="Arial"/>
          <w:b/>
          <w:color w:val="000000"/>
          <w:highlight w:val="yellow"/>
        </w:rPr>
        <w:t xml:space="preserve">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ChairmanNotes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36"/>
      <w:r w:rsidRPr="00D163AC">
        <w:rPr>
          <w:rFonts w:eastAsia="Times New Roman"/>
          <w:color w:val="000000"/>
          <w:sz w:val="22"/>
          <w:szCs w:val="22"/>
        </w:rPr>
        <w:t>R2-2109504 Discussion on discontinuous coverage for IoT over NTN OPPO</w:t>
      </w:r>
      <w:bookmarkEnd w:id="3"/>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1"/>
      <w:r w:rsidRPr="00D163AC">
        <w:rPr>
          <w:rFonts w:eastAsia="Times New Roman"/>
          <w:color w:val="000000"/>
          <w:sz w:val="22"/>
          <w:szCs w:val="22"/>
        </w:rPr>
        <w:t>R2-2109640 Discussion on remaining issues on non-continuous coverage Intel Corporation</w:t>
      </w:r>
      <w:bookmarkEnd w:id="4"/>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4"/>
      <w:r w:rsidRPr="00D163AC">
        <w:rPr>
          <w:rFonts w:eastAsia="Times New Roman"/>
          <w:color w:val="000000"/>
          <w:sz w:val="22"/>
          <w:szCs w:val="22"/>
        </w:rPr>
        <w:t>R2-2109702 Discussion on the support of discontinuous coverage for IoT  NTN CATT</w:t>
      </w:r>
      <w:bookmarkEnd w:id="5"/>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7"/>
      <w:r w:rsidRPr="00D163AC">
        <w:rPr>
          <w:rFonts w:eastAsia="Times New Roman"/>
          <w:color w:val="000000"/>
          <w:sz w:val="22"/>
          <w:szCs w:val="22"/>
        </w:rPr>
        <w:t>R2-2109821 Contents and delivery options for Satellite Assistance Information for NTN Gatehouse, Sat.</w:t>
      </w:r>
      <w:bookmarkEnd w:id="6"/>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0"/>
      <w:r w:rsidRPr="00D163AC">
        <w:rPr>
          <w:rFonts w:eastAsia="Times New Roman"/>
          <w:color w:val="000000"/>
          <w:sz w:val="22"/>
          <w:szCs w:val="22"/>
        </w:rPr>
        <w:t>R2-2109965 Satellite visit time for non-continuous coverage Qualcomm Incorporated</w:t>
      </w:r>
      <w:bookmarkEnd w:id="7"/>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4"/>
      <w:r w:rsidRPr="00D163AC">
        <w:rPr>
          <w:rFonts w:eastAsia="Times New Roman"/>
          <w:color w:val="000000"/>
          <w:sz w:val="22"/>
          <w:szCs w:val="22"/>
        </w:rPr>
        <w:t>R2-2110071 Support of discontinuous coverage Apple</w:t>
      </w:r>
      <w:bookmarkEnd w:id="8"/>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7"/>
      <w:r w:rsidRPr="00D163AC">
        <w:rPr>
          <w:rFonts w:eastAsia="Times New Roman"/>
          <w:color w:val="000000"/>
          <w:sz w:val="22"/>
          <w:szCs w:val="22"/>
        </w:rPr>
        <w:t>R2-2110114 Remaining FFSs on discontinuous coverage in IoT NTN ZTE Corporation, Sanechips</w:t>
      </w:r>
      <w:bookmarkEnd w:id="9"/>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973"/>
      <w:r w:rsidRPr="00D163AC">
        <w:rPr>
          <w:rFonts w:eastAsia="Times New Roman"/>
          <w:color w:val="000000"/>
          <w:sz w:val="22"/>
          <w:szCs w:val="22"/>
        </w:rPr>
        <w:t>R2-2110130 Discussion on the issue of non-continuous coverage Spreadtrum Communications</w:t>
      </w:r>
      <w:bookmarkEnd w:id="10"/>
      <w:r w:rsidRPr="00D163AC">
        <w:rPr>
          <w:rFonts w:eastAsia="Times New Roman"/>
          <w:color w:val="000000"/>
          <w:sz w:val="22"/>
          <w:szCs w:val="22"/>
        </w:rPr>
        <w:t xml:space="preserve"> </w:t>
      </w:r>
    </w:p>
    <w:p w14:paraId="02FF75B6" w14:textId="0B4F8C25" w:rsidR="00D163AC" w:rsidRPr="00D163AC" w:rsidRDefault="00D163AC" w:rsidP="00EB303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0"/>
      <w:r w:rsidRPr="00D163AC">
        <w:rPr>
          <w:rFonts w:eastAsia="Times New Roman"/>
          <w:color w:val="000000"/>
          <w:sz w:val="22"/>
          <w:szCs w:val="22"/>
        </w:rPr>
        <w:t>R2-2110262 Discussion on support of Non continuous coverage CMCC</w:t>
      </w:r>
      <w:bookmarkEnd w:id="11"/>
      <w:r w:rsidRPr="00D163AC">
        <w:rPr>
          <w:rFonts w:eastAsia="Times New Roman"/>
          <w:color w:val="000000"/>
          <w:sz w:val="22"/>
          <w:szCs w:val="22"/>
        </w:rPr>
        <w:t xml:space="preserve"> </w:t>
      </w:r>
    </w:p>
    <w:p w14:paraId="51EEF5AF" w14:textId="4564CF1E" w:rsidR="00D163AC" w:rsidRPr="00D163AC" w:rsidRDefault="00D163AC" w:rsidP="00082CE5">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3"/>
      <w:r w:rsidRPr="00D163AC">
        <w:rPr>
          <w:rFonts w:eastAsia="Times New Roman"/>
          <w:color w:val="000000"/>
          <w:sz w:val="22"/>
          <w:szCs w:val="22"/>
        </w:rPr>
        <w:t>R2-2110313 Assistance information for NTN discontinuous coverage Lenovo, Motorola Mobility</w:t>
      </w:r>
      <w:bookmarkEnd w:id="12"/>
      <w:r w:rsidRPr="00D163AC">
        <w:rPr>
          <w:rFonts w:eastAsia="Times New Roman"/>
          <w:color w:val="000000"/>
          <w:sz w:val="22"/>
          <w:szCs w:val="22"/>
        </w:rPr>
        <w:t xml:space="preserve"> </w:t>
      </w:r>
    </w:p>
    <w:p w14:paraId="73F676A3" w14:textId="5D6E3C12" w:rsidR="00D163AC" w:rsidRPr="00D163AC" w:rsidRDefault="00D163AC" w:rsidP="0070457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lastRenderedPageBreak/>
        <w:t xml:space="preserve"> </w:t>
      </w:r>
      <w:bookmarkStart w:id="13" w:name="_Ref86765280"/>
      <w:r w:rsidRPr="00D163AC">
        <w:rPr>
          <w:rFonts w:eastAsia="Times New Roman"/>
          <w:color w:val="000000"/>
          <w:sz w:val="22"/>
          <w:szCs w:val="22"/>
        </w:rPr>
        <w:t>R2-2110314 Enhancement for idle UE power saving in discontinuous coverage Lenovo, Mot. Mobility</w:t>
      </w:r>
      <w:bookmarkEnd w:id="13"/>
      <w:r w:rsidRPr="00D163AC">
        <w:rPr>
          <w:rFonts w:eastAsia="Times New Roman"/>
          <w:color w:val="000000"/>
          <w:sz w:val="22"/>
          <w:szCs w:val="22"/>
        </w:rPr>
        <w:t xml:space="preserve"> </w:t>
      </w:r>
    </w:p>
    <w:p w14:paraId="165CF83A" w14:textId="5F33FBA6" w:rsidR="00D163AC" w:rsidRPr="00D163AC" w:rsidRDefault="00D163AC" w:rsidP="00A55EA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7A4E34">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871"/>
      <w:r w:rsidRPr="00D163AC">
        <w:rPr>
          <w:rFonts w:eastAsia="Times New Roman"/>
          <w:color w:val="000000"/>
          <w:sz w:val="22"/>
          <w:szCs w:val="22"/>
        </w:rPr>
        <w:t>R2-2110544 Power Saving in Discontinuous Coverage for NB IoT NTN Rakuten Mobile, Inc</w:t>
      </w:r>
      <w:bookmarkEnd w:id="14"/>
      <w:r w:rsidRPr="00D163AC">
        <w:rPr>
          <w:rFonts w:eastAsia="Times New Roman"/>
          <w:color w:val="000000"/>
          <w:sz w:val="22"/>
          <w:szCs w:val="22"/>
        </w:rPr>
        <w:t xml:space="preserve"> </w:t>
      </w:r>
    </w:p>
    <w:p w14:paraId="1A4DABB8" w14:textId="62FA1FD1" w:rsidR="00D163AC" w:rsidRPr="00D163AC" w:rsidRDefault="00D163AC" w:rsidP="006275F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5"/>
      <w:r w:rsidRPr="00D163AC">
        <w:rPr>
          <w:rFonts w:eastAsia="Times New Roman"/>
          <w:color w:val="000000"/>
          <w:sz w:val="22"/>
          <w:szCs w:val="22"/>
        </w:rPr>
        <w:t xml:space="preserve"> </w:t>
      </w:r>
    </w:p>
    <w:p w14:paraId="06E5A621" w14:textId="4072D2E1" w:rsidR="00D163AC" w:rsidRPr="00D163AC" w:rsidRDefault="00D163AC" w:rsidP="00955361">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77"/>
      <w:r w:rsidRPr="00D163AC">
        <w:rPr>
          <w:rFonts w:eastAsia="Times New Roman"/>
          <w:color w:val="000000"/>
          <w:sz w:val="22"/>
          <w:szCs w:val="22"/>
        </w:rPr>
        <w:t>R2-2110705 On aspects of discontinuous coverage in IoT NTN Nokia, Nokia Shanghai Bell</w:t>
      </w:r>
      <w:bookmarkEnd w:id="16"/>
      <w:r w:rsidRPr="00D163AC">
        <w:rPr>
          <w:rFonts w:eastAsia="Times New Roman"/>
          <w:color w:val="000000"/>
          <w:sz w:val="22"/>
          <w:szCs w:val="22"/>
        </w:rPr>
        <w:t xml:space="preserve"> </w:t>
      </w:r>
    </w:p>
    <w:p w14:paraId="06053DBA" w14:textId="128A2DC0" w:rsidR="00D163AC" w:rsidRPr="00D163AC" w:rsidRDefault="00D163AC" w:rsidP="009A1DA7">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0"/>
      <w:r w:rsidRPr="00D163AC">
        <w:rPr>
          <w:rFonts w:eastAsia="Times New Roman"/>
          <w:color w:val="000000"/>
          <w:sz w:val="22"/>
          <w:szCs w:val="22"/>
        </w:rPr>
        <w:t>R2-2110834 Discontinuous coverage in IoT NTN Ericsson</w:t>
      </w:r>
      <w:bookmarkEnd w:id="17"/>
      <w:r w:rsidRPr="00D163AC">
        <w:rPr>
          <w:rFonts w:eastAsia="Times New Roman"/>
          <w:color w:val="000000"/>
          <w:sz w:val="22"/>
          <w:szCs w:val="22"/>
        </w:rPr>
        <w:t xml:space="preserve"> </w:t>
      </w:r>
    </w:p>
    <w:p w14:paraId="1B9B54D3" w14:textId="250359A6" w:rsidR="00D163AC" w:rsidRPr="00D163AC" w:rsidRDefault="00D163AC" w:rsidP="00BC55DA">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3"/>
      <w:r w:rsidRPr="00D163AC">
        <w:rPr>
          <w:rFonts w:eastAsia="Times New Roman"/>
          <w:color w:val="000000"/>
          <w:sz w:val="22"/>
          <w:szCs w:val="22"/>
        </w:rPr>
        <w:t>R2-2110922 On Discontinuous coverage in IoT-NTN MediaTek Inc.</w:t>
      </w:r>
      <w:bookmarkEnd w:id="18"/>
      <w:r w:rsidRPr="00D163AC">
        <w:rPr>
          <w:rFonts w:eastAsia="Times New Roman"/>
          <w:color w:val="000000"/>
          <w:sz w:val="22"/>
          <w:szCs w:val="22"/>
        </w:rPr>
        <w:t xml:space="preserve"> </w:t>
      </w:r>
    </w:p>
    <w:p w14:paraId="47CDA103" w14:textId="764B660D" w:rsidR="00D163AC" w:rsidRPr="00D163AC" w:rsidRDefault="00D163AC" w:rsidP="003038F0">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4"/>
      <w:r w:rsidRPr="00D163AC">
        <w:rPr>
          <w:rFonts w:eastAsia="Times New Roman"/>
          <w:color w:val="000000"/>
          <w:sz w:val="22"/>
          <w:szCs w:val="22"/>
        </w:rPr>
        <w:t>R2-2110977 Discussion on non continuous coverage Huawei, HiSilicon</w:t>
      </w:r>
      <w:bookmarkEnd w:id="19"/>
      <w:r w:rsidRPr="00D163AC">
        <w:rPr>
          <w:rFonts w:eastAsia="Times New Roman"/>
          <w:color w:val="000000"/>
          <w:sz w:val="22"/>
          <w:szCs w:val="22"/>
        </w:rPr>
        <w:t xml:space="preserve"> </w:t>
      </w:r>
    </w:p>
    <w:p w14:paraId="4C301DB1" w14:textId="4B8C7081" w:rsidR="00D163AC" w:rsidRPr="00D163AC" w:rsidRDefault="00D163AC" w:rsidP="00D6108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986"/>
      <w:r w:rsidRPr="00D163AC">
        <w:rPr>
          <w:rFonts w:eastAsia="Times New Roman"/>
          <w:color w:val="000000"/>
          <w:sz w:val="22"/>
          <w:szCs w:val="22"/>
        </w:rPr>
        <w:t>R2-2111112 Discussion on discontinuous coverage Xiaomi</w:t>
      </w:r>
      <w:bookmarkEnd w:id="20"/>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B1F4D" w14:textId="77777777" w:rsidR="00002D59" w:rsidRDefault="00002D59" w:rsidP="00617813">
      <w:pPr>
        <w:spacing w:after="0"/>
      </w:pPr>
      <w:r>
        <w:separator/>
      </w:r>
    </w:p>
  </w:endnote>
  <w:endnote w:type="continuationSeparator" w:id="0">
    <w:p w14:paraId="60A88D73" w14:textId="77777777" w:rsidR="00002D59" w:rsidRDefault="00002D5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663D3" w14:textId="77777777" w:rsidR="00002D59" w:rsidRDefault="00002D59" w:rsidP="00617813">
      <w:pPr>
        <w:spacing w:after="0"/>
      </w:pPr>
      <w:r>
        <w:separator/>
      </w:r>
    </w:p>
  </w:footnote>
  <w:footnote w:type="continuationSeparator" w:id="0">
    <w:p w14:paraId="735DFC4E" w14:textId="77777777" w:rsidR="00002D59" w:rsidRDefault="00002D59"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25AC6"/>
    <w:rsid w:val="00030783"/>
    <w:rsid w:val="000442B2"/>
    <w:rsid w:val="00057254"/>
    <w:rsid w:val="00064A98"/>
    <w:rsid w:val="00066A82"/>
    <w:rsid w:val="000674B6"/>
    <w:rsid w:val="00085A16"/>
    <w:rsid w:val="000974A1"/>
    <w:rsid w:val="000A4CFC"/>
    <w:rsid w:val="000D2CBC"/>
    <w:rsid w:val="000E1728"/>
    <w:rsid w:val="000F7174"/>
    <w:rsid w:val="0013565D"/>
    <w:rsid w:val="00136920"/>
    <w:rsid w:val="00147B59"/>
    <w:rsid w:val="00163BC3"/>
    <w:rsid w:val="00170333"/>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DF3"/>
    <w:rsid w:val="003B5A90"/>
    <w:rsid w:val="003B6829"/>
    <w:rsid w:val="003D1649"/>
    <w:rsid w:val="003D5565"/>
    <w:rsid w:val="003E09BE"/>
    <w:rsid w:val="003F0303"/>
    <w:rsid w:val="003F705D"/>
    <w:rsid w:val="00420748"/>
    <w:rsid w:val="00421560"/>
    <w:rsid w:val="00434CE2"/>
    <w:rsid w:val="00440C99"/>
    <w:rsid w:val="00452AC8"/>
    <w:rsid w:val="00477052"/>
    <w:rsid w:val="00477C9D"/>
    <w:rsid w:val="00481913"/>
    <w:rsid w:val="0048687B"/>
    <w:rsid w:val="0049607E"/>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E72F6"/>
    <w:rsid w:val="006E7532"/>
    <w:rsid w:val="006F0D4B"/>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747B"/>
    <w:rsid w:val="009F4C36"/>
    <w:rsid w:val="009F6638"/>
    <w:rsid w:val="00A054D8"/>
    <w:rsid w:val="00A05FA4"/>
    <w:rsid w:val="00A161D5"/>
    <w:rsid w:val="00A32626"/>
    <w:rsid w:val="00A360F6"/>
    <w:rsid w:val="00A41371"/>
    <w:rsid w:val="00A63DB1"/>
    <w:rsid w:val="00A747D8"/>
    <w:rsid w:val="00A82517"/>
    <w:rsid w:val="00A82748"/>
    <w:rsid w:val="00AA6A4F"/>
    <w:rsid w:val="00AA7C93"/>
    <w:rsid w:val="00AC1F68"/>
    <w:rsid w:val="00AC4ABE"/>
    <w:rsid w:val="00AC5BBD"/>
    <w:rsid w:val="00AC6DC9"/>
    <w:rsid w:val="00AF067F"/>
    <w:rsid w:val="00B3322C"/>
    <w:rsid w:val="00B33541"/>
    <w:rsid w:val="00B33602"/>
    <w:rsid w:val="00B351BD"/>
    <w:rsid w:val="00B40D52"/>
    <w:rsid w:val="00B4160E"/>
    <w:rsid w:val="00B5364A"/>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F0F77"/>
    <w:rsid w:val="00EF6B64"/>
    <w:rsid w:val="00F01FC5"/>
    <w:rsid w:val="00F075EE"/>
    <w:rsid w:val="00F1051E"/>
    <w:rsid w:val="00F12193"/>
    <w:rsid w:val="00F212BD"/>
    <w:rsid w:val="00F251C6"/>
    <w:rsid w:val="00F43A98"/>
    <w:rsid w:val="00F6599B"/>
    <w:rsid w:val="00F7728D"/>
    <w:rsid w:val="00F8208B"/>
    <w:rsid w:val="00F84A6F"/>
    <w:rsid w:val="00F9209A"/>
    <w:rsid w:val="00F92DA7"/>
    <w:rsid w:val="00F93AEC"/>
    <w:rsid w:val="00F96226"/>
    <w:rsid w:val="00F97816"/>
    <w:rsid w:val="00FB30FC"/>
    <w:rsid w:val="00FB5CAA"/>
    <w:rsid w:val="00FC647B"/>
    <w:rsid w:val="00FC7C6F"/>
    <w:rsid w:val="00FD0208"/>
    <w:rsid w:val="00FD2512"/>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145CDC-1D5F-45E2-865F-B082ED66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2711</Words>
  <Characters>15458</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Huawei</cp:lastModifiedBy>
  <cp:revision>3</cp:revision>
  <dcterms:created xsi:type="dcterms:W3CDTF">2021-11-04T12:10:00Z</dcterms:created>
  <dcterms:modified xsi:type="dcterms:W3CDTF">2021-11-04T12:20:00Z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