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0E19E" w14:textId="2C06290D" w:rsidR="009F6397" w:rsidRPr="00DA0457" w:rsidRDefault="009F6397" w:rsidP="009F6397">
      <w:pPr>
        <w:tabs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3GPP TSG RAN WG</w:t>
      </w:r>
      <w:r>
        <w:rPr>
          <w:rFonts w:ascii="Arial" w:hAnsi="Arial" w:cs="Arial"/>
          <w:b/>
          <w:sz w:val="22"/>
          <w:szCs w:val="22"/>
        </w:rPr>
        <w:t>2</w:t>
      </w:r>
      <w:r w:rsidRPr="00DA0457">
        <w:rPr>
          <w:rFonts w:ascii="Arial" w:hAnsi="Arial" w:cs="Arial"/>
          <w:b/>
          <w:sz w:val="22"/>
          <w:szCs w:val="22"/>
        </w:rPr>
        <w:t xml:space="preserve"> #1</w:t>
      </w:r>
      <w:r>
        <w:rPr>
          <w:rFonts w:ascii="Arial" w:hAnsi="Arial" w:cs="Arial"/>
          <w:b/>
          <w:sz w:val="22"/>
          <w:szCs w:val="22"/>
        </w:rPr>
        <w:t>1</w:t>
      </w:r>
      <w:r w:rsidR="00E96FEA">
        <w:rPr>
          <w:rFonts w:ascii="Arial" w:hAnsi="Arial" w:cs="Arial"/>
          <w:b/>
          <w:sz w:val="22"/>
          <w:szCs w:val="22"/>
        </w:rPr>
        <w:t>6</w:t>
      </w:r>
      <w:r w:rsidRPr="00DA0457">
        <w:rPr>
          <w:rFonts w:ascii="Arial" w:hAnsi="Arial" w:cs="Arial"/>
          <w:b/>
          <w:sz w:val="22"/>
          <w:szCs w:val="22"/>
        </w:rPr>
        <w:t>-e</w:t>
      </w:r>
      <w:r w:rsidRPr="00DA0457">
        <w:rPr>
          <w:rFonts w:ascii="Arial" w:hAnsi="Arial" w:cs="Arial"/>
          <w:b/>
          <w:sz w:val="22"/>
          <w:szCs w:val="22"/>
        </w:rPr>
        <w:tab/>
      </w:r>
      <w:r w:rsidR="00BA4121" w:rsidRPr="00BA4121">
        <w:rPr>
          <w:rFonts w:ascii="Arial" w:hAnsi="Arial" w:cs="Arial"/>
          <w:b/>
          <w:sz w:val="22"/>
          <w:szCs w:val="22"/>
        </w:rPr>
        <w:t>R2-2110576</w:t>
      </w:r>
    </w:p>
    <w:p w14:paraId="20AC1B67" w14:textId="528D1986" w:rsidR="009F6397" w:rsidRPr="00DA0457" w:rsidRDefault="009F6397" w:rsidP="009F6397">
      <w:pPr>
        <w:tabs>
          <w:tab w:val="left" w:pos="3421"/>
        </w:tabs>
        <w:spacing w:after="0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 xml:space="preserve">e-Meeting, </w:t>
      </w:r>
      <w:r w:rsidR="00E96FEA">
        <w:rPr>
          <w:rFonts w:ascii="Arial" w:hAnsi="Arial" w:cs="Arial"/>
          <w:b/>
          <w:sz w:val="22"/>
          <w:szCs w:val="22"/>
        </w:rPr>
        <w:t>1-12 N</w:t>
      </w:r>
      <w:r w:rsidR="00BA4121">
        <w:rPr>
          <w:rFonts w:ascii="Arial" w:hAnsi="Arial" w:cs="Arial"/>
          <w:b/>
          <w:sz w:val="22"/>
          <w:szCs w:val="22"/>
        </w:rPr>
        <w:t>o</w:t>
      </w:r>
      <w:r w:rsidR="00E96FEA">
        <w:rPr>
          <w:rFonts w:ascii="Arial" w:hAnsi="Arial" w:cs="Arial"/>
          <w:b/>
          <w:sz w:val="22"/>
          <w:szCs w:val="22"/>
        </w:rPr>
        <w:t>v</w:t>
      </w:r>
      <w:r w:rsidRPr="00DA0457">
        <w:rPr>
          <w:rFonts w:ascii="Arial" w:hAnsi="Arial" w:cs="Arial"/>
          <w:b/>
          <w:sz w:val="22"/>
          <w:szCs w:val="22"/>
        </w:rPr>
        <w:t>, 2021</w:t>
      </w:r>
    </w:p>
    <w:p w14:paraId="05A41052" w14:textId="77777777" w:rsidR="009F6397" w:rsidRPr="00F61B46" w:rsidRDefault="009F6397" w:rsidP="009F6397">
      <w:pPr>
        <w:rPr>
          <w:rFonts w:ascii="Arial" w:hAnsi="Arial" w:cs="Arial"/>
        </w:rPr>
      </w:pPr>
    </w:p>
    <w:p w14:paraId="0212BB5C" w14:textId="0B3E697D" w:rsidR="009F6397" w:rsidRPr="00496FA7" w:rsidRDefault="009F6397" w:rsidP="009F6397"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96FEA">
        <w:rPr>
          <w:rFonts w:ascii="Arial" w:hAnsi="Arial" w:cs="Arial"/>
          <w:b/>
          <w:sz w:val="22"/>
          <w:szCs w:val="22"/>
        </w:rPr>
        <w:t xml:space="preserve">[DRAFT] </w:t>
      </w:r>
      <w:r w:rsidR="00E96FEA" w:rsidRPr="00E96FEA">
        <w:rPr>
          <w:rFonts w:ascii="Arial" w:hAnsi="Arial" w:cs="Arial"/>
          <w:b/>
          <w:sz w:val="22"/>
          <w:szCs w:val="22"/>
        </w:rPr>
        <w:t>Reply LS on the physical layer aspects of small data transmission</w:t>
      </w:r>
    </w:p>
    <w:p w14:paraId="23AA7A49" w14:textId="36093546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121">
        <w:rPr>
          <w:rFonts w:ascii="Arial" w:hAnsi="Arial" w:cs="Arial"/>
          <w:b/>
          <w:bCs/>
          <w:sz w:val="22"/>
          <w:szCs w:val="22"/>
        </w:rPr>
        <w:t>TBD</w:t>
      </w:r>
    </w:p>
    <w:p w14:paraId="5E220F66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5BB59478" w14:textId="1784BC69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F6397">
        <w:rPr>
          <w:rFonts w:ascii="Arial" w:hAnsi="Arial" w:cs="Arial"/>
          <w:b/>
          <w:bCs/>
          <w:sz w:val="22"/>
          <w:szCs w:val="22"/>
        </w:rPr>
        <w:t>NR_SmallData_INACTIVE-Core</w:t>
      </w:r>
    </w:p>
    <w:p w14:paraId="600DA652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B272C1" w14:textId="4C1F249C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96FEA">
        <w:rPr>
          <w:rFonts w:ascii="Arial" w:hAnsi="Arial" w:cs="Arial"/>
          <w:b/>
          <w:sz w:val="22"/>
          <w:szCs w:val="22"/>
        </w:rPr>
        <w:t xml:space="preserve">to be </w:t>
      </w:r>
      <w:r w:rsidRPr="00DF4D6D">
        <w:rPr>
          <w:rFonts w:ascii="Arial" w:hAnsi="Arial" w:cs="Arial"/>
          <w:b/>
          <w:bCs/>
          <w:sz w:val="22"/>
          <w:szCs w:val="22"/>
        </w:rPr>
        <w:t>RAN2</w:t>
      </w:r>
    </w:p>
    <w:p w14:paraId="06E91D39" w14:textId="09ED6285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RAN1</w:t>
      </w:r>
    </w:p>
    <w:p w14:paraId="3812D5A5" w14:textId="72E938CB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59AEEC9" w14:textId="77777777" w:rsidR="009F6397" w:rsidRDefault="009F6397" w:rsidP="009F6397">
      <w:pPr>
        <w:spacing w:after="60"/>
        <w:ind w:left="1985" w:hanging="1985"/>
        <w:rPr>
          <w:rFonts w:ascii="Arial" w:hAnsi="Arial" w:cs="Arial"/>
          <w:bCs/>
        </w:rPr>
      </w:pPr>
    </w:p>
    <w:p w14:paraId="63C778AC" w14:textId="211959E0" w:rsidR="009F6397" w:rsidRPr="000417A4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6FEA">
        <w:rPr>
          <w:rFonts w:ascii="Arial" w:hAnsi="Arial" w:cs="Arial"/>
          <w:b/>
          <w:bCs/>
          <w:sz w:val="22"/>
          <w:szCs w:val="22"/>
        </w:rPr>
        <w:t>xxx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66D4EA6" w14:textId="51AB3B4B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r w:rsidR="00E96FEA">
        <w:rPr>
          <w:rFonts w:ascii="Arial" w:hAnsi="Arial" w:cs="Arial"/>
          <w:b/>
          <w:sz w:val="22"/>
          <w:szCs w:val="22"/>
        </w:rPr>
        <w:t>xxx</w:t>
      </w:r>
    </w:p>
    <w:p w14:paraId="5A6F3349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70F5075" w14:textId="77777777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18E89A6" w14:textId="77777777" w:rsidR="009F6397" w:rsidRDefault="009F6397" w:rsidP="009F6397">
      <w:pPr>
        <w:pStyle w:val="Heading1"/>
      </w:pPr>
      <w:r>
        <w:t>1</w:t>
      </w:r>
      <w:r>
        <w:tab/>
        <w:t>Overall description</w:t>
      </w:r>
    </w:p>
    <w:p w14:paraId="183DE246" w14:textId="182737D9" w:rsidR="00E96FEA" w:rsidRDefault="00E96FEA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RAN2 has noted the agreements made by RAN1 for SDT and made the following changes to the SDT framework as a result. </w:t>
      </w:r>
    </w:p>
    <w:p w14:paraId="33963961" w14:textId="00D9CADD" w:rsidR="00E96FEA" w:rsidRDefault="00E96FEA" w:rsidP="009F6397">
      <w:pPr>
        <w:spacing w:after="0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96FEA" w14:paraId="65ABBB78" w14:textId="77777777" w:rsidTr="00E96FEA">
        <w:tc>
          <w:tcPr>
            <w:tcW w:w="9016" w:type="dxa"/>
          </w:tcPr>
          <w:p w14:paraId="799F88D8" w14:textId="77777777" w:rsidR="00BA4121" w:rsidRDefault="00BA4121" w:rsidP="00BA4121">
            <w:pPr>
              <w:widowControl w:val="0"/>
              <w:snapToGrid w:val="0"/>
              <w:spacing w:line="264" w:lineRule="auto"/>
              <w:jc w:val="both"/>
              <w:rPr>
                <w:u w:val="single"/>
                <w:lang w:val="en-US"/>
              </w:rPr>
            </w:pPr>
            <w:r>
              <w:rPr>
                <w:rFonts w:hint="eastAsia"/>
                <w:u w:val="single"/>
                <w:lang w:val="en-US"/>
              </w:rPr>
              <w:t>L1 feedback</w:t>
            </w:r>
          </w:p>
          <w:p w14:paraId="7851C505" w14:textId="77777777" w:rsidR="00BA4121" w:rsidRDefault="00BA4121" w:rsidP="00BA4121">
            <w:pPr>
              <w:widowControl w:val="0"/>
              <w:numPr>
                <w:ilvl w:val="0"/>
                <w:numId w:val="12"/>
              </w:numPr>
              <w:overflowPunct/>
              <w:snapToGrid w:val="0"/>
              <w:spacing w:after="160" w:line="264" w:lineRule="auto"/>
              <w:jc w:val="both"/>
              <w:textAlignment w:val="auto"/>
              <w:rPr>
                <w:lang w:val="en-US"/>
              </w:rPr>
            </w:pPr>
            <w:r>
              <w:rPr>
                <w:lang w:val="en-US"/>
              </w:rPr>
              <w:t>It is RAN1’s common understanding that dynamic grant based retransmission has already been supported.</w:t>
            </w:r>
          </w:p>
          <w:p w14:paraId="046D06D5" w14:textId="3A0A89F7" w:rsidR="00E96FEA" w:rsidRPr="00BA4121" w:rsidRDefault="00BA4121" w:rsidP="00BA4121">
            <w:pPr>
              <w:widowControl w:val="0"/>
              <w:numPr>
                <w:ilvl w:val="0"/>
                <w:numId w:val="12"/>
              </w:numPr>
              <w:overflowPunct/>
              <w:snapToGrid w:val="0"/>
              <w:spacing w:after="160" w:line="264" w:lineRule="auto"/>
              <w:jc w:val="both"/>
              <w:textAlignment w:val="auto"/>
              <w:rPr>
                <w:u w:val="single"/>
                <w:lang w:val="en-US"/>
              </w:rPr>
            </w:pPr>
            <w:r>
              <w:rPr>
                <w:lang w:val="en-US"/>
              </w:rPr>
              <w:t>RAN1 cannot reach consensus on reusing CG-DFI mechanism for CG-SDT for operation in licensed band. </w:t>
            </w:r>
          </w:p>
        </w:tc>
      </w:tr>
    </w:tbl>
    <w:p w14:paraId="3E483E1A" w14:textId="3AC93C31" w:rsidR="00E96FEA" w:rsidRDefault="00E96FEA" w:rsidP="009F6397">
      <w:pPr>
        <w:spacing w:after="0"/>
        <w:rPr>
          <w:rFonts w:ascii="Arial" w:hAnsi="Arial" w:cs="Arial"/>
          <w:color w:val="000000"/>
        </w:rPr>
      </w:pPr>
    </w:p>
    <w:p w14:paraId="5516F7B8" w14:textId="1E0A9DA4" w:rsidR="00E96FEA" w:rsidRDefault="00B527D8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Based on the above reply for L1 feedback, </w:t>
      </w:r>
      <w:r w:rsidR="00E96FEA">
        <w:rPr>
          <w:rFonts w:ascii="Arial" w:hAnsi="Arial" w:cs="Arial"/>
          <w:color w:val="000000"/>
        </w:rPr>
        <w:t>RAN2 assumes that there will be no L1 feedback for CG</w:t>
      </w:r>
      <w:r w:rsidR="00BA4121">
        <w:rPr>
          <w:rFonts w:ascii="Arial" w:hAnsi="Arial" w:cs="Arial"/>
          <w:color w:val="000000"/>
        </w:rPr>
        <w:t>-SDT</w:t>
      </w:r>
      <w:r w:rsidR="00E96FEA">
        <w:rPr>
          <w:rFonts w:ascii="Arial" w:hAnsi="Arial" w:cs="Arial"/>
          <w:color w:val="000000"/>
        </w:rPr>
        <w:t xml:space="preserve"> transmissions. It is RAN2 understanding then that autonomous retransmission for subsequent data packets over CG resource is not possible. Thus, RAN2 assumes that subsequent transmission during SDT will be performed over dynamic grants. </w:t>
      </w:r>
    </w:p>
    <w:p w14:paraId="747B4112" w14:textId="77777777" w:rsidR="00BA4121" w:rsidRDefault="00BA4121" w:rsidP="009F6397">
      <w:pPr>
        <w:spacing w:after="0"/>
        <w:rPr>
          <w:rFonts w:ascii="Arial" w:hAnsi="Arial" w:cs="Arial"/>
          <w:color w:val="000000"/>
        </w:rPr>
      </w:pPr>
    </w:p>
    <w:p w14:paraId="1E2B1387" w14:textId="7598DE0F" w:rsidR="00E96FEA" w:rsidRDefault="00E96FEA" w:rsidP="009F6397">
      <w:pPr>
        <w:spacing w:after="0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96FEA" w14:paraId="5318D3BC" w14:textId="77777777" w:rsidTr="00E96FEA">
        <w:tc>
          <w:tcPr>
            <w:tcW w:w="9016" w:type="dxa"/>
          </w:tcPr>
          <w:p w14:paraId="548F0F55" w14:textId="77777777" w:rsidR="00BA4121" w:rsidRDefault="00BA4121" w:rsidP="00BA4121">
            <w:pPr>
              <w:widowControl w:val="0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Q4: Do RAN1 have any concerns to support RA-SDT on the non-initial BWP? </w:t>
            </w:r>
          </w:p>
          <w:p w14:paraId="0F4C042D" w14:textId="77777777" w:rsidR="00BA4121" w:rsidRDefault="00BA4121" w:rsidP="00BA4121">
            <w:pPr>
              <w:widowControl w:val="0"/>
              <w:spacing w:after="0"/>
            </w:pPr>
            <w:r>
              <w:rPr>
                <w:color w:val="000000"/>
              </w:rPr>
              <w:t xml:space="preserve">NOTE: It has already been agreed in RAN2 that </w:t>
            </w:r>
            <w:r>
              <w:rPr>
                <w:i/>
                <w:iCs/>
              </w:rPr>
              <w:t>CG-SDT resource can be configured on either initial BWP or separate SDT BWP</w:t>
            </w:r>
            <w:r>
              <w:t>, if confirmed by RAN1.</w:t>
            </w:r>
          </w:p>
          <w:p w14:paraId="7248F315" w14:textId="77777777" w:rsidR="00BA4121" w:rsidRDefault="00BA4121" w:rsidP="00BA4121">
            <w:pPr>
              <w:widowControl w:val="0"/>
              <w:spacing w:after="0"/>
            </w:pPr>
          </w:p>
          <w:p w14:paraId="73A26A6E" w14:textId="77777777" w:rsidR="00BA4121" w:rsidRDefault="00BA4121" w:rsidP="00BA4121">
            <w:pPr>
              <w:widowControl w:val="0"/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A4:</w:t>
            </w:r>
          </w:p>
          <w:p w14:paraId="38D9FD44" w14:textId="77777777" w:rsidR="00BA4121" w:rsidRDefault="00BA4121" w:rsidP="00BA4121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  <w:r>
              <w:rPr>
                <w:rFonts w:hint="eastAsia"/>
                <w:lang w:val="en-US"/>
              </w:rPr>
              <w:t>It</w:t>
            </w:r>
            <w:r>
              <w:rPr>
                <w:lang w:val="en-US"/>
              </w:rPr>
              <w:t>’</w:t>
            </w:r>
            <w:r>
              <w:rPr>
                <w:rFonts w:hint="eastAsia"/>
                <w:lang w:val="en-US"/>
              </w:rPr>
              <w:t>s RAN1</w:t>
            </w:r>
            <w:r>
              <w:rPr>
                <w:lang w:val="en-US"/>
              </w:rPr>
              <w:t>’</w:t>
            </w:r>
            <w:r>
              <w:rPr>
                <w:rFonts w:hint="eastAsia"/>
                <w:lang w:val="en-US"/>
              </w:rPr>
              <w:t xml:space="preserve">s common understanding that </w:t>
            </w:r>
            <w:r>
              <w:rPr>
                <w:rFonts w:hint="eastAsia"/>
              </w:rPr>
              <w:t>RA-SDT resource cannot be configured on non-initial BWP.</w:t>
            </w:r>
          </w:p>
          <w:p w14:paraId="340C334D" w14:textId="63690F01" w:rsidR="00E96FEA" w:rsidRPr="00E96FEA" w:rsidRDefault="00BA4121" w:rsidP="00BA4121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  <w:r>
              <w:rPr>
                <w:rFonts w:hint="eastAsia"/>
              </w:rPr>
              <w:t xml:space="preserve">RAN1 cannot reach a consensus on whether to confirm RAN2 agreement </w:t>
            </w:r>
            <w:r>
              <w:rPr>
                <w:rFonts w:hint="eastAsia"/>
                <w:iCs/>
              </w:rPr>
              <w:t xml:space="preserve">that </w:t>
            </w:r>
            <w:r>
              <w:rPr>
                <w:iCs/>
              </w:rPr>
              <w:t>CG-SDT resource can be configured on separate SDT BWP</w:t>
            </w:r>
            <w:r>
              <w:rPr>
                <w:rFonts w:hint="eastAsia"/>
                <w:iCs/>
                <w:lang w:val="en-US"/>
              </w:rPr>
              <w:t xml:space="preserve"> with the concern on necessity</w:t>
            </w:r>
            <w:r>
              <w:rPr>
                <w:iCs/>
              </w:rPr>
              <w:t>.</w:t>
            </w:r>
          </w:p>
        </w:tc>
      </w:tr>
    </w:tbl>
    <w:p w14:paraId="048BD240" w14:textId="77777777" w:rsidR="00E96FEA" w:rsidRDefault="00E96FEA" w:rsidP="009F6397">
      <w:pPr>
        <w:spacing w:after="0"/>
        <w:rPr>
          <w:rFonts w:ascii="Arial" w:hAnsi="Arial" w:cs="Arial"/>
          <w:color w:val="000000"/>
        </w:rPr>
      </w:pPr>
    </w:p>
    <w:p w14:paraId="3B10715D" w14:textId="123CAA88" w:rsidR="00E96FEA" w:rsidRPr="005C0509" w:rsidRDefault="00E96FEA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Based on the above feedback</w:t>
      </w:r>
      <w:r w:rsidR="00B527D8">
        <w:rPr>
          <w:rFonts w:ascii="Arial" w:hAnsi="Arial" w:cs="Arial"/>
          <w:color w:val="000000"/>
        </w:rPr>
        <w:t xml:space="preserve"> for BWP configuration</w:t>
      </w:r>
      <w:r>
        <w:rPr>
          <w:rFonts w:ascii="Arial" w:hAnsi="Arial" w:cs="Arial"/>
          <w:color w:val="000000"/>
        </w:rPr>
        <w:t xml:space="preserve">, RAN2 assumes that </w:t>
      </w:r>
      <w:r w:rsidR="00B527D8">
        <w:rPr>
          <w:rFonts w:ascii="Arial" w:hAnsi="Arial" w:cs="Arial"/>
          <w:color w:val="000000"/>
        </w:rPr>
        <w:t xml:space="preserve">both CG-SDT and RA-SDT can only use the initial BWP. RAN2 will proceed to define the overall signalling framework based on the above assumption. </w:t>
      </w:r>
    </w:p>
    <w:p w14:paraId="20A51473" w14:textId="77777777" w:rsidR="009F6397" w:rsidRDefault="009F6397" w:rsidP="009F6397">
      <w:pPr>
        <w:pStyle w:val="Heading1"/>
      </w:pPr>
      <w:r>
        <w:lastRenderedPageBreak/>
        <w:t>2</w:t>
      </w:r>
      <w:r>
        <w:tab/>
        <w:t>Actions</w:t>
      </w:r>
    </w:p>
    <w:p w14:paraId="780E3AE5" w14:textId="60BD2AB5" w:rsidR="009F6397" w:rsidRPr="001E661A" w:rsidRDefault="009F6397" w:rsidP="009F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C0509">
        <w:rPr>
          <w:rFonts w:ascii="Arial" w:hAnsi="Arial" w:cs="Arial"/>
          <w:b/>
        </w:rPr>
        <w:t>RAN1</w:t>
      </w:r>
    </w:p>
    <w:p w14:paraId="54F64918" w14:textId="3FFC6E24" w:rsidR="009F6397" w:rsidRDefault="009F6397" w:rsidP="009F6397">
      <w:pPr>
        <w:spacing w:after="120"/>
        <w:ind w:left="993" w:hanging="993"/>
        <w:rPr>
          <w:rFonts w:ascii="Arial" w:hAnsi="Arial" w:cs="Arial"/>
        </w:rPr>
      </w:pPr>
      <w:r w:rsidRPr="001E661A">
        <w:rPr>
          <w:rFonts w:ascii="Arial" w:hAnsi="Arial" w:cs="Arial"/>
          <w:b/>
        </w:rPr>
        <w:t xml:space="preserve">ACTION: </w:t>
      </w:r>
      <w:r w:rsidRPr="001E661A">
        <w:rPr>
          <w:rFonts w:ascii="Arial" w:hAnsi="Arial" w:cs="Arial"/>
          <w:b/>
        </w:rPr>
        <w:tab/>
      </w:r>
      <w:r w:rsidR="005C0509">
        <w:rPr>
          <w:rFonts w:ascii="Arial" w:hAnsi="Arial" w:cs="Arial"/>
        </w:rPr>
        <w:t>RAN2 respectfully asks RAN1 to take the above information into account in their specification work</w:t>
      </w:r>
      <w:r w:rsidR="00C75537">
        <w:rPr>
          <w:rFonts w:ascii="Arial" w:hAnsi="Arial" w:cs="Arial"/>
        </w:rPr>
        <w:t xml:space="preserve"> and</w:t>
      </w:r>
      <w:r w:rsidR="0078620D" w:rsidRPr="0078620D">
        <w:rPr>
          <w:rFonts w:ascii="Arial" w:hAnsi="Arial" w:cs="Arial"/>
        </w:rPr>
        <w:t xml:space="preserve"> inform RAN2 if RAN1 has </w:t>
      </w:r>
      <w:r w:rsidR="00E96FEA">
        <w:rPr>
          <w:rFonts w:ascii="Arial" w:hAnsi="Arial" w:cs="Arial"/>
        </w:rPr>
        <w:t xml:space="preserve">any further considerations for the agreements above. </w:t>
      </w:r>
      <w:r w:rsidR="005C0509">
        <w:rPr>
          <w:rFonts w:ascii="Arial" w:hAnsi="Arial" w:cs="Arial"/>
        </w:rPr>
        <w:t xml:space="preserve"> </w:t>
      </w:r>
    </w:p>
    <w:p w14:paraId="075EF8C3" w14:textId="51ABB949" w:rsidR="009F6397" w:rsidRDefault="009F6397" w:rsidP="009F639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="005C0509">
        <w:rPr>
          <w:rFonts w:cs="Arial"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</w:p>
    <w:p w14:paraId="3D7188FE" w14:textId="3CE14536" w:rsidR="005C0509" w:rsidRDefault="005C0509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bookmarkStart w:id="7" w:name="OLE_LINK53"/>
      <w:bookmarkStart w:id="8" w:name="OLE_LINK54"/>
      <w:r>
        <w:rPr>
          <w:rFonts w:ascii="Arial" w:hAnsi="Arial" w:cs="Arial"/>
          <w:bCs/>
          <w:color w:val="000000"/>
        </w:rPr>
        <w:t xml:space="preserve">The dates of the next RAN2 meetings can be found at the following link: </w:t>
      </w:r>
    </w:p>
    <w:p w14:paraId="2011CCA4" w14:textId="57250188" w:rsidR="009F6397" w:rsidRDefault="007D4223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hyperlink r:id="rId8" w:anchor="/" w:history="1">
        <w:r w:rsidR="005C0509" w:rsidRPr="00ED08F5">
          <w:rPr>
            <w:rStyle w:val="Hyperlink"/>
            <w:rFonts w:ascii="Arial" w:hAnsi="Arial" w:cs="Arial"/>
            <w:bCs/>
          </w:rPr>
          <w:t>https://portal.3gpp.org/Home.aspx?tbid=380&amp;SubTB=380#/</w:t>
        </w:r>
      </w:hyperlink>
    </w:p>
    <w:p w14:paraId="26A904A9" w14:textId="77777777" w:rsidR="005C0509" w:rsidRDefault="005C0509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</w:p>
    <w:bookmarkEnd w:id="7"/>
    <w:bookmarkEnd w:id="8"/>
    <w:p w14:paraId="48872252" w14:textId="77777777" w:rsidR="00037249" w:rsidRDefault="007D4223"/>
    <w:sectPr w:rsidR="000372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EFC39" w14:textId="77777777" w:rsidR="007D4223" w:rsidRDefault="007D4223" w:rsidP="004462E7">
      <w:pPr>
        <w:spacing w:after="0"/>
      </w:pPr>
      <w:r>
        <w:separator/>
      </w:r>
    </w:p>
  </w:endnote>
  <w:endnote w:type="continuationSeparator" w:id="0">
    <w:p w14:paraId="58DC7E15" w14:textId="77777777" w:rsidR="007D4223" w:rsidRDefault="007D4223" w:rsidP="004462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E5E3A" w14:textId="77777777" w:rsidR="00BA4121" w:rsidRDefault="00BA41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97B94" w14:textId="77777777" w:rsidR="00BA4121" w:rsidRDefault="00BA41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01D4" w14:textId="77777777" w:rsidR="00BA4121" w:rsidRDefault="00BA41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B3843" w14:textId="77777777" w:rsidR="007D4223" w:rsidRDefault="007D4223" w:rsidP="004462E7">
      <w:pPr>
        <w:spacing w:after="0"/>
      </w:pPr>
      <w:r>
        <w:separator/>
      </w:r>
    </w:p>
  </w:footnote>
  <w:footnote w:type="continuationSeparator" w:id="0">
    <w:p w14:paraId="40939730" w14:textId="77777777" w:rsidR="007D4223" w:rsidRDefault="007D4223" w:rsidP="004462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2091" w14:textId="77777777" w:rsidR="00BA4121" w:rsidRDefault="00BA41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A5DA1" w14:textId="77777777" w:rsidR="00BA4121" w:rsidRDefault="00BA41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9C039" w14:textId="77777777" w:rsidR="00BA4121" w:rsidRDefault="00BA41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BBC207"/>
    <w:multiLevelType w:val="multilevel"/>
    <w:tmpl w:val="C8BBC2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3DA"/>
    <w:multiLevelType w:val="hybridMultilevel"/>
    <w:tmpl w:val="FFD890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170E1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DAD1457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F44760B"/>
    <w:multiLevelType w:val="hybridMultilevel"/>
    <w:tmpl w:val="2C0C4CD4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2594429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0D8BE"/>
    <w:multiLevelType w:val="multilevel"/>
    <w:tmpl w:val="3820D8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9012C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5816E4"/>
    <w:multiLevelType w:val="hybridMultilevel"/>
    <w:tmpl w:val="B61CC388"/>
    <w:lvl w:ilvl="0" w:tplc="3B1AE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528AE0"/>
    <w:multiLevelType w:val="multilevel"/>
    <w:tmpl w:val="7D528A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8"/>
  </w:num>
  <w:num w:numId="6">
    <w:abstractNumId w:val="4"/>
  </w:num>
  <w:num w:numId="7">
    <w:abstractNumId w:val="3"/>
  </w:num>
  <w:num w:numId="8">
    <w:abstractNumId w:val="2"/>
  </w:num>
  <w:num w:numId="9">
    <w:abstractNumId w:val="12"/>
  </w:num>
  <w:num w:numId="10">
    <w:abstractNumId w:val="9"/>
  </w:num>
  <w:num w:numId="11">
    <w:abstractNumId w:val="1"/>
  </w:num>
  <w:num w:numId="12">
    <w:abstractNumId w:val="0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397"/>
    <w:rsid w:val="00011021"/>
    <w:rsid w:val="00017EBE"/>
    <w:rsid w:val="00026E93"/>
    <w:rsid w:val="00047A04"/>
    <w:rsid w:val="0007674D"/>
    <w:rsid w:val="000863CC"/>
    <w:rsid w:val="000A69D0"/>
    <w:rsid w:val="000E09B9"/>
    <w:rsid w:val="000E356E"/>
    <w:rsid w:val="000E5201"/>
    <w:rsid w:val="00135BE3"/>
    <w:rsid w:val="0017558A"/>
    <w:rsid w:val="0019179C"/>
    <w:rsid w:val="001A6822"/>
    <w:rsid w:val="001D0764"/>
    <w:rsid w:val="001E6AA2"/>
    <w:rsid w:val="00202876"/>
    <w:rsid w:val="00207C2B"/>
    <w:rsid w:val="0024188D"/>
    <w:rsid w:val="00256C68"/>
    <w:rsid w:val="00263D39"/>
    <w:rsid w:val="00263F3E"/>
    <w:rsid w:val="00292910"/>
    <w:rsid w:val="002B5C6D"/>
    <w:rsid w:val="002D6EF3"/>
    <w:rsid w:val="002E36F7"/>
    <w:rsid w:val="002E44C1"/>
    <w:rsid w:val="003300E8"/>
    <w:rsid w:val="00332AD2"/>
    <w:rsid w:val="00334BD8"/>
    <w:rsid w:val="00336303"/>
    <w:rsid w:val="003E4623"/>
    <w:rsid w:val="00407A5A"/>
    <w:rsid w:val="004462E7"/>
    <w:rsid w:val="00446B6A"/>
    <w:rsid w:val="004522FF"/>
    <w:rsid w:val="00471E55"/>
    <w:rsid w:val="0048183D"/>
    <w:rsid w:val="004A226A"/>
    <w:rsid w:val="004A69EF"/>
    <w:rsid w:val="004B4EC4"/>
    <w:rsid w:val="004C6E45"/>
    <w:rsid w:val="004D1A17"/>
    <w:rsid w:val="004D4401"/>
    <w:rsid w:val="004D5729"/>
    <w:rsid w:val="005019BE"/>
    <w:rsid w:val="005207D1"/>
    <w:rsid w:val="00544CE5"/>
    <w:rsid w:val="00572725"/>
    <w:rsid w:val="00575E26"/>
    <w:rsid w:val="0058138B"/>
    <w:rsid w:val="0058579E"/>
    <w:rsid w:val="005B2FD2"/>
    <w:rsid w:val="005C0509"/>
    <w:rsid w:val="005C43C8"/>
    <w:rsid w:val="005D1D2C"/>
    <w:rsid w:val="006107E2"/>
    <w:rsid w:val="00625376"/>
    <w:rsid w:val="00645930"/>
    <w:rsid w:val="00675B9F"/>
    <w:rsid w:val="00691F11"/>
    <w:rsid w:val="006A0914"/>
    <w:rsid w:val="006A7F74"/>
    <w:rsid w:val="006C2F7E"/>
    <w:rsid w:val="007058C2"/>
    <w:rsid w:val="0071500F"/>
    <w:rsid w:val="007316EB"/>
    <w:rsid w:val="00744D9B"/>
    <w:rsid w:val="00745509"/>
    <w:rsid w:val="0075679C"/>
    <w:rsid w:val="00782509"/>
    <w:rsid w:val="0078620D"/>
    <w:rsid w:val="00787694"/>
    <w:rsid w:val="007A5104"/>
    <w:rsid w:val="007B1A4B"/>
    <w:rsid w:val="007C0300"/>
    <w:rsid w:val="007D4223"/>
    <w:rsid w:val="0089754C"/>
    <w:rsid w:val="008B55F9"/>
    <w:rsid w:val="008B578F"/>
    <w:rsid w:val="0092371A"/>
    <w:rsid w:val="00977765"/>
    <w:rsid w:val="0099524F"/>
    <w:rsid w:val="00996B51"/>
    <w:rsid w:val="009D0CE7"/>
    <w:rsid w:val="009F319F"/>
    <w:rsid w:val="009F6397"/>
    <w:rsid w:val="00A13B37"/>
    <w:rsid w:val="00A23539"/>
    <w:rsid w:val="00A25983"/>
    <w:rsid w:val="00A51F04"/>
    <w:rsid w:val="00A564EC"/>
    <w:rsid w:val="00A60D36"/>
    <w:rsid w:val="00A63A87"/>
    <w:rsid w:val="00A66FE8"/>
    <w:rsid w:val="00A6702F"/>
    <w:rsid w:val="00A74B8A"/>
    <w:rsid w:val="00A77328"/>
    <w:rsid w:val="00A853DB"/>
    <w:rsid w:val="00AB5D77"/>
    <w:rsid w:val="00AE34B3"/>
    <w:rsid w:val="00B052A5"/>
    <w:rsid w:val="00B16429"/>
    <w:rsid w:val="00B22652"/>
    <w:rsid w:val="00B26472"/>
    <w:rsid w:val="00B527D8"/>
    <w:rsid w:val="00B54ADD"/>
    <w:rsid w:val="00BA4121"/>
    <w:rsid w:val="00BC2D04"/>
    <w:rsid w:val="00BE6C2D"/>
    <w:rsid w:val="00BE6D48"/>
    <w:rsid w:val="00C11439"/>
    <w:rsid w:val="00C132E7"/>
    <w:rsid w:val="00C13F0C"/>
    <w:rsid w:val="00C41D47"/>
    <w:rsid w:val="00C46CE4"/>
    <w:rsid w:val="00C75537"/>
    <w:rsid w:val="00C9344B"/>
    <w:rsid w:val="00C97B3D"/>
    <w:rsid w:val="00CB1A57"/>
    <w:rsid w:val="00CF21A7"/>
    <w:rsid w:val="00D06466"/>
    <w:rsid w:val="00D17589"/>
    <w:rsid w:val="00D3096E"/>
    <w:rsid w:val="00D53F3D"/>
    <w:rsid w:val="00D60ACB"/>
    <w:rsid w:val="00D63A6D"/>
    <w:rsid w:val="00DB698E"/>
    <w:rsid w:val="00DF4D6D"/>
    <w:rsid w:val="00E05CBE"/>
    <w:rsid w:val="00E72A59"/>
    <w:rsid w:val="00E77687"/>
    <w:rsid w:val="00E96FEA"/>
    <w:rsid w:val="00EE1810"/>
    <w:rsid w:val="00EE2CA9"/>
    <w:rsid w:val="00F20275"/>
    <w:rsid w:val="00F26066"/>
    <w:rsid w:val="00F35402"/>
    <w:rsid w:val="00FB4E55"/>
    <w:rsid w:val="00FE4369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0B36E4"/>
  <w15:chartTrackingRefBased/>
  <w15:docId w15:val="{8D04D0D2-728D-44D0-9873-2D0FD5FB6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39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aliases w:val="H1,h1"/>
    <w:next w:val="Normal"/>
    <w:link w:val="Heading1Char"/>
    <w:qFormat/>
    <w:rsid w:val="009F6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9F6397"/>
    <w:rPr>
      <w:rFonts w:ascii="Arial" w:eastAsia="SimSun" w:hAnsi="Arial" w:cs="Times New Roman"/>
      <w:sz w:val="36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9F6397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F6397"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9F6397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9F6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F63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F6397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1102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11021"/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5C05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462E7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462E7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26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647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472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B2647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3C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3C8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8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0&amp;SubTB=38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ZTE(Eswar)</dc:creator>
  <cp:keywords/>
  <dc:description/>
  <cp:lastModifiedBy>ZTE(Eswar)</cp:lastModifiedBy>
  <cp:revision>5</cp:revision>
  <dcterms:created xsi:type="dcterms:W3CDTF">2021-10-20T18:36:00Z</dcterms:created>
  <dcterms:modified xsi:type="dcterms:W3CDTF">2021-10-21T15:50:00Z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e4542fccbaa4666a406697f9512f7c9">
    <vt:lpwstr>CWMaWXaJCj5/IKJietkc6pOh/XAAtLTZJ0nnyR+JslE9lSmLZy6uAkvpnA7QOSY5TzVcfubp4lRFMH62i85AqC7Cg==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1629813431</vt:lpwstr>
  </property>
</Properties>
</file>