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6"/>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08pt" o:ole="">
            <v:imagedata r:id="rId15" o:title=""/>
          </v:shape>
          <o:OLEObject Type="Embed" ProgID="Visio.Drawing.11" ShapeID="_x0000_i1025" DrawAspect="Content" ObjectID="_1691492502"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bookmarkStart w:id="1" w:name="_GoBack"/>
      <w:bookmarkEnd w:id="1"/>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9"/>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hint="eastAsia"/>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hint="eastAsia"/>
                <w:lang w:val="en-US" w:eastAsia="zh-TW"/>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lastRenderedPageBreak/>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bl>
    <w:p w14:paraId="79B117D8" w14:textId="77777777" w:rsidR="0025098C" w:rsidRDefault="0025098C">
      <w:pPr>
        <w:rPr>
          <w:rFonts w:hint="eastAsia"/>
          <w:b/>
          <w:bCs/>
          <w:i/>
          <w:iCs/>
          <w:color w:val="C00000"/>
          <w:lang w:eastAsia="zh-CN"/>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9"/>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 xml:space="preserve">SSBs are transmitted by network and among different cells, they may not be transmitted in a synchronous way. Therefore, for option 2, UE may not be able to accurately determine where and when it can receive SSBs from neighbor cells and if reporting </w:t>
            </w:r>
            <w:r>
              <w:rPr>
                <w:rFonts w:ascii="Arial" w:eastAsiaTheme="minorEastAsia" w:hAnsi="Arial" w:cs="Arial"/>
                <w:lang w:val="en-US" w:eastAsia="zh-CN"/>
              </w:rPr>
              <w:lastRenderedPageBreak/>
              <w:t>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 xml:space="preserve">after AS security is established, </w:t>
            </w:r>
            <w:proofErr w:type="spellStart"/>
            <w:r w:rsidRPr="002128C3">
              <w:rPr>
                <w:rFonts w:ascii="Arial" w:eastAsiaTheme="minorEastAsia" w:hAnsi="Arial" w:cs="Arial"/>
                <w:i/>
                <w:iCs/>
                <w:lang w:val="en-US" w:eastAsia="zh-CN"/>
              </w:rPr>
              <w:t>gNB</w:t>
            </w:r>
            <w:proofErr w:type="spellEnd"/>
            <w:r w:rsidRPr="002128C3">
              <w:rPr>
                <w:rFonts w:ascii="Arial" w:eastAsiaTheme="minorEastAsia" w:hAnsi="Arial" w:cs="Arial"/>
                <w:i/>
                <w:iCs/>
                <w:lang w:val="en-US" w:eastAsia="zh-CN"/>
              </w:rPr>
              <w:t xml:space="preserve"> can obtain a GNSS-based location information from the UE using existing </w:t>
            </w:r>
            <w:proofErr w:type="spellStart"/>
            <w:r w:rsidRPr="002128C3">
              <w:rPr>
                <w:rFonts w:ascii="Arial" w:eastAsiaTheme="minorEastAsia" w:hAnsi="Arial" w:cs="Arial"/>
                <w:i/>
                <w:iCs/>
                <w:lang w:val="en-US" w:eastAsia="zh-CN"/>
              </w:rPr>
              <w:t>signalling</w:t>
            </w:r>
            <w:proofErr w:type="spellEnd"/>
            <w:r w:rsidRPr="002128C3">
              <w:rPr>
                <w:rFonts w:ascii="Arial" w:eastAsiaTheme="minorEastAsia" w:hAnsi="Arial" w:cs="Arial"/>
                <w:i/>
                <w:iCs/>
                <w:lang w:val="en-US" w:eastAsia="zh-CN"/>
              </w:rPr>
              <w:t xml:space="preserve"> method, i.e., by configuring </w:t>
            </w:r>
            <w:proofErr w:type="spellStart"/>
            <w:r w:rsidRPr="002128C3">
              <w:rPr>
                <w:rFonts w:ascii="Arial" w:eastAsiaTheme="minorEastAsia" w:hAnsi="Arial" w:cs="Arial"/>
                <w:i/>
                <w:iCs/>
                <w:lang w:val="en-US" w:eastAsia="zh-CN"/>
              </w:rPr>
              <w:t>includeCommonLocationInfo</w:t>
            </w:r>
            <w:proofErr w:type="spellEnd"/>
            <w:r w:rsidRPr="002128C3">
              <w:rPr>
                <w:rFonts w:ascii="Arial" w:eastAsiaTheme="minorEastAsia" w:hAnsi="Arial" w:cs="Arial"/>
                <w:i/>
                <w:iCs/>
                <w:lang w:val="en-US" w:eastAsia="zh-CN"/>
              </w:rPr>
              <w:t xml:space="preserve"> in the corresponding </w:t>
            </w:r>
            <w:proofErr w:type="spellStart"/>
            <w:r w:rsidRPr="002128C3">
              <w:rPr>
                <w:rFonts w:ascii="Arial" w:eastAsiaTheme="minorEastAsia" w:hAnsi="Arial" w:cs="Arial"/>
                <w:i/>
                <w:iCs/>
                <w:lang w:val="en-US" w:eastAsia="zh-CN"/>
              </w:rPr>
              <w:t>reportConfig</w:t>
            </w:r>
            <w:proofErr w:type="spellEnd"/>
            <w:r>
              <w:rPr>
                <w:rFonts w:ascii="Arial" w:eastAsiaTheme="minorEastAsia" w:hAnsi="Arial" w:cs="Arial"/>
                <w:lang w:val="en-US" w:eastAsia="zh-CN"/>
              </w:rPr>
              <w:t xml:space="preserve">”. The </w:t>
            </w:r>
            <w:proofErr w:type="spellStart"/>
            <w:r>
              <w:rPr>
                <w:rFonts w:ascii="Arial" w:eastAsiaTheme="minorEastAsia" w:hAnsi="Arial" w:cs="Arial" w:hint="eastAsia"/>
                <w:lang w:val="en-US" w:eastAsia="zh-CN"/>
              </w:rPr>
              <w:t>gNB</w:t>
            </w:r>
            <w:proofErr w:type="spellEnd"/>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hint="eastAsia"/>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hint="eastAsia"/>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hint="eastAsia"/>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lastRenderedPageBreak/>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9"/>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lastRenderedPageBreak/>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hint="eastAsia"/>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hint="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9"/>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lastRenderedPageBreak/>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9"/>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lastRenderedPageBreak/>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915D93" w14:paraId="0F03C1B4" w14:textId="77777777" w:rsidTr="008A79B6">
        <w:tc>
          <w:tcPr>
            <w:tcW w:w="1555" w:type="dxa"/>
          </w:tcPr>
          <w:p w14:paraId="229CBA13" w14:textId="77777777" w:rsidR="00915D93" w:rsidRPr="00B80C76" w:rsidRDefault="00915D93" w:rsidP="00915D93">
            <w:pPr>
              <w:rPr>
                <w:rFonts w:ascii="Arial" w:eastAsia="Malgun Gothic" w:hAnsi="Arial" w:cs="Arial"/>
                <w:lang w:val="en-US" w:eastAsia="ko-KR"/>
              </w:rPr>
            </w:pPr>
          </w:p>
        </w:tc>
        <w:tc>
          <w:tcPr>
            <w:tcW w:w="2126" w:type="dxa"/>
          </w:tcPr>
          <w:p w14:paraId="719B3754" w14:textId="77777777" w:rsidR="00915D93" w:rsidRPr="00B80C76" w:rsidRDefault="00915D93" w:rsidP="00915D93">
            <w:pPr>
              <w:rPr>
                <w:rFonts w:ascii="Arial" w:eastAsia="Malgun Gothic" w:hAnsi="Arial" w:cs="Arial"/>
                <w:lang w:val="en-US" w:eastAsia="ko-KR"/>
              </w:rPr>
            </w:pPr>
          </w:p>
        </w:tc>
        <w:tc>
          <w:tcPr>
            <w:tcW w:w="5950" w:type="dxa"/>
          </w:tcPr>
          <w:p w14:paraId="6AA675D8" w14:textId="77777777" w:rsidR="00915D93" w:rsidRDefault="00915D93" w:rsidP="00915D93">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9"/>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lastRenderedPageBreak/>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hint="eastAsia"/>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hint="eastAsia"/>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hint="eastAsia"/>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lastRenderedPageBreak/>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9"/>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32B606A6" w14:textId="2CC280B8" w:rsidR="00D40BF7" w:rsidRPr="00320D73" w:rsidRDefault="00D40BF7" w:rsidP="00D40BF7">
            <w:pPr>
              <w:jc w:val="both"/>
              <w:rPr>
                <w:bCs/>
                <w:lang w:eastAsia="zh-CN"/>
              </w:rPr>
            </w:pPr>
            <w:r w:rsidRPr="00B638A7">
              <w:rPr>
                <w:rFonts w:ascii="Times New Roman" w:eastAsia="PMingLiU" w:hAnsi="Times New Roman"/>
                <w:lang w:eastAsia="zh-TW"/>
              </w:rPr>
              <w:t>No</w:t>
            </w:r>
          </w:p>
        </w:tc>
        <w:tc>
          <w:tcPr>
            <w:tcW w:w="6234" w:type="dxa"/>
          </w:tcPr>
          <w:p w14:paraId="0C29DAF6" w14:textId="3CD0D30F" w:rsidR="00D40BF7" w:rsidRPr="00E964C1" w:rsidRDefault="00D40BF7" w:rsidP="00D40BF7">
            <w:pPr>
              <w:jc w:val="both"/>
              <w:rPr>
                <w:b/>
                <w:bCs/>
                <w:lang w:eastAsia="zh-CN"/>
              </w:rPr>
            </w:pPr>
            <w:r>
              <w:rPr>
                <w:rFonts w:ascii="Times New Roman" w:eastAsia="PMingLiU" w:hAnsi="Times New Roman" w:hint="eastAsia"/>
                <w:lang w:eastAsia="zh-TW"/>
              </w:rPr>
              <w:t>N</w:t>
            </w:r>
            <w:r>
              <w:rPr>
                <w:rFonts w:ascii="Times New Roman" w:eastAsia="PMingLiU" w:hAnsi="Times New Roman"/>
                <w:lang w:eastAsia="zh-TW"/>
              </w:rPr>
              <w:t>etwork can update the configuration when necessary.</w:t>
            </w:r>
          </w:p>
        </w:tc>
      </w:tr>
      <w:tr w:rsidR="00915D93" w:rsidRPr="00E964C1" w14:paraId="36F64268" w14:textId="77777777" w:rsidTr="00F619CA">
        <w:tc>
          <w:tcPr>
            <w:tcW w:w="1555" w:type="dxa"/>
          </w:tcPr>
          <w:p w14:paraId="6090FE05" w14:textId="40057F05" w:rsidR="00915D93" w:rsidRPr="00915D93" w:rsidRDefault="00915D93" w:rsidP="00915D93">
            <w:pPr>
              <w:jc w:val="both"/>
              <w:rPr>
                <w:rFonts w:ascii="Times New Roman" w:eastAsia="PMingLiU" w:hAnsi="Times New Roman" w:hint="eastAsia"/>
                <w:lang w:eastAsia="zh-TW"/>
              </w:rPr>
            </w:pPr>
            <w:r w:rsidRPr="00915D93">
              <w:rPr>
                <w:rFonts w:ascii="Times New Roman" w:eastAsia="PMingLiU" w:hAnsi="Times New Roman"/>
                <w:lang w:eastAsia="zh-TW"/>
              </w:rPr>
              <w:t>Xiaomi</w:t>
            </w:r>
          </w:p>
        </w:tc>
        <w:tc>
          <w:tcPr>
            <w:tcW w:w="1842" w:type="dxa"/>
          </w:tcPr>
          <w:p w14:paraId="356DDDDC" w14:textId="2DE6A893" w:rsidR="00915D93" w:rsidRPr="00915D93" w:rsidRDefault="00915D93" w:rsidP="00915D93">
            <w:pPr>
              <w:jc w:val="both"/>
              <w:rPr>
                <w:rFonts w:ascii="Times New Roman" w:eastAsia="PMingLiU" w:hAnsi="Times New Roman"/>
                <w:lang w:eastAsia="zh-TW"/>
              </w:rPr>
            </w:pPr>
            <w:r w:rsidRPr="00915D93">
              <w:rPr>
                <w:rFonts w:ascii="Times New Roman" w:eastAsia="PMingLiU" w:hAnsi="Times New Roman"/>
                <w:lang w:eastAsia="zh-TW"/>
              </w:rPr>
              <w:t>Agree</w:t>
            </w:r>
          </w:p>
        </w:tc>
        <w:tc>
          <w:tcPr>
            <w:tcW w:w="6234" w:type="dxa"/>
          </w:tcPr>
          <w:p w14:paraId="52E504CE" w14:textId="77777777" w:rsidR="00915D93" w:rsidRPr="00915D93" w:rsidRDefault="00915D93" w:rsidP="00915D93">
            <w:pPr>
              <w:jc w:val="both"/>
              <w:rPr>
                <w:rFonts w:ascii="Times New Roman" w:eastAsia="PMingLiU" w:hAnsi="Times New Roman" w:hint="eastAsia"/>
                <w:lang w:eastAsia="zh-TW"/>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9"/>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lastRenderedPageBreak/>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6"/>
        </w:rPr>
        <w:t>R2-2107521</w:t>
      </w:r>
      <w:r w:rsidR="000150E3">
        <w:rPr>
          <w:rStyle w:val="af6"/>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6"/>
          </w:rPr>
          <w:t>R2-2105000</w:t>
        </w:r>
      </w:hyperlink>
    </w:p>
    <w:p w14:paraId="37BE401F" w14:textId="77777777" w:rsidR="000150E3" w:rsidRDefault="00F264B2" w:rsidP="000150E3">
      <w:pPr>
        <w:pStyle w:val="Reference"/>
        <w:numPr>
          <w:ilvl w:val="0"/>
          <w:numId w:val="13"/>
        </w:numPr>
      </w:pPr>
      <w:hyperlink r:id="rId18" w:tooltip="C:Data3GPPExtractsR2-2107566 SMTC and MG.doc" w:history="1">
        <w:r w:rsidR="000150E3" w:rsidRPr="00011A77">
          <w:rPr>
            <w:rStyle w:val="af6"/>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6"/>
          </w:rPr>
          <w:t>R2-2105434</w:t>
        </w:r>
      </w:hyperlink>
    </w:p>
    <w:p w14:paraId="18AEBC08" w14:textId="77777777" w:rsidR="000150E3" w:rsidRDefault="00F264B2" w:rsidP="000150E3">
      <w:pPr>
        <w:pStyle w:val="Reference"/>
        <w:numPr>
          <w:ilvl w:val="0"/>
          <w:numId w:val="13"/>
        </w:numPr>
      </w:pPr>
      <w:hyperlink r:id="rId20" w:tooltip="C:Data3GPPExtractsR2-2107878 Measurement window enhancements for NTN cell.doc" w:history="1">
        <w:r w:rsidR="000150E3" w:rsidRPr="00011A77">
          <w:rPr>
            <w:rStyle w:val="af6"/>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F264B2"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6"/>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F264B2" w:rsidP="000150E3">
      <w:pPr>
        <w:pStyle w:val="Reference"/>
        <w:numPr>
          <w:ilvl w:val="0"/>
          <w:numId w:val="13"/>
        </w:numPr>
      </w:pPr>
      <w:hyperlink r:id="rId22" w:tooltip="C:Data3GPPExtractsR2-2108067.docx" w:history="1">
        <w:r w:rsidR="000150E3" w:rsidRPr="00011A77">
          <w:rPr>
            <w:rStyle w:val="af6"/>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F264B2" w:rsidP="000150E3">
      <w:pPr>
        <w:pStyle w:val="Reference"/>
        <w:numPr>
          <w:ilvl w:val="0"/>
          <w:numId w:val="13"/>
        </w:numPr>
      </w:pPr>
      <w:hyperlink r:id="rId23" w:tooltip="C:Data3GPPExtractsR2-2108198 Remaining Issues on SMTC and measurement Gap configuration for NTN.docx" w:history="1">
        <w:r w:rsidR="000150E3" w:rsidRPr="00011A77">
          <w:rPr>
            <w:rStyle w:val="af6"/>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6"/>
          </w:rPr>
          <w:t>R2-2105389</w:t>
        </w:r>
      </w:hyperlink>
    </w:p>
    <w:p w14:paraId="665F61CC" w14:textId="77777777" w:rsidR="00EE701C" w:rsidRDefault="00F264B2" w:rsidP="000150E3">
      <w:pPr>
        <w:pStyle w:val="Reference"/>
        <w:numPr>
          <w:ilvl w:val="0"/>
          <w:numId w:val="13"/>
        </w:numPr>
      </w:pPr>
      <w:hyperlink r:id="rId25" w:tooltip="C:Data3GPPExtractsR2-2108326 Efficient Configuration of SMTC and Measurement Gaps in NR-NTN.docx" w:history="1">
        <w:r w:rsidR="000150E3" w:rsidRPr="00011A77">
          <w:rPr>
            <w:rStyle w:val="af6"/>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6"/>
        </w:rPr>
        <w:t>R2-2108286</w:t>
      </w:r>
      <w:r w:rsidRPr="000150E3">
        <w:rPr>
          <w:rStyle w:val="af6"/>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F264B2"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4422" w14:textId="77777777" w:rsidR="00B24D55" w:rsidRDefault="00B24D55">
      <w:pPr>
        <w:spacing w:after="0" w:line="240" w:lineRule="auto"/>
      </w:pPr>
      <w:r>
        <w:separator/>
      </w:r>
    </w:p>
  </w:endnote>
  <w:endnote w:type="continuationSeparator" w:id="0">
    <w:p w14:paraId="2D3E7DA0" w14:textId="77777777" w:rsidR="00B24D55" w:rsidRDefault="00B2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0BF9" w14:textId="77777777" w:rsidR="00F264B2" w:rsidRDefault="00F264B2">
    <w:pPr>
      <w:pStyle w:val="af0"/>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F264B2" w:rsidRPr="00405756" w:rsidRDefault="00F264B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F264B2" w:rsidRPr="00405756" w:rsidRDefault="00F264B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380EE" w14:textId="77777777" w:rsidR="00B24D55" w:rsidRDefault="00B24D55">
      <w:pPr>
        <w:spacing w:after="0" w:line="240" w:lineRule="auto"/>
      </w:pPr>
      <w:r>
        <w:separator/>
      </w:r>
    </w:p>
  </w:footnote>
  <w:footnote w:type="continuationSeparator" w:id="0">
    <w:p w14:paraId="057D198A" w14:textId="77777777" w:rsidR="00B24D55" w:rsidRDefault="00B24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2"/>
    <w:next w:val="a0"/>
    <w:uiPriority w:val="39"/>
    <w:qFormat/>
    <w:rsid w:val="00E2197D"/>
    <w:pPr>
      <w:ind w:left="1418" w:hanging="1418"/>
    </w:pPr>
  </w:style>
  <w:style w:type="paragraph" w:styleId="32">
    <w:name w:val="toc 3"/>
    <w:basedOn w:val="23"/>
    <w:next w:val="a0"/>
    <w:uiPriority w:val="39"/>
    <w:qFormat/>
    <w:rsid w:val="00E2197D"/>
    <w:pPr>
      <w:ind w:left="1134" w:hanging="1134"/>
    </w:pPr>
  </w:style>
  <w:style w:type="paragraph" w:styleId="23">
    <w:name w:val="toc 2"/>
    <w:basedOn w:val="11"/>
    <w:next w:val="a0"/>
    <w:uiPriority w:val="39"/>
    <w:qFormat/>
    <w:rsid w:val="00E2197D"/>
    <w:pPr>
      <w:keepNext w:val="0"/>
      <w:spacing w:before="0"/>
      <w:ind w:left="851" w:hanging="851"/>
    </w:pPr>
    <w:rPr>
      <w:sz w:val="20"/>
    </w:rPr>
  </w:style>
  <w:style w:type="paragraph" w:styleId="1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80">
    <w:name w:val="toc 8"/>
    <w:basedOn w:val="1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1"/>
    <w:qFormat/>
    <w:rsid w:val="00E2197D"/>
    <w:pPr>
      <w:ind w:left="1418"/>
    </w:pPr>
  </w:style>
  <w:style w:type="paragraph" w:styleId="90">
    <w:name w:val="toc 9"/>
    <w:basedOn w:val="80"/>
    <w:next w:val="a0"/>
    <w:semiHidden/>
    <w:qFormat/>
    <w:rsid w:val="00E2197D"/>
    <w:pPr>
      <w:ind w:left="1418" w:hanging="1418"/>
    </w:pPr>
  </w:style>
  <w:style w:type="paragraph" w:styleId="12">
    <w:name w:val="index 1"/>
    <w:basedOn w:val="a0"/>
    <w:next w:val="a0"/>
    <w:semiHidden/>
    <w:qFormat/>
    <w:rsid w:val="00E2197D"/>
    <w:pPr>
      <w:keepLines/>
      <w:spacing w:after="0"/>
    </w:pPr>
  </w:style>
  <w:style w:type="paragraph" w:styleId="24">
    <w:name w:val="index 2"/>
    <w:basedOn w:val="12"/>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4">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5">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6">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出段落 字符"/>
    <w:aliases w:val="- Bullets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53673390-1DA0-4965-92AD-E51C5C2F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7</TotalTime>
  <Pages>13</Pages>
  <Words>4051</Words>
  <Characters>23094</Characters>
  <Application>Microsoft Office Word</Application>
  <DocSecurity>0</DocSecurity>
  <Lines>192</Lines>
  <Paragraphs>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Xiaomi-Xiongyi</cp:lastModifiedBy>
  <cp:revision>3</cp:revision>
  <cp:lastPrinted>2009-04-22T01:01:00Z</cp:lastPrinted>
  <dcterms:created xsi:type="dcterms:W3CDTF">2021-08-26T06:04:00Z</dcterms:created>
  <dcterms:modified xsi:type="dcterms:W3CDTF">2021-08-26T06:11:00Z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