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C15" w:rsidRDefault="00B6012C">
      <w:pPr>
        <w:pStyle w:val="a7"/>
        <w:tabs>
          <w:tab w:val="right" w:pos="9639"/>
        </w:tabs>
        <w:rPr>
          <w:bCs/>
          <w:i/>
          <w:sz w:val="24"/>
          <w:szCs w:val="24"/>
        </w:rPr>
      </w:pPr>
      <w:r>
        <w:rPr>
          <w:bCs/>
          <w:sz w:val="24"/>
          <w:szCs w:val="24"/>
        </w:rPr>
        <w:t>3GPP TSG-RAN WG2 Meeting #115</w:t>
      </w:r>
      <w:r>
        <w:rPr>
          <w:bCs/>
          <w:sz w:val="24"/>
          <w:szCs w:val="24"/>
        </w:rPr>
        <w:tab/>
        <w:t>R2-210xxxx</w:t>
      </w:r>
    </w:p>
    <w:p w:rsidR="00014C15" w:rsidRDefault="00B6012C">
      <w:pPr>
        <w:pStyle w:val="a7"/>
        <w:tabs>
          <w:tab w:val="right" w:pos="9639"/>
        </w:tabs>
        <w:rPr>
          <w:bCs/>
          <w:sz w:val="24"/>
          <w:szCs w:val="24"/>
          <w:lang w:eastAsia="zh-CN"/>
        </w:rPr>
      </w:pPr>
      <w:r>
        <w:rPr>
          <w:bCs/>
          <w:sz w:val="24"/>
          <w:szCs w:val="24"/>
          <w:lang w:eastAsia="zh-CN"/>
        </w:rPr>
        <w:t>Online</w:t>
      </w:r>
      <w:proofErr w:type="gramStart"/>
      <w:r>
        <w:rPr>
          <w:bCs/>
          <w:sz w:val="24"/>
          <w:szCs w:val="24"/>
          <w:lang w:eastAsia="zh-CN"/>
        </w:rPr>
        <w:t>,  09</w:t>
      </w:r>
      <w:proofErr w:type="gramEnd"/>
      <w:r>
        <w:rPr>
          <w:bCs/>
          <w:sz w:val="24"/>
          <w:szCs w:val="24"/>
          <w:lang w:eastAsia="zh-CN"/>
        </w:rPr>
        <w:t xml:space="preserve"> – 27 August 2021</w:t>
      </w:r>
      <w:r>
        <w:rPr>
          <w:sz w:val="24"/>
          <w:szCs w:val="24"/>
          <w:lang w:eastAsia="zh-CN"/>
        </w:rPr>
        <w:tab/>
      </w:r>
    </w:p>
    <w:p w:rsidR="00014C15" w:rsidRDefault="00014C15">
      <w:pPr>
        <w:pStyle w:val="a7"/>
        <w:rPr>
          <w:bCs/>
          <w:sz w:val="24"/>
        </w:rPr>
      </w:pPr>
    </w:p>
    <w:p w:rsidR="00014C15" w:rsidRDefault="00B6012C">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8.14.2.1 </w:t>
      </w:r>
      <w:r>
        <w:rPr>
          <w:rFonts w:cs="Arial"/>
          <w:b/>
          <w:bCs/>
          <w:sz w:val="24"/>
          <w:lang w:eastAsia="ja-JP"/>
        </w:rPr>
        <w:t xml:space="preserve"> </w:t>
      </w:r>
    </w:p>
    <w:p w:rsidR="00014C15" w:rsidRDefault="00B601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rsidR="00014C15" w:rsidRDefault="00B6012C">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[AT115-e</w:t>
      </w:r>
      <w:proofErr w:type="gramStart"/>
      <w:r>
        <w:rPr>
          <w:rFonts w:ascii="Arial" w:hAnsi="Arial" w:cs="Arial"/>
          <w:b/>
          <w:bCs/>
          <w:sz w:val="24"/>
        </w:rPr>
        <w:t>][</w:t>
      </w:r>
      <w:proofErr w:type="gramEnd"/>
      <w:r>
        <w:rPr>
          <w:rFonts w:ascii="Arial" w:hAnsi="Arial" w:cs="Arial"/>
          <w:b/>
          <w:bCs/>
          <w:sz w:val="24"/>
        </w:rPr>
        <w:t>046][QoE] Mobility (Huawei)</w:t>
      </w:r>
    </w:p>
    <w:p w:rsidR="00014C15" w:rsidRDefault="00B6012C">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NR_QoE</w:t>
      </w:r>
      <w:proofErr w:type="spellEnd"/>
      <w:r>
        <w:rPr>
          <w:rFonts w:ascii="Arial" w:hAnsi="Arial" w:cs="Arial"/>
          <w:b/>
          <w:bCs/>
          <w:sz w:val="24"/>
        </w:rPr>
        <w:t>-Core - Release 17</w:t>
      </w:r>
    </w:p>
    <w:p w:rsidR="00014C15" w:rsidRDefault="00B601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 xml:space="preserve">Discussion and </w:t>
      </w:r>
      <w:r>
        <w:rPr>
          <w:rFonts w:ascii="Arial" w:hAnsi="Arial" w:cs="Arial"/>
          <w:b/>
          <w:bCs/>
          <w:sz w:val="24"/>
        </w:rPr>
        <w:t>Decision</w:t>
      </w:r>
    </w:p>
    <w:p w:rsidR="00014C15" w:rsidRDefault="00014C15">
      <w:pPr>
        <w:tabs>
          <w:tab w:val="left" w:pos="1985"/>
        </w:tabs>
        <w:rPr>
          <w:rFonts w:ascii="Arial" w:hAnsi="Arial" w:cs="Arial"/>
          <w:b/>
          <w:bCs/>
          <w:sz w:val="24"/>
        </w:rPr>
      </w:pPr>
    </w:p>
    <w:p w:rsidR="00014C15" w:rsidRDefault="00B6012C">
      <w:pPr>
        <w:pStyle w:val="1"/>
      </w:pPr>
      <w:r>
        <w:t>1</w:t>
      </w:r>
      <w:r>
        <w:tab/>
        <w:t>Introduction</w:t>
      </w:r>
    </w:p>
    <w:p w:rsidR="00014C15" w:rsidRDefault="00B6012C">
      <w:pPr>
        <w:rPr>
          <w:lang w:val="en-US"/>
        </w:rPr>
      </w:pPr>
      <w:r>
        <w:rPr>
          <w:lang w:val="en-US"/>
        </w:rPr>
        <w:t>This document aims at capturing views related to the following e-mail discussion:</w:t>
      </w:r>
    </w:p>
    <w:p w:rsidR="00014C15" w:rsidRDefault="00B6012C">
      <w:pPr>
        <w:pStyle w:val="EmailDiscussion"/>
        <w:rPr>
          <w:lang w:val="en-US" w:eastAsia="zh-CN"/>
        </w:rPr>
      </w:pPr>
      <w:r>
        <w:rPr>
          <w:lang w:val="en-US"/>
        </w:rPr>
        <w:t>[AT115-e][046][QoE] Mobility (Huawei)</w:t>
      </w:r>
    </w:p>
    <w:p w:rsidR="00014C15" w:rsidRDefault="00B6012C">
      <w:pPr>
        <w:pStyle w:val="EmailDiscussion2"/>
        <w:rPr>
          <w:lang w:val="en-US"/>
        </w:rPr>
      </w:pPr>
      <w:r>
        <w:rPr>
          <w:lang w:val="en-US"/>
        </w:rPr>
        <w:tab/>
        <w:t>Scope: Treat R2-2109036 and related proposals. For each point, attempt to agree, if agreement seems not possib</w:t>
      </w:r>
      <w:r>
        <w:rPr>
          <w:lang w:val="en-US"/>
        </w:rPr>
        <w:t>le, outline the options or specify a FFS to be addressed later.</w:t>
      </w:r>
    </w:p>
    <w:p w:rsidR="00014C15" w:rsidRDefault="00B6012C">
      <w:pPr>
        <w:pStyle w:val="EmailDiscussion2"/>
        <w:rPr>
          <w:lang w:val="en-US"/>
        </w:rPr>
      </w:pPr>
      <w:r>
        <w:rPr>
          <w:lang w:val="en-US"/>
        </w:rPr>
        <w:tab/>
        <w:t>Intended outcome: Agreements, Report</w:t>
      </w:r>
    </w:p>
    <w:p w:rsidR="00014C15" w:rsidRDefault="00B6012C">
      <w:pPr>
        <w:pStyle w:val="EmailDiscussion2"/>
        <w:rPr>
          <w:lang w:val="en-US"/>
        </w:rPr>
      </w:pPr>
      <w:r>
        <w:rPr>
          <w:lang w:val="en-US"/>
        </w:rPr>
        <w:tab/>
        <w:t>Deadline: Tuesday W2 (CB)</w:t>
      </w:r>
    </w:p>
    <w:p w:rsidR="00014C15" w:rsidRDefault="00014C15">
      <w:pPr>
        <w:rPr>
          <w:lang w:val="en-US"/>
        </w:rPr>
      </w:pPr>
    </w:p>
    <w:p w:rsidR="00014C15" w:rsidRDefault="00B6012C">
      <w:pPr>
        <w:rPr>
          <w:lang w:val="en-US"/>
        </w:rPr>
      </w:pPr>
      <w:r>
        <w:rPr>
          <w:lang w:val="en-US"/>
        </w:rPr>
        <w:t>Companies are asked to reply to several questions, which are based on the summary of companies’ contributions [1]-[9], as prov</w:t>
      </w:r>
      <w:r>
        <w:rPr>
          <w:lang w:val="en-US"/>
        </w:rPr>
        <w:t>ided in the summary document in [10] (which is a revision of R2-2109036).</w:t>
      </w:r>
    </w:p>
    <w:p w:rsidR="00014C15" w:rsidRDefault="00B6012C">
      <w:pPr>
        <w:rPr>
          <w:lang w:val="en-US"/>
        </w:rPr>
      </w:pPr>
      <w:r>
        <w:rPr>
          <w:lang w:val="en-US"/>
        </w:rPr>
        <w:t xml:space="preserve">Section 2 contains a summary of </w:t>
      </w:r>
      <w:proofErr w:type="gramStart"/>
      <w:r>
        <w:rPr>
          <w:lang w:val="en-US"/>
        </w:rPr>
        <w:t>companies</w:t>
      </w:r>
      <w:proofErr w:type="gramEnd"/>
      <w:r>
        <w:rPr>
          <w:lang w:val="en-US"/>
        </w:rPr>
        <w:t xml:space="preserve"> contributions, which is just a copy of section 2 from [10].</w:t>
      </w:r>
    </w:p>
    <w:p w:rsidR="00014C15" w:rsidRDefault="00B6012C">
      <w:pPr>
        <w:rPr>
          <w:lang w:val="en-US"/>
        </w:rPr>
      </w:pPr>
      <w:r>
        <w:rPr>
          <w:lang w:val="en-US"/>
        </w:rPr>
        <w:t>The companies are requested to answer the questions in section 3.</w:t>
      </w:r>
    </w:p>
    <w:p w:rsidR="00014C15" w:rsidRDefault="00B6012C">
      <w:pPr>
        <w:pStyle w:val="2"/>
        <w:numPr>
          <w:ilvl w:val="1"/>
          <w:numId w:val="3"/>
        </w:numPr>
      </w:pPr>
      <w:r>
        <w:t>Companies’ con</w:t>
      </w:r>
      <w:r>
        <w:t>tact details</w:t>
      </w:r>
    </w:p>
    <w:tbl>
      <w:tblPr>
        <w:tblStyle w:val="a9"/>
        <w:tblW w:w="0" w:type="auto"/>
        <w:tblLook w:val="04A0" w:firstRow="1" w:lastRow="0" w:firstColumn="1" w:lastColumn="0" w:noHBand="0" w:noVBand="1"/>
      </w:tblPr>
      <w:tblGrid>
        <w:gridCol w:w="2547"/>
        <w:gridCol w:w="7084"/>
      </w:tblGrid>
      <w:tr w:rsidR="00014C15">
        <w:tc>
          <w:tcPr>
            <w:tcW w:w="2547" w:type="dxa"/>
          </w:tcPr>
          <w:p w:rsidR="00014C15" w:rsidRDefault="00B6012C">
            <w:pPr>
              <w:jc w:val="center"/>
            </w:pPr>
            <w:r>
              <w:t>Company</w:t>
            </w:r>
          </w:p>
        </w:tc>
        <w:tc>
          <w:tcPr>
            <w:tcW w:w="7084" w:type="dxa"/>
          </w:tcPr>
          <w:p w:rsidR="00014C15" w:rsidRDefault="00B6012C">
            <w:pPr>
              <w:jc w:val="center"/>
            </w:pPr>
            <w:r>
              <w:t>Contact details (name/e-mail)</w:t>
            </w:r>
          </w:p>
        </w:tc>
      </w:tr>
      <w:tr w:rsidR="00014C15">
        <w:tc>
          <w:tcPr>
            <w:tcW w:w="2547" w:type="dxa"/>
          </w:tcPr>
          <w:p w:rsidR="00014C15" w:rsidRDefault="00B6012C">
            <w:pPr>
              <w:rPr>
                <w:lang w:eastAsia="zh-CN"/>
              </w:rPr>
            </w:pPr>
            <w:r>
              <w:rPr>
                <w:rFonts w:hint="eastAsia"/>
                <w:lang w:eastAsia="zh-CN"/>
              </w:rPr>
              <w:t>CMCC</w:t>
            </w:r>
          </w:p>
        </w:tc>
        <w:tc>
          <w:tcPr>
            <w:tcW w:w="7084" w:type="dxa"/>
          </w:tcPr>
          <w:p w:rsidR="00014C15" w:rsidRDefault="00B6012C">
            <w:pPr>
              <w:rPr>
                <w:lang w:eastAsia="zh-CN"/>
              </w:rPr>
            </w:pPr>
            <w:r>
              <w:rPr>
                <w:rFonts w:hint="eastAsia"/>
                <w:lang w:eastAsia="zh-CN"/>
              </w:rPr>
              <w:t>hanxingyu@chinamobile.com</w:t>
            </w:r>
          </w:p>
        </w:tc>
      </w:tr>
      <w:tr w:rsidR="00014C15">
        <w:tc>
          <w:tcPr>
            <w:tcW w:w="2547" w:type="dxa"/>
          </w:tcPr>
          <w:p w:rsidR="00014C15" w:rsidRDefault="00B6012C">
            <w:r>
              <w:t>Qualcomm</w:t>
            </w:r>
          </w:p>
        </w:tc>
        <w:tc>
          <w:tcPr>
            <w:tcW w:w="7084" w:type="dxa"/>
          </w:tcPr>
          <w:p w:rsidR="00014C15" w:rsidRDefault="00B6012C">
            <w:r>
              <w:t>jianhua@qti.qualcomm.com</w:t>
            </w:r>
          </w:p>
        </w:tc>
      </w:tr>
      <w:tr w:rsidR="00014C15">
        <w:tc>
          <w:tcPr>
            <w:tcW w:w="2547" w:type="dxa"/>
          </w:tcPr>
          <w:p w:rsidR="00014C15" w:rsidRDefault="00B6012C">
            <w:r>
              <w:t xml:space="preserve">Huawei, </w:t>
            </w:r>
            <w:proofErr w:type="spellStart"/>
            <w:r>
              <w:t>HiSilicon</w:t>
            </w:r>
            <w:proofErr w:type="spellEnd"/>
          </w:p>
        </w:tc>
        <w:tc>
          <w:tcPr>
            <w:tcW w:w="7084" w:type="dxa"/>
          </w:tcPr>
          <w:p w:rsidR="00014C15" w:rsidRDefault="00B6012C">
            <w:r>
              <w:t>dawid.koziol@huawei.com</w:t>
            </w:r>
          </w:p>
        </w:tc>
      </w:tr>
      <w:tr w:rsidR="00014C15">
        <w:tc>
          <w:tcPr>
            <w:tcW w:w="2547" w:type="dxa"/>
          </w:tcPr>
          <w:p w:rsidR="00014C15" w:rsidRDefault="00B6012C">
            <w:r>
              <w:t>LGE</w:t>
            </w:r>
          </w:p>
        </w:tc>
        <w:tc>
          <w:tcPr>
            <w:tcW w:w="7084" w:type="dxa"/>
          </w:tcPr>
          <w:p w:rsidR="00014C15" w:rsidRDefault="00B6012C">
            <w:r>
              <w:t>sangwon7.kim@lge.com</w:t>
            </w:r>
          </w:p>
        </w:tc>
      </w:tr>
      <w:tr w:rsidR="00014C15">
        <w:tc>
          <w:tcPr>
            <w:tcW w:w="2547" w:type="dxa"/>
          </w:tcPr>
          <w:p w:rsidR="00014C15" w:rsidRDefault="00B6012C">
            <w:r>
              <w:t>Ericsson</w:t>
            </w:r>
          </w:p>
        </w:tc>
        <w:tc>
          <w:tcPr>
            <w:tcW w:w="7084" w:type="dxa"/>
          </w:tcPr>
          <w:p w:rsidR="00014C15" w:rsidRDefault="00B6012C">
            <w:r>
              <w:t>cecilia.eklof@ericsson.com</w:t>
            </w:r>
          </w:p>
        </w:tc>
      </w:tr>
      <w:tr w:rsidR="00014C15">
        <w:tc>
          <w:tcPr>
            <w:tcW w:w="2547" w:type="dxa"/>
          </w:tcPr>
          <w:p w:rsidR="00014C15" w:rsidRDefault="00B6012C">
            <w:pPr>
              <w:rPr>
                <w:lang w:eastAsia="zh-CN"/>
              </w:rPr>
            </w:pPr>
            <w:r>
              <w:rPr>
                <w:rFonts w:hint="eastAsia"/>
                <w:lang w:eastAsia="zh-CN"/>
              </w:rPr>
              <w:t>O</w:t>
            </w:r>
            <w:r>
              <w:rPr>
                <w:lang w:eastAsia="zh-CN"/>
              </w:rPr>
              <w:t>PPO</w:t>
            </w:r>
          </w:p>
        </w:tc>
        <w:tc>
          <w:tcPr>
            <w:tcW w:w="7084" w:type="dxa"/>
          </w:tcPr>
          <w:p w:rsidR="00014C15" w:rsidRDefault="00B6012C">
            <w:pPr>
              <w:rPr>
                <w:lang w:eastAsia="zh-CN"/>
              </w:rPr>
            </w:pPr>
            <w:r>
              <w:rPr>
                <w:rFonts w:hint="eastAsia"/>
                <w:lang w:eastAsia="zh-CN"/>
              </w:rPr>
              <w:t>l</w:t>
            </w:r>
            <w:r>
              <w:rPr>
                <w:lang w:eastAsia="zh-CN"/>
              </w:rPr>
              <w:t>iuyangbj@oppo.com</w:t>
            </w:r>
          </w:p>
        </w:tc>
      </w:tr>
      <w:tr w:rsidR="00014C15">
        <w:tc>
          <w:tcPr>
            <w:tcW w:w="2547" w:type="dxa"/>
          </w:tcPr>
          <w:p w:rsidR="00014C15" w:rsidRDefault="00B6012C">
            <w:pPr>
              <w:rPr>
                <w:lang w:val="en-US" w:eastAsia="zh-CN"/>
              </w:rPr>
            </w:pPr>
            <w:r>
              <w:rPr>
                <w:lang w:val="en-US" w:eastAsia="zh-CN"/>
              </w:rPr>
              <w:t>ZTE</w:t>
            </w:r>
          </w:p>
        </w:tc>
        <w:tc>
          <w:tcPr>
            <w:tcW w:w="7084" w:type="dxa"/>
          </w:tcPr>
          <w:p w:rsidR="00014C15" w:rsidRDefault="00B6012C">
            <w:pPr>
              <w:rPr>
                <w:lang w:val="en-US" w:eastAsia="zh-CN"/>
              </w:rPr>
            </w:pPr>
            <w:r>
              <w:rPr>
                <w:lang w:val="en-US" w:eastAsia="zh-CN"/>
              </w:rPr>
              <w:t>Liu.yansheng@zte.com.cn</w:t>
            </w:r>
          </w:p>
        </w:tc>
      </w:tr>
    </w:tbl>
    <w:p w:rsidR="00014C15" w:rsidRDefault="00014C15"/>
    <w:p w:rsidR="00014C15" w:rsidRDefault="00B6012C">
      <w:pPr>
        <w:pStyle w:val="1"/>
        <w:rPr>
          <w:color w:val="808080" w:themeColor="background1" w:themeShade="80"/>
        </w:rPr>
      </w:pPr>
      <w:r>
        <w:rPr>
          <w:color w:val="808080" w:themeColor="background1" w:themeShade="80"/>
        </w:rPr>
        <w:lastRenderedPageBreak/>
        <w:t>2</w:t>
      </w:r>
      <w:r>
        <w:rPr>
          <w:color w:val="808080" w:themeColor="background1" w:themeShade="80"/>
        </w:rPr>
        <w:tab/>
        <w:t>Summary of companies contributions</w:t>
      </w:r>
      <w:r>
        <w:rPr>
          <w:color w:val="808080" w:themeColor="background1" w:themeShade="80"/>
        </w:rPr>
        <w:tab/>
        <w:t>from [10]</w:t>
      </w:r>
    </w:p>
    <w:p w:rsidR="00014C15" w:rsidRDefault="00B6012C">
      <w:pPr>
        <w:pStyle w:val="2"/>
        <w:rPr>
          <w:color w:val="808080" w:themeColor="background1" w:themeShade="80"/>
        </w:rPr>
      </w:pPr>
      <w:r>
        <w:rPr>
          <w:color w:val="808080" w:themeColor="background1" w:themeShade="80"/>
        </w:rPr>
        <w:t>2.1</w:t>
      </w:r>
      <w:r>
        <w:rPr>
          <w:color w:val="808080" w:themeColor="background1" w:themeShade="80"/>
        </w:rPr>
        <w:tab/>
        <w:t>Management based and signalling based QoE</w:t>
      </w:r>
    </w:p>
    <w:p w:rsidR="00014C15" w:rsidRDefault="00B6012C">
      <w:pPr>
        <w:rPr>
          <w:color w:val="808080" w:themeColor="background1" w:themeShade="80"/>
        </w:rPr>
      </w:pPr>
      <w:r>
        <w:rPr>
          <w:color w:val="808080" w:themeColor="background1" w:themeShade="80"/>
        </w:rPr>
        <w:t xml:space="preserve">In [1], it is proposed to clarify that the QoE configuration propagates during the handover only for signalling-based QoE activation, </w:t>
      </w:r>
      <w:r>
        <w:rPr>
          <w:color w:val="808080" w:themeColor="background1" w:themeShade="80"/>
        </w:rPr>
        <w:t>while it does not propagate for management-based QoE. Similarly, [5] assumes that QOE continuity is only applicable to signalling-based QoE. In [2] on the other hand, there is a view that all mobility related procedures should be applicable to both signall</w:t>
      </w:r>
      <w:r>
        <w:rPr>
          <w:color w:val="808080" w:themeColor="background1" w:themeShade="80"/>
        </w:rPr>
        <w:t>ing-0based and management-based QoE.  The rapporteur would like to note that RAN3 is already discussing this topic and made the following agreement:</w:t>
      </w:r>
    </w:p>
    <w:tbl>
      <w:tblPr>
        <w:tblStyle w:val="a9"/>
        <w:tblW w:w="0" w:type="auto"/>
        <w:tblLook w:val="04A0" w:firstRow="1" w:lastRow="0" w:firstColumn="1" w:lastColumn="0" w:noHBand="0" w:noVBand="1"/>
      </w:tblPr>
      <w:tblGrid>
        <w:gridCol w:w="9631"/>
      </w:tblGrid>
      <w:tr w:rsidR="00014C15">
        <w:tc>
          <w:tcPr>
            <w:tcW w:w="9631" w:type="dxa"/>
          </w:tcPr>
          <w:p w:rsidR="00014C15" w:rsidRDefault="00B6012C">
            <w:pPr>
              <w:rPr>
                <w:color w:val="808080" w:themeColor="background1" w:themeShade="80"/>
              </w:rPr>
            </w:pPr>
            <w:r>
              <w:rPr>
                <w:color w:val="808080" w:themeColor="background1" w:themeShade="80"/>
              </w:rPr>
              <w:t>Include signaling based QoE measurement configuration in handover preparation messages i.e. in XnAP: HANDOV</w:t>
            </w:r>
            <w:r>
              <w:rPr>
                <w:color w:val="808080" w:themeColor="background1" w:themeShade="80"/>
              </w:rPr>
              <w:t>ER REQUEST, NGAP: HANDOVER REQUEST. FFS on NGAP HANDOVER REQUIRED</w:t>
            </w:r>
          </w:p>
        </w:tc>
      </w:tr>
    </w:tbl>
    <w:p w:rsidR="00014C15" w:rsidRDefault="00B6012C">
      <w:pPr>
        <w:spacing w:before="240"/>
        <w:rPr>
          <w:color w:val="808080" w:themeColor="background1" w:themeShade="80"/>
        </w:rPr>
      </w:pPr>
      <w:r>
        <w:rPr>
          <w:color w:val="808080" w:themeColor="background1" w:themeShade="80"/>
        </w:rPr>
        <w:t>Furthermore, it is already noted in WID (RP-210913) that for mobility handling for management based QoE activation, SA5 input is required:</w:t>
      </w:r>
    </w:p>
    <w:tbl>
      <w:tblPr>
        <w:tblStyle w:val="a9"/>
        <w:tblW w:w="0" w:type="auto"/>
        <w:tblLook w:val="04A0" w:firstRow="1" w:lastRow="0" w:firstColumn="1" w:lastColumn="0" w:noHBand="0" w:noVBand="1"/>
      </w:tblPr>
      <w:tblGrid>
        <w:gridCol w:w="9631"/>
      </w:tblGrid>
      <w:tr w:rsidR="00014C15">
        <w:tc>
          <w:tcPr>
            <w:tcW w:w="9631" w:type="dxa"/>
          </w:tcPr>
          <w:p w:rsidR="00014C15" w:rsidRDefault="00B6012C">
            <w:pPr>
              <w:numPr>
                <w:ilvl w:val="0"/>
                <w:numId w:val="4"/>
              </w:numPr>
              <w:overflowPunct w:val="0"/>
              <w:autoSpaceDE w:val="0"/>
              <w:autoSpaceDN w:val="0"/>
              <w:adjustRightInd w:val="0"/>
              <w:spacing w:beforeLines="50" w:before="156" w:after="0"/>
              <w:ind w:hangingChars="210"/>
              <w:jc w:val="both"/>
              <w:rPr>
                <w:bCs/>
                <w:color w:val="808080" w:themeColor="background1" w:themeShade="80"/>
                <w:lang w:val="en-US" w:eastAsia="zh-CN"/>
              </w:rPr>
            </w:pPr>
            <w:r>
              <w:rPr>
                <w:bCs/>
                <w:color w:val="808080" w:themeColor="background1" w:themeShade="80"/>
                <w:lang w:val="en-US" w:eastAsia="zh-CN"/>
              </w:rPr>
              <w:t>Specify the support for QoE measurement collection</w:t>
            </w:r>
            <w:r>
              <w:rPr>
                <w:bCs/>
                <w:color w:val="808080" w:themeColor="background1" w:themeShade="80"/>
                <w:lang w:val="en-US" w:eastAsia="zh-CN"/>
              </w:rPr>
              <w:t xml:space="preserve"> and reporting continuity in </w:t>
            </w:r>
            <w:r>
              <w:rPr>
                <w:color w:val="808080" w:themeColor="background1" w:themeShade="80"/>
                <w:szCs w:val="18"/>
              </w:rPr>
              <w:t>intra-system intra-RAT</w:t>
            </w:r>
            <w:r>
              <w:rPr>
                <w:bCs/>
                <w:color w:val="808080" w:themeColor="background1" w:themeShade="80"/>
                <w:lang w:val="en-US" w:eastAsia="zh-CN"/>
              </w:rPr>
              <w:t xml:space="preserve"> mobility scenario for signaling based QoE. </w:t>
            </w:r>
            <w:r>
              <w:rPr>
                <w:bCs/>
                <w:color w:val="808080" w:themeColor="background1" w:themeShade="80"/>
                <w:highlight w:val="yellow"/>
                <w:lang w:eastAsia="zh-CN"/>
              </w:rPr>
              <w:t xml:space="preserve">Mobility </w:t>
            </w:r>
            <w:r>
              <w:rPr>
                <w:color w:val="808080" w:themeColor="background1" w:themeShade="80"/>
                <w:highlight w:val="yellow"/>
                <w:lang w:val="en-US" w:eastAsia="zh-CN"/>
              </w:rPr>
              <w:t>support</w:t>
            </w:r>
            <w:r>
              <w:rPr>
                <w:color w:val="808080" w:themeColor="background1" w:themeShade="80"/>
                <w:highlight w:val="yellow"/>
                <w:lang w:eastAsia="zh-CN"/>
              </w:rPr>
              <w:t xml:space="preserve"> for </w:t>
            </w:r>
            <w:r>
              <w:rPr>
                <w:bCs/>
                <w:color w:val="808080" w:themeColor="background1" w:themeShade="80"/>
                <w:highlight w:val="yellow"/>
                <w:lang w:eastAsia="zh-CN"/>
              </w:rPr>
              <w:t>management based QoE measurements is pending input from SA5.</w:t>
            </w:r>
            <w:r>
              <w:rPr>
                <w:bCs/>
                <w:color w:val="808080" w:themeColor="background1" w:themeShade="80"/>
                <w:lang w:eastAsia="zh-CN"/>
              </w:rPr>
              <w:t xml:space="preserve"> </w:t>
            </w:r>
            <w:r>
              <w:rPr>
                <w:bCs/>
                <w:color w:val="808080" w:themeColor="background1" w:themeShade="80"/>
                <w:lang w:val="en-US" w:eastAsia="zh-CN"/>
              </w:rPr>
              <w:t>[RAN3, RAN2]</w:t>
            </w:r>
          </w:p>
        </w:tc>
      </w:tr>
    </w:tbl>
    <w:p w:rsidR="00014C15" w:rsidRDefault="00014C15">
      <w:pPr>
        <w:rPr>
          <w:color w:val="808080" w:themeColor="background1" w:themeShade="80"/>
        </w:rPr>
      </w:pPr>
    </w:p>
    <w:p w:rsidR="00014C15" w:rsidRDefault="00B6012C">
      <w:pPr>
        <w:rPr>
          <w:color w:val="808080" w:themeColor="background1" w:themeShade="80"/>
        </w:rPr>
      </w:pPr>
      <w:r>
        <w:rPr>
          <w:color w:val="808080" w:themeColor="background1" w:themeShade="80"/>
        </w:rPr>
        <w:t xml:space="preserve">It seems that for now RAN2 can assume that a discussion and </w:t>
      </w:r>
      <w:r>
        <w:rPr>
          <w:color w:val="808080" w:themeColor="background1" w:themeShade="80"/>
        </w:rPr>
        <w:t>agreements related to mobility are applicable to signalling-based QoE and whether they are applicable to management-based QoE depends on further discussions in RAN3 based on input from SA5.</w:t>
      </w:r>
    </w:p>
    <w:p w:rsidR="00014C15" w:rsidRDefault="00B6012C">
      <w:pPr>
        <w:rPr>
          <w:b/>
          <w:color w:val="808080" w:themeColor="background1" w:themeShade="80"/>
        </w:rPr>
      </w:pPr>
      <w:r>
        <w:rPr>
          <w:b/>
          <w:color w:val="808080" w:themeColor="background1" w:themeShade="80"/>
        </w:rPr>
        <w:t xml:space="preserve">Proposal 1: RAN2 assumes that all QoE mobility related agreements </w:t>
      </w:r>
      <w:r>
        <w:rPr>
          <w:b/>
          <w:color w:val="808080" w:themeColor="background1" w:themeShade="80"/>
        </w:rPr>
        <w:t>made by RAN2 are applicable at least to signalling based QoE. Whether the same applies to management-based QoE is pending further input from SA5 and RAN3.</w:t>
      </w:r>
    </w:p>
    <w:p w:rsidR="00014C15" w:rsidRDefault="00B6012C">
      <w:pPr>
        <w:pStyle w:val="2"/>
        <w:rPr>
          <w:color w:val="808080" w:themeColor="background1" w:themeShade="80"/>
        </w:rPr>
      </w:pPr>
      <w:r>
        <w:rPr>
          <w:color w:val="808080" w:themeColor="background1" w:themeShade="80"/>
        </w:rPr>
        <w:t>2.2</w:t>
      </w:r>
      <w:r>
        <w:rPr>
          <w:color w:val="808080" w:themeColor="background1" w:themeShade="80"/>
        </w:rPr>
        <w:tab/>
        <w:t>Area handling for QoE during handover</w:t>
      </w:r>
    </w:p>
    <w:p w:rsidR="00014C15" w:rsidRDefault="00B6012C">
      <w:pPr>
        <w:rPr>
          <w:color w:val="808080" w:themeColor="background1" w:themeShade="80"/>
        </w:rPr>
      </w:pPr>
      <w:r>
        <w:rPr>
          <w:color w:val="808080" w:themeColor="background1" w:themeShade="80"/>
        </w:rPr>
        <w:t xml:space="preserve">RAN2 received </w:t>
      </w:r>
      <w:proofErr w:type="gramStart"/>
      <w:r>
        <w:rPr>
          <w:color w:val="808080" w:themeColor="background1" w:themeShade="80"/>
        </w:rPr>
        <w:t>an LS</w:t>
      </w:r>
      <w:proofErr w:type="gramEnd"/>
      <w:r>
        <w:rPr>
          <w:color w:val="808080" w:themeColor="background1" w:themeShade="80"/>
        </w:rPr>
        <w:t xml:space="preserve"> from RAN3 in R3-212976 with the followi</w:t>
      </w:r>
      <w:r>
        <w:rPr>
          <w:color w:val="808080" w:themeColor="background1" w:themeShade="80"/>
        </w:rPr>
        <w:t>ng conclusion with respect to area handling for QoE during mobility:</w:t>
      </w:r>
    </w:p>
    <w:tbl>
      <w:tblPr>
        <w:tblStyle w:val="a9"/>
        <w:tblW w:w="0" w:type="auto"/>
        <w:tblLook w:val="04A0" w:firstRow="1" w:lastRow="0" w:firstColumn="1" w:lastColumn="0" w:noHBand="0" w:noVBand="1"/>
      </w:tblPr>
      <w:tblGrid>
        <w:gridCol w:w="9631"/>
      </w:tblGrid>
      <w:tr w:rsidR="00014C15">
        <w:tc>
          <w:tcPr>
            <w:tcW w:w="9631" w:type="dxa"/>
          </w:tcPr>
          <w:p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RAN3 discussed further the following three options captured in TR 38.890 regarding the area handling for QoE during mobility.</w:t>
            </w:r>
          </w:p>
          <w:p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2, where the network is responsible for keeping track of whether the UE is inside </w:t>
            </w:r>
            <w:r>
              <w:rPr>
                <w:rFonts w:ascii="Arial" w:hAnsi="Arial" w:cs="Arial"/>
                <w:color w:val="808080" w:themeColor="background1" w:themeShade="80"/>
                <w:lang w:eastAsia="zh-CN"/>
              </w:rPr>
              <w:t xml:space="preserve">or outside the area, and the UE responsible to manage start/stop of QoE accordingly. </w:t>
            </w:r>
          </w:p>
          <w:p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Option 3, where the UE is responsible for area checking (UE has the area configuration) and to manage start/stop of QoE accordingly.</w:t>
            </w:r>
          </w:p>
          <w:p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RAN3 agreed to support Option 1.</w:t>
            </w:r>
          </w:p>
        </w:tc>
      </w:tr>
    </w:tbl>
    <w:p w:rsidR="00014C15" w:rsidRDefault="00014C15">
      <w:pPr>
        <w:rPr>
          <w:color w:val="808080" w:themeColor="background1" w:themeShade="80"/>
          <w:lang w:val="en-US"/>
        </w:rPr>
      </w:pPr>
    </w:p>
    <w:p w:rsidR="00014C15" w:rsidRDefault="00B6012C">
      <w:pPr>
        <w:rPr>
          <w:color w:val="808080" w:themeColor="background1" w:themeShade="80"/>
        </w:rPr>
      </w:pPr>
      <w:r>
        <w:rPr>
          <w:color w:val="808080" w:themeColor="background1" w:themeShade="80"/>
        </w:rPr>
        <w:lastRenderedPageBreak/>
        <w:t>Based on this agreement, several contribution discuss the details of option 1 selected by RAN3, e.g. [1], [2], [4], [5], [6], [9].</w:t>
      </w:r>
    </w:p>
    <w:p w:rsidR="00014C15" w:rsidRDefault="00B6012C">
      <w:pPr>
        <w:jc w:val="both"/>
        <w:rPr>
          <w:color w:val="808080" w:themeColor="background1" w:themeShade="80"/>
        </w:rPr>
      </w:pPr>
      <w:r>
        <w:rPr>
          <w:color w:val="808080" w:themeColor="background1" w:themeShade="80"/>
        </w:rPr>
        <w:t xml:space="preserve">In [4], [5] and [6], network side behaviour is clarified for QoE configurations handling upon handover based on the relevant </w:t>
      </w:r>
      <w:r>
        <w:rPr>
          <w:color w:val="808080" w:themeColor="background1" w:themeShade="80"/>
        </w:rPr>
        <w:t>area scope. It is clarified that area scope of each QoE configuration will be known at the target gNB based on the Xn signalling, at least for signalling based QoE activation. Based on this information, the target gNB can decide which QoE configurations to</w:t>
      </w:r>
      <w:r>
        <w:rPr>
          <w:color w:val="808080" w:themeColor="background1" w:themeShade="80"/>
        </w:rPr>
        <w:t xml:space="preserve"> keep and which QoE configurations to release by taking into consideration the relevant area scope of each of QoE configuration. Similarly, [1] discusses </w:t>
      </w:r>
      <w:proofErr w:type="spellStart"/>
      <w:r>
        <w:rPr>
          <w:i/>
          <w:color w:val="808080" w:themeColor="background1" w:themeShade="80"/>
        </w:rPr>
        <w:t>areaScope</w:t>
      </w:r>
      <w:proofErr w:type="spellEnd"/>
      <w:r>
        <w:rPr>
          <w:color w:val="808080" w:themeColor="background1" w:themeShade="80"/>
        </w:rPr>
        <w:t xml:space="preserve"> parameter, which was previously described by SA5 in an LS in R2-1900096 for LTE QoE and it i</w:t>
      </w:r>
      <w:r>
        <w:rPr>
          <w:color w:val="808080" w:themeColor="background1" w:themeShade="80"/>
        </w:rPr>
        <w:t>s also clarified that gNB itself can determine whether the UE is in the measurement area or not and can either keep or release the QoE configuration based on this. Based on the views expressed in these papers, the following can be proposed:</w:t>
      </w:r>
    </w:p>
    <w:p w:rsidR="00014C15" w:rsidRDefault="00B6012C">
      <w:pPr>
        <w:rPr>
          <w:color w:val="808080" w:themeColor="background1" w:themeShade="80"/>
        </w:rPr>
      </w:pPr>
      <w:r>
        <w:rPr>
          <w:b/>
          <w:bCs/>
          <w:color w:val="808080" w:themeColor="background1" w:themeShade="80"/>
        </w:rPr>
        <w:t>Proposal 2:</w:t>
      </w:r>
      <w:r>
        <w:rPr>
          <w:b/>
          <w:color w:val="808080" w:themeColor="background1" w:themeShade="80"/>
        </w:rPr>
        <w:t xml:space="preserve"> Are</w:t>
      </w:r>
      <w:r>
        <w:rPr>
          <w:b/>
          <w:color w:val="808080" w:themeColor="background1" w:themeShade="80"/>
        </w:rPr>
        <w:t>a scope parameter is not introduced in RRC procedures supporting QoE.</w:t>
      </w:r>
    </w:p>
    <w:p w:rsidR="00014C15" w:rsidRDefault="00B6012C">
      <w:pPr>
        <w:spacing w:before="240"/>
        <w:rPr>
          <w:color w:val="808080" w:themeColor="background1" w:themeShade="80"/>
        </w:rPr>
      </w:pPr>
      <w:r>
        <w:rPr>
          <w:b/>
          <w:color w:val="808080" w:themeColor="background1" w:themeShade="80"/>
        </w:rPr>
        <w:t>Proposal 3: The target gNB decides which QoE configurations to keep and which to release during a handover, e.g. based on QoE configuration information received from the source gNB in Xn</w:t>
      </w:r>
      <w:r>
        <w:rPr>
          <w:b/>
          <w:color w:val="808080" w:themeColor="background1" w:themeShade="80"/>
        </w:rPr>
        <w:t xml:space="preserve"> signalling and/or UE’s current RRC configuration of QoE.</w:t>
      </w:r>
    </w:p>
    <w:p w:rsidR="00014C15" w:rsidRDefault="00014C15">
      <w:pPr>
        <w:rPr>
          <w:color w:val="808080" w:themeColor="background1" w:themeShade="80"/>
        </w:rPr>
      </w:pPr>
    </w:p>
    <w:p w:rsidR="00014C15" w:rsidRDefault="00B6012C">
      <w:pPr>
        <w:rPr>
          <w:color w:val="808080" w:themeColor="background1" w:themeShade="80"/>
        </w:rPr>
      </w:pPr>
      <w:r>
        <w:rPr>
          <w:color w:val="808080" w:themeColor="background1" w:themeShade="80"/>
        </w:rPr>
        <w:t>With respect to QoE handling upon mobility, in [2] and [4], the following SA4 requirement is recalled:</w:t>
      </w:r>
    </w:p>
    <w:tbl>
      <w:tblPr>
        <w:tblStyle w:val="a9"/>
        <w:tblW w:w="0" w:type="auto"/>
        <w:tblLook w:val="04A0" w:firstRow="1" w:lastRow="0" w:firstColumn="1" w:lastColumn="0" w:noHBand="0" w:noVBand="1"/>
      </w:tblPr>
      <w:tblGrid>
        <w:gridCol w:w="9631"/>
      </w:tblGrid>
      <w:tr w:rsidR="00014C15">
        <w:tc>
          <w:tcPr>
            <w:tcW w:w="9631" w:type="dxa"/>
          </w:tcPr>
          <w:p w:rsidR="00014C15" w:rsidRDefault="00B6012C">
            <w:pPr>
              <w:rPr>
                <w:b/>
                <w:color w:val="808080" w:themeColor="background1" w:themeShade="80"/>
              </w:rPr>
            </w:pPr>
            <w:r>
              <w:rPr>
                <w:color w:val="808080" w:themeColor="background1" w:themeShade="80"/>
              </w:rPr>
              <w:t>The QoE configuration shall only be checked by the client when each session starts, and thus a</w:t>
            </w:r>
            <w:r>
              <w:rPr>
                <w:color w:val="808080" w:themeColor="background1" w:themeShade="80"/>
              </w:rPr>
              <w:t xml:space="preserve">ll logging and reporting </w:t>
            </w:r>
            <w:proofErr w:type="spellStart"/>
            <w:r>
              <w:rPr>
                <w:color w:val="808080" w:themeColor="background1" w:themeShade="80"/>
              </w:rPr>
              <w:t>criterias</w:t>
            </w:r>
            <w:proofErr w:type="spellEnd"/>
            <w:r>
              <w:rPr>
                <w:color w:val="808080" w:themeColor="background1" w:themeShade="80"/>
              </w:rPr>
              <w:t xml:space="preserve"> for an </w:t>
            </w:r>
            <w:proofErr w:type="spellStart"/>
            <w:r>
              <w:rPr>
                <w:color w:val="808080" w:themeColor="background1" w:themeShade="80"/>
              </w:rPr>
              <w:t>ongoing</w:t>
            </w:r>
            <w:proofErr w:type="spellEnd"/>
            <w:r>
              <w:rPr>
                <w:color w:val="808080" w:themeColor="background1" w:themeShade="80"/>
              </w:rPr>
              <w:t xml:space="preserve"> session shall be unaffected by any QoE configuration changes received during that session. This also includes evaluation of any filtering </w:t>
            </w:r>
            <w:proofErr w:type="spellStart"/>
            <w:r>
              <w:rPr>
                <w:color w:val="808080" w:themeColor="background1" w:themeShade="80"/>
              </w:rPr>
              <w:t>criterias</w:t>
            </w:r>
            <w:proofErr w:type="spellEnd"/>
            <w:r>
              <w:rPr>
                <w:color w:val="808080" w:themeColor="background1" w:themeShade="80"/>
              </w:rPr>
              <w:t xml:space="preserve">, such as geographical filtering, which shall only be done </w:t>
            </w:r>
            <w:r>
              <w:rPr>
                <w:color w:val="808080" w:themeColor="background1" w:themeShade="80"/>
              </w:rPr>
              <w:t>when the session starts. Thus changes to the QoE configuration will only affect sessions started after these configuration changes have been received.</w:t>
            </w:r>
          </w:p>
        </w:tc>
      </w:tr>
    </w:tbl>
    <w:p w:rsidR="00014C15" w:rsidRDefault="00B6012C">
      <w:pPr>
        <w:spacing w:before="240"/>
        <w:rPr>
          <w:color w:val="808080" w:themeColor="background1" w:themeShade="80"/>
        </w:rPr>
      </w:pPr>
      <w:r>
        <w:rPr>
          <w:color w:val="808080" w:themeColor="background1" w:themeShade="80"/>
        </w:rPr>
        <w:t>According to the contributions, this requirement means that the gNB should not release a QoE configurati</w:t>
      </w:r>
      <w:r>
        <w:rPr>
          <w:color w:val="808080" w:themeColor="background1" w:themeShade="80"/>
        </w:rPr>
        <w:t xml:space="preserve">on for which the QoE session is </w:t>
      </w:r>
      <w:proofErr w:type="spellStart"/>
      <w:r>
        <w:rPr>
          <w:color w:val="808080" w:themeColor="background1" w:themeShade="80"/>
        </w:rPr>
        <w:t>ongoing</w:t>
      </w:r>
      <w:proofErr w:type="spellEnd"/>
      <w:r>
        <w:rPr>
          <w:color w:val="808080" w:themeColor="background1" w:themeShade="80"/>
        </w:rPr>
        <w:t xml:space="preserve">, even when the UE moves outside of the QoE area. This in turn requires the gNB to be aware of when the session is </w:t>
      </w:r>
      <w:proofErr w:type="spellStart"/>
      <w:r>
        <w:rPr>
          <w:color w:val="808080" w:themeColor="background1" w:themeShade="80"/>
        </w:rPr>
        <w:t>ongoing</w:t>
      </w:r>
      <w:proofErr w:type="spellEnd"/>
      <w:r>
        <w:rPr>
          <w:color w:val="808080" w:themeColor="background1" w:themeShade="80"/>
        </w:rPr>
        <w:t>. Furthermore, in [9] it is indicated that session start/end indications from the UE are requir</w:t>
      </w:r>
      <w:r>
        <w:rPr>
          <w:color w:val="808080" w:themeColor="background1" w:themeShade="80"/>
        </w:rPr>
        <w:t>ed for the QoE related procedures in the network, especially for activation and deactivation procedures, e.g. for the network to know when the QoE configurations may be released from the UE once the deactivation command is received by the gNB. Based on [2]</w:t>
      </w:r>
      <w:r>
        <w:rPr>
          <w:color w:val="808080" w:themeColor="background1" w:themeShade="80"/>
        </w:rPr>
        <w:t>, [4] and [9] the following proposals are then made:</w:t>
      </w:r>
    </w:p>
    <w:p w:rsidR="00014C15" w:rsidRDefault="00B6012C">
      <w:pPr>
        <w:spacing w:before="240"/>
        <w:rPr>
          <w:b/>
          <w:color w:val="808080" w:themeColor="background1" w:themeShade="80"/>
        </w:rPr>
      </w:pPr>
      <w:r>
        <w:rPr>
          <w:b/>
          <w:color w:val="808080" w:themeColor="background1" w:themeShade="80"/>
        </w:rPr>
        <w:t>Proposal 4: The UE informs the gNB when the QoE measurement session starts or when the session ends, e.g. to enable QoE configuration handling upon mobility or for QoE activation/deactivation procedures.</w:t>
      </w:r>
    </w:p>
    <w:p w:rsidR="00014C15" w:rsidRDefault="00B6012C">
      <w:pPr>
        <w:spacing w:before="240"/>
        <w:rPr>
          <w:color w:val="808080" w:themeColor="background1" w:themeShade="80"/>
        </w:rPr>
      </w:pPr>
      <w:r>
        <w:rPr>
          <w:color w:val="808080" w:themeColor="background1" w:themeShade="80"/>
        </w:rPr>
        <w:t>In [4], it is also indicated that CT1 may need to be involved to specify the relevant indication from application to AS layer:</w:t>
      </w:r>
    </w:p>
    <w:p w:rsidR="00014C15" w:rsidRDefault="00B6012C">
      <w:pPr>
        <w:spacing w:before="240"/>
        <w:rPr>
          <w:b/>
          <w:color w:val="808080" w:themeColor="background1" w:themeShade="80"/>
        </w:rPr>
      </w:pPr>
      <w:r>
        <w:rPr>
          <w:b/>
          <w:color w:val="808080" w:themeColor="background1" w:themeShade="80"/>
        </w:rPr>
        <w:t xml:space="preserve">Proposal 5: RAN2 sends </w:t>
      </w:r>
      <w:proofErr w:type="gramStart"/>
      <w:r>
        <w:rPr>
          <w:b/>
          <w:color w:val="808080" w:themeColor="background1" w:themeShade="80"/>
        </w:rPr>
        <w:t>an LS</w:t>
      </w:r>
      <w:proofErr w:type="gramEnd"/>
      <w:r>
        <w:rPr>
          <w:b/>
          <w:color w:val="808080" w:themeColor="background1" w:themeShade="80"/>
        </w:rPr>
        <w:t xml:space="preserve"> to CT1 group to specify session start and session end indications from application to AS layer.</w:t>
      </w:r>
    </w:p>
    <w:p w:rsidR="00014C15" w:rsidRDefault="00B6012C">
      <w:pPr>
        <w:spacing w:before="240"/>
        <w:rPr>
          <w:color w:val="808080" w:themeColor="background1" w:themeShade="80"/>
        </w:rPr>
      </w:pPr>
      <w:r>
        <w:rPr>
          <w:color w:val="808080" w:themeColor="background1" w:themeShade="80"/>
        </w:rPr>
        <w:t xml:space="preserve">In </w:t>
      </w:r>
      <w:r>
        <w:rPr>
          <w:color w:val="808080" w:themeColor="background1" w:themeShade="80"/>
        </w:rPr>
        <w:t xml:space="preserve">[2], the network side behaviour is also further clarified for the case where the UE moves out of the QoE measurement area, but the related QoE measurement session is </w:t>
      </w:r>
      <w:proofErr w:type="spellStart"/>
      <w:r>
        <w:rPr>
          <w:color w:val="808080" w:themeColor="background1" w:themeShade="80"/>
        </w:rPr>
        <w:t>ongoing</w:t>
      </w:r>
      <w:proofErr w:type="spellEnd"/>
      <w:r>
        <w:rPr>
          <w:color w:val="808080" w:themeColor="background1" w:themeShade="80"/>
        </w:rPr>
        <w:t xml:space="preserve"> when the handover occurs:</w:t>
      </w:r>
    </w:p>
    <w:p w:rsidR="00014C15" w:rsidRDefault="00B6012C">
      <w:pPr>
        <w:spacing w:before="240"/>
        <w:rPr>
          <w:b/>
          <w:color w:val="808080" w:themeColor="background1" w:themeShade="80"/>
        </w:rPr>
      </w:pPr>
      <w:r>
        <w:rPr>
          <w:b/>
          <w:color w:val="808080" w:themeColor="background1" w:themeShade="80"/>
        </w:rPr>
        <w:t>Proposal 6: If SA4 confirms that the requirement for con</w:t>
      </w:r>
      <w:r>
        <w:rPr>
          <w:b/>
          <w:color w:val="808080" w:themeColor="background1" w:themeShade="80"/>
        </w:rPr>
        <w:t xml:space="preserve">figuration changes of </w:t>
      </w:r>
      <w:proofErr w:type="spellStart"/>
      <w:r>
        <w:rPr>
          <w:b/>
          <w:color w:val="808080" w:themeColor="background1" w:themeShade="80"/>
        </w:rPr>
        <w:t>ongoing</w:t>
      </w:r>
      <w:proofErr w:type="spellEnd"/>
      <w:r>
        <w:rPr>
          <w:b/>
          <w:color w:val="808080" w:themeColor="background1" w:themeShade="80"/>
        </w:rPr>
        <w:t xml:space="preserve"> QMC sessions is applicable also for NR QMC: In case the UE moves out of the measurement area during a handover, the target gNB should release the QoE configuration of the UE if the related QoE measurement session is not </w:t>
      </w:r>
      <w:proofErr w:type="spellStart"/>
      <w:r>
        <w:rPr>
          <w:b/>
          <w:color w:val="808080" w:themeColor="background1" w:themeShade="80"/>
        </w:rPr>
        <w:t>ongoin</w:t>
      </w:r>
      <w:r>
        <w:rPr>
          <w:b/>
          <w:color w:val="808080" w:themeColor="background1" w:themeShade="80"/>
        </w:rPr>
        <w:t>g</w:t>
      </w:r>
      <w:proofErr w:type="spellEnd"/>
      <w:r>
        <w:rPr>
          <w:b/>
          <w:color w:val="808080" w:themeColor="background1" w:themeShade="80"/>
        </w:rPr>
        <w:t xml:space="preserve"> and </w:t>
      </w:r>
      <w:r>
        <w:rPr>
          <w:b/>
          <w:color w:val="808080" w:themeColor="background1" w:themeShade="80"/>
        </w:rPr>
        <w:lastRenderedPageBreak/>
        <w:t xml:space="preserve">should keep the QoE configurations for which the QoE measurements are </w:t>
      </w:r>
      <w:proofErr w:type="spellStart"/>
      <w:r>
        <w:rPr>
          <w:b/>
          <w:color w:val="808080" w:themeColor="background1" w:themeShade="80"/>
        </w:rPr>
        <w:t>ongoing</w:t>
      </w:r>
      <w:proofErr w:type="spellEnd"/>
      <w:r>
        <w:rPr>
          <w:b/>
          <w:color w:val="808080" w:themeColor="background1" w:themeShade="80"/>
        </w:rPr>
        <w:t xml:space="preserve"> (regardless of whether the UE stays within the associated QoE area or not).</w:t>
      </w:r>
    </w:p>
    <w:p w:rsidR="00014C15" w:rsidRDefault="00014C15">
      <w:pPr>
        <w:rPr>
          <w:color w:val="808080" w:themeColor="background1" w:themeShade="80"/>
        </w:rPr>
      </w:pPr>
    </w:p>
    <w:p w:rsidR="00014C15" w:rsidRDefault="00B6012C">
      <w:pPr>
        <w:rPr>
          <w:color w:val="808080" w:themeColor="background1" w:themeShade="80"/>
        </w:rPr>
      </w:pPr>
      <w:r>
        <w:rPr>
          <w:color w:val="808080" w:themeColor="background1" w:themeShade="80"/>
        </w:rPr>
        <w:t xml:space="preserve">Furthermore, in [1] and [4], the aspects related to SRB4 release are discussed. In [1], it is </w:t>
      </w:r>
      <w:r>
        <w:rPr>
          <w:color w:val="808080" w:themeColor="background1" w:themeShade="80"/>
        </w:rPr>
        <w:t>indicated that, e.g. upon moving to RRC IDLE state, the UE will release SRB4 and that it should be clarified in the specifications that releasing SRB4 is equivalent to releasing all QoE configurations. Similarly, in [4], it is noted that a UE may move into</w:t>
      </w:r>
      <w:r>
        <w:rPr>
          <w:color w:val="808080" w:themeColor="background1" w:themeShade="80"/>
        </w:rPr>
        <w:t xml:space="preserve"> the coverage of the gNB which does not support QoE and such gNB will not support SRB4. Without being configured with SRB4, the UE will not be able to send the QoE measurement reports to the network. Hence, it is proposed to clarify that the UE should disc</w:t>
      </w:r>
      <w:r>
        <w:rPr>
          <w:color w:val="808080" w:themeColor="background1" w:themeShade="80"/>
        </w:rPr>
        <w:t>ard the reports received from application layer in case it has no associated QoE configuration / SRB4 established. Based on the discussion in these papers, the following proposals are made:</w:t>
      </w:r>
    </w:p>
    <w:p w:rsidR="00014C15" w:rsidRDefault="00B6012C">
      <w:pPr>
        <w:rPr>
          <w:color w:val="808080" w:themeColor="background1" w:themeShade="80"/>
        </w:rPr>
      </w:pPr>
      <w:r>
        <w:rPr>
          <w:b/>
          <w:bCs/>
          <w:color w:val="808080" w:themeColor="background1" w:themeShade="80"/>
        </w:rPr>
        <w:t>Proposal 7:</w:t>
      </w:r>
      <w:r>
        <w:rPr>
          <w:b/>
          <w:color w:val="808080" w:themeColor="background1" w:themeShade="80"/>
        </w:rPr>
        <w:t xml:space="preserve"> When the UE moves to RRC IDLE state, it releases SRB4,</w:t>
      </w:r>
      <w:r>
        <w:rPr>
          <w:b/>
          <w:color w:val="808080" w:themeColor="background1" w:themeShade="80"/>
        </w:rPr>
        <w:t xml:space="preserve"> releases all QoE configurations and discards any pending or not reported QoE data.</w:t>
      </w:r>
    </w:p>
    <w:p w:rsidR="00014C15" w:rsidRDefault="00B6012C">
      <w:pPr>
        <w:rPr>
          <w:b/>
          <w:color w:val="808080" w:themeColor="background1" w:themeShade="80"/>
        </w:rPr>
      </w:pPr>
      <w:r>
        <w:rPr>
          <w:b/>
          <w:color w:val="808080" w:themeColor="background1" w:themeShade="80"/>
        </w:rPr>
        <w:t>Proposal 8: The UE discards the reports received from application layer in case it has no associated QoE configuration configured.</w:t>
      </w:r>
    </w:p>
    <w:p w:rsidR="00014C15" w:rsidRDefault="00014C15">
      <w:pPr>
        <w:rPr>
          <w:b/>
          <w:color w:val="808080" w:themeColor="background1" w:themeShade="80"/>
        </w:rPr>
      </w:pPr>
    </w:p>
    <w:p w:rsidR="00014C15" w:rsidRDefault="00B6012C">
      <w:pPr>
        <w:pStyle w:val="2"/>
        <w:rPr>
          <w:color w:val="808080" w:themeColor="background1" w:themeShade="80"/>
        </w:rPr>
      </w:pPr>
      <w:r>
        <w:rPr>
          <w:color w:val="808080" w:themeColor="background1" w:themeShade="80"/>
        </w:rPr>
        <w:t>2.3</w:t>
      </w:r>
      <w:r>
        <w:rPr>
          <w:color w:val="808080" w:themeColor="background1" w:themeShade="80"/>
        </w:rPr>
        <w:tab/>
      </w:r>
      <w:r>
        <w:rPr>
          <w:color w:val="808080" w:themeColor="background1" w:themeShade="80"/>
        </w:rPr>
        <w:tab/>
        <w:t xml:space="preserve">QoE handling upon receiving Full </w:t>
      </w:r>
      <w:r>
        <w:rPr>
          <w:color w:val="808080" w:themeColor="background1" w:themeShade="80"/>
        </w:rPr>
        <w:t>configuration</w:t>
      </w:r>
    </w:p>
    <w:p w:rsidR="00014C15" w:rsidRDefault="00B6012C">
      <w:pPr>
        <w:rPr>
          <w:color w:val="808080" w:themeColor="background1" w:themeShade="80"/>
        </w:rPr>
      </w:pPr>
      <w:r>
        <w:rPr>
          <w:color w:val="808080" w:themeColor="background1" w:themeShade="80"/>
        </w:rPr>
        <w:t>In [2], it is proposed that upon receiving full configuration during a handover, a UE shall check if otherConfig includes the QoE configuration or not. If the same QoE configuration exists, the UE shall continue the QoE measurements and other</w:t>
      </w:r>
      <w:r>
        <w:rPr>
          <w:color w:val="808080" w:themeColor="background1" w:themeShade="80"/>
        </w:rPr>
        <w:t>wise, the UE should release QoE configuration. In order to reduce signalling overhead, it is further proposed in [2] that QoE configuration container is included optionally in QoE configuration, so that the network does not have to repeat QoE configuration</w:t>
      </w:r>
      <w:r>
        <w:rPr>
          <w:color w:val="808080" w:themeColor="background1" w:themeShade="80"/>
        </w:rPr>
        <w:t xml:space="preserve"> in case it wants the UE to keep the QoE configuration upon full configuration procedure. Repeating the configuration will also make the UE to release an old QoE configuration and treat the repeated as the new one, since the UE is not able to really tell w</w:t>
      </w:r>
      <w:r>
        <w:rPr>
          <w:color w:val="808080" w:themeColor="background1" w:themeShade="80"/>
        </w:rPr>
        <w:t>hether the configuration is the same or not. Therefore, it is proposed:</w:t>
      </w:r>
    </w:p>
    <w:p w:rsidR="00014C15" w:rsidRDefault="00B6012C">
      <w:pPr>
        <w:rPr>
          <w:b/>
          <w:color w:val="808080" w:themeColor="background1" w:themeShade="80"/>
        </w:rPr>
      </w:pPr>
      <w:r>
        <w:rPr>
          <w:b/>
          <w:color w:val="808080" w:themeColor="background1" w:themeShade="80"/>
        </w:rPr>
        <w:t xml:space="preserve">Proposal 9: Upon </w:t>
      </w:r>
      <w:proofErr w:type="spellStart"/>
      <w:r>
        <w:rPr>
          <w:b/>
          <w:color w:val="808080" w:themeColor="background1" w:themeShade="80"/>
        </w:rPr>
        <w:t>FullConfig</w:t>
      </w:r>
      <w:proofErr w:type="spellEnd"/>
      <w:r>
        <w:rPr>
          <w:b/>
          <w:color w:val="808080" w:themeColor="background1" w:themeShade="80"/>
        </w:rPr>
        <w:t xml:space="preserve">, the gNB can indicate to the UE the identifiers of QoE configurations which should be kept by the UE and the UE shall continue the QoE measurements for the </w:t>
      </w:r>
      <w:r>
        <w:rPr>
          <w:b/>
          <w:color w:val="808080" w:themeColor="background1" w:themeShade="80"/>
        </w:rPr>
        <w:t xml:space="preserve">indicated QoE configurations. </w:t>
      </w:r>
    </w:p>
    <w:p w:rsidR="00014C15" w:rsidRDefault="00B6012C">
      <w:pPr>
        <w:pStyle w:val="2"/>
        <w:rPr>
          <w:color w:val="808080" w:themeColor="background1" w:themeShade="80"/>
        </w:rPr>
      </w:pPr>
      <w:r>
        <w:rPr>
          <w:color w:val="808080" w:themeColor="background1" w:themeShade="80"/>
        </w:rPr>
        <w:t>2.4</w:t>
      </w:r>
      <w:r>
        <w:rPr>
          <w:color w:val="808080" w:themeColor="background1" w:themeShade="80"/>
        </w:rPr>
        <w:tab/>
        <w:t>QoE handling during mobility in RRC INACTIVE</w:t>
      </w:r>
    </w:p>
    <w:p w:rsidR="00014C15" w:rsidRDefault="00B6012C">
      <w:pPr>
        <w:rPr>
          <w:color w:val="808080" w:themeColor="background1" w:themeShade="80"/>
        </w:rPr>
      </w:pPr>
      <w:r>
        <w:rPr>
          <w:color w:val="808080" w:themeColor="background1" w:themeShade="80"/>
        </w:rPr>
        <w:t>In [7], it is proposed to discuss whether the UE should always store and recover all of its QoE configurations when transitioning between RRC INACTIVE and RRC CONNECTED states,</w:t>
      </w:r>
      <w:r>
        <w:rPr>
          <w:color w:val="808080" w:themeColor="background1" w:themeShade="80"/>
        </w:rPr>
        <w:t xml:space="preserve"> or whether there should be a possibility for the network to decide which QoE configurations are stored/recovered, e.g. via RRCRelease or </w:t>
      </w:r>
      <w:proofErr w:type="spellStart"/>
      <w:r>
        <w:rPr>
          <w:color w:val="808080" w:themeColor="background1" w:themeShade="80"/>
        </w:rPr>
        <w:t>RRCResume</w:t>
      </w:r>
      <w:proofErr w:type="spellEnd"/>
      <w:r>
        <w:rPr>
          <w:color w:val="808080" w:themeColor="background1" w:themeShade="80"/>
        </w:rPr>
        <w:t xml:space="preserve"> message.  </w:t>
      </w:r>
    </w:p>
    <w:p w:rsidR="00014C15" w:rsidRDefault="00B6012C">
      <w:pPr>
        <w:rPr>
          <w:color w:val="808080" w:themeColor="background1" w:themeShade="80"/>
        </w:rPr>
      </w:pPr>
      <w:r>
        <w:rPr>
          <w:color w:val="808080" w:themeColor="background1" w:themeShade="80"/>
        </w:rPr>
        <w:t>In [8], it is proposed to discuss how to restore QoE configurations stored in the UE context in t</w:t>
      </w:r>
      <w:r>
        <w:rPr>
          <w:color w:val="808080" w:themeColor="background1" w:themeShade="80"/>
        </w:rPr>
        <w:t>hree scenarios:</w:t>
      </w:r>
    </w:p>
    <w:p w:rsidR="00014C15" w:rsidRDefault="00B6012C">
      <w:pPr>
        <w:pStyle w:val="ac"/>
        <w:numPr>
          <w:ilvl w:val="0"/>
          <w:numId w:val="5"/>
        </w:numPr>
        <w:rPr>
          <w:color w:val="808080" w:themeColor="background1" w:themeShade="80"/>
        </w:rPr>
      </w:pPr>
      <w:r>
        <w:rPr>
          <w:color w:val="808080" w:themeColor="background1" w:themeShade="80"/>
        </w:rPr>
        <w:t>UE resumes the connection in the gNB supporting QoE with no overload/congestion.</w:t>
      </w:r>
    </w:p>
    <w:p w:rsidR="00014C15" w:rsidRDefault="00B6012C">
      <w:pPr>
        <w:pStyle w:val="ac"/>
        <w:numPr>
          <w:ilvl w:val="0"/>
          <w:numId w:val="5"/>
        </w:numPr>
        <w:rPr>
          <w:color w:val="808080" w:themeColor="background1" w:themeShade="80"/>
        </w:rPr>
      </w:pPr>
      <w:r>
        <w:rPr>
          <w:color w:val="808080" w:themeColor="background1" w:themeShade="80"/>
        </w:rPr>
        <w:t>UE resumes the connection in the gNB supporting QoE in an overload/congestion situation.</w:t>
      </w:r>
    </w:p>
    <w:p w:rsidR="00014C15" w:rsidRDefault="00B6012C">
      <w:pPr>
        <w:pStyle w:val="ac"/>
        <w:numPr>
          <w:ilvl w:val="0"/>
          <w:numId w:val="5"/>
        </w:numPr>
        <w:rPr>
          <w:color w:val="808080" w:themeColor="background1" w:themeShade="80"/>
        </w:rPr>
      </w:pPr>
      <w:r>
        <w:rPr>
          <w:color w:val="808080" w:themeColor="background1" w:themeShade="80"/>
        </w:rPr>
        <w:t>UE resumes the connection in the gNB not supporting QoE feature.</w:t>
      </w:r>
    </w:p>
    <w:p w:rsidR="00014C15" w:rsidRDefault="00B6012C">
      <w:pPr>
        <w:rPr>
          <w:color w:val="808080" w:themeColor="background1" w:themeShade="80"/>
        </w:rPr>
      </w:pPr>
      <w:r>
        <w:rPr>
          <w:color w:val="808080" w:themeColor="background1" w:themeShade="80"/>
        </w:rPr>
        <w:t>Furth</w:t>
      </w:r>
      <w:r>
        <w:rPr>
          <w:color w:val="808080" w:themeColor="background1" w:themeShade="80"/>
        </w:rPr>
        <w:t>ermore, it is proposed in [8] that:</w:t>
      </w:r>
    </w:p>
    <w:p w:rsidR="00014C15" w:rsidRDefault="00B6012C">
      <w:pPr>
        <w:pStyle w:val="ac"/>
        <w:numPr>
          <w:ilvl w:val="0"/>
          <w:numId w:val="4"/>
        </w:numPr>
        <w:rPr>
          <w:color w:val="808080" w:themeColor="background1" w:themeShade="80"/>
        </w:rPr>
      </w:pPr>
      <w:r>
        <w:rPr>
          <w:color w:val="808080" w:themeColor="background1" w:themeShade="80"/>
        </w:rPr>
        <w:lastRenderedPageBreak/>
        <w:t>When the UE resumes RRC connection in a gNB not supporting QoE, UE restores QoE context and performs QoE measurements but pauses QoE reporting. UE recognizes gNB not supporting QoE by the lack of indication to restore Qo</w:t>
      </w:r>
      <w:r>
        <w:rPr>
          <w:color w:val="808080" w:themeColor="background1" w:themeShade="80"/>
        </w:rPr>
        <w:t xml:space="preserve">E in </w:t>
      </w:r>
      <w:proofErr w:type="spellStart"/>
      <w:r>
        <w:rPr>
          <w:color w:val="808080" w:themeColor="background1" w:themeShade="80"/>
        </w:rPr>
        <w:t>RRCResume</w:t>
      </w:r>
      <w:proofErr w:type="spellEnd"/>
      <w:r>
        <w:rPr>
          <w:color w:val="808080" w:themeColor="background1" w:themeShade="80"/>
        </w:rPr>
        <w:t xml:space="preserve"> message.</w:t>
      </w:r>
    </w:p>
    <w:p w:rsidR="00014C15" w:rsidRDefault="00B6012C">
      <w:pPr>
        <w:pStyle w:val="ac"/>
        <w:numPr>
          <w:ilvl w:val="0"/>
          <w:numId w:val="4"/>
        </w:numPr>
        <w:rPr>
          <w:color w:val="808080" w:themeColor="background1" w:themeShade="80"/>
        </w:rPr>
      </w:pPr>
      <w:r>
        <w:rPr>
          <w:color w:val="808080" w:themeColor="background1" w:themeShade="80"/>
        </w:rPr>
        <w:t xml:space="preserve">When UE resumes RRC connection in a gNB supporting QoE, UE restores QoE reporting only after receiving explicit indication in </w:t>
      </w:r>
      <w:proofErr w:type="spellStart"/>
      <w:r>
        <w:rPr>
          <w:color w:val="808080" w:themeColor="background1" w:themeShade="80"/>
        </w:rPr>
        <w:t>RRCResume</w:t>
      </w:r>
      <w:proofErr w:type="spellEnd"/>
      <w:r>
        <w:rPr>
          <w:color w:val="808080" w:themeColor="background1" w:themeShade="80"/>
        </w:rPr>
        <w:t xml:space="preserve"> message.</w:t>
      </w:r>
    </w:p>
    <w:p w:rsidR="00014C15" w:rsidRDefault="00B6012C">
      <w:pPr>
        <w:pStyle w:val="ac"/>
        <w:numPr>
          <w:ilvl w:val="0"/>
          <w:numId w:val="4"/>
        </w:numPr>
        <w:rPr>
          <w:color w:val="808080" w:themeColor="background1" w:themeShade="80"/>
        </w:rPr>
      </w:pPr>
      <w:r>
        <w:rPr>
          <w:color w:val="808080" w:themeColor="background1" w:themeShade="80"/>
        </w:rPr>
        <w:t>The gNB supporting QoE can release or pause all or part of QoE configurations during RR</w:t>
      </w:r>
      <w:r>
        <w:rPr>
          <w:color w:val="808080" w:themeColor="background1" w:themeShade="80"/>
        </w:rPr>
        <w:t>C resume.</w:t>
      </w:r>
    </w:p>
    <w:p w:rsidR="00014C15" w:rsidRDefault="00B6012C">
      <w:pPr>
        <w:rPr>
          <w:color w:val="808080" w:themeColor="background1" w:themeShade="80"/>
        </w:rPr>
      </w:pPr>
      <w:r>
        <w:rPr>
          <w:color w:val="808080" w:themeColor="background1" w:themeShade="80"/>
        </w:rPr>
        <w:t>Similar topic is discussed in [4]. It is indicated that the overall principle should be the same as for UE mobility in RRC CONNECTED state, i.e. it is the target gNB (new serving gNB), which should decide which QoE configurations to keep and whic</w:t>
      </w:r>
      <w:r>
        <w:rPr>
          <w:color w:val="808080" w:themeColor="background1" w:themeShade="80"/>
        </w:rPr>
        <w:t xml:space="preserve">h to release, e.g. based on area information received from the source node (anchor gNB). According to [4], this can be achieved by gNB sending an indication to the UE in </w:t>
      </w:r>
      <w:proofErr w:type="spellStart"/>
      <w:r>
        <w:rPr>
          <w:color w:val="808080" w:themeColor="background1" w:themeShade="80"/>
        </w:rPr>
        <w:t>RRCResume</w:t>
      </w:r>
      <w:proofErr w:type="spellEnd"/>
      <w:r>
        <w:rPr>
          <w:color w:val="808080" w:themeColor="background1" w:themeShade="80"/>
        </w:rPr>
        <w:t xml:space="preserve"> message about which QoE configurations should be kept at the UE and when the</w:t>
      </w:r>
      <w:r>
        <w:rPr>
          <w:color w:val="808080" w:themeColor="background1" w:themeShade="80"/>
        </w:rPr>
        <w:t xml:space="preserve">re is no indication to restore the QoE configurations, the UE should release all of its QoE configurations. This way, it is possible to release all QoE configurations from the UE (e.g. when the connection is resumed in a gNB not supporting QoE) or some of </w:t>
      </w:r>
      <w:r>
        <w:rPr>
          <w:color w:val="808080" w:themeColor="background1" w:themeShade="80"/>
        </w:rPr>
        <w:t xml:space="preserve">the configurations (e.g. those which are not in relevant in the area where the UE resumes the connection). </w:t>
      </w:r>
    </w:p>
    <w:p w:rsidR="00014C15" w:rsidRDefault="00B6012C">
      <w:pPr>
        <w:rPr>
          <w:color w:val="808080" w:themeColor="background1" w:themeShade="80"/>
        </w:rPr>
      </w:pPr>
      <w:r>
        <w:rPr>
          <w:color w:val="808080" w:themeColor="background1" w:themeShade="80"/>
        </w:rPr>
        <w:t xml:space="preserve">Based on the above, it seems that an explicit indication in </w:t>
      </w:r>
      <w:proofErr w:type="spellStart"/>
      <w:r>
        <w:rPr>
          <w:color w:val="808080" w:themeColor="background1" w:themeShade="80"/>
        </w:rPr>
        <w:t>RRCResume</w:t>
      </w:r>
      <w:proofErr w:type="spellEnd"/>
      <w:r>
        <w:rPr>
          <w:color w:val="808080" w:themeColor="background1" w:themeShade="80"/>
        </w:rPr>
        <w:t xml:space="preserve"> to restore QoE configurations is </w:t>
      </w:r>
      <w:proofErr w:type="gramStart"/>
      <w:r>
        <w:rPr>
          <w:color w:val="808080" w:themeColor="background1" w:themeShade="80"/>
        </w:rPr>
        <w:t>required/beneficial</w:t>
      </w:r>
      <w:proofErr w:type="gramEnd"/>
      <w:r>
        <w:rPr>
          <w:color w:val="808080" w:themeColor="background1" w:themeShade="80"/>
        </w:rPr>
        <w:t xml:space="preserve"> to support at least the c</w:t>
      </w:r>
      <w:r>
        <w:rPr>
          <w:color w:val="808080" w:themeColor="background1" w:themeShade="80"/>
        </w:rPr>
        <w:t>ase where the UE resumes the connection in a gNB not supporting QoE as well as to release the QoE configurations which are not valid in the new gNB. Since an explicit indication is proposed in both [4] and [8] while [7] seems to be neutral on this topic, R</w:t>
      </w:r>
      <w:r>
        <w:rPr>
          <w:color w:val="808080" w:themeColor="background1" w:themeShade="80"/>
        </w:rPr>
        <w:t xml:space="preserve">AN2 is requested to discuss and agree the following proposal: </w:t>
      </w:r>
    </w:p>
    <w:p w:rsidR="00014C15" w:rsidRDefault="00B6012C">
      <w:pPr>
        <w:rPr>
          <w:b/>
          <w:color w:val="808080" w:themeColor="background1" w:themeShade="80"/>
        </w:rPr>
      </w:pPr>
      <w:r>
        <w:rPr>
          <w:b/>
          <w:color w:val="808080" w:themeColor="background1" w:themeShade="80"/>
        </w:rPr>
        <w:t>Proposal 10:</w:t>
      </w:r>
      <w:r>
        <w:rPr>
          <w:b/>
          <w:color w:val="808080" w:themeColor="background1" w:themeShade="80"/>
        </w:rPr>
        <w:tab/>
        <w:t>When the UE resumes the connection in a gNB supporting QoE, the target gNB should explicitly indicate which QoE measurement configurations should be kept by the UE during RRC resum</w:t>
      </w:r>
      <w:r>
        <w:rPr>
          <w:b/>
          <w:color w:val="808080" w:themeColor="background1" w:themeShade="80"/>
        </w:rPr>
        <w:t xml:space="preserve">e procedure, e.g. in </w:t>
      </w:r>
      <w:proofErr w:type="spellStart"/>
      <w:r>
        <w:rPr>
          <w:b/>
          <w:color w:val="808080" w:themeColor="background1" w:themeShade="80"/>
        </w:rPr>
        <w:t>RRCResume</w:t>
      </w:r>
      <w:proofErr w:type="spellEnd"/>
      <w:r>
        <w:rPr>
          <w:b/>
          <w:color w:val="808080" w:themeColor="background1" w:themeShade="80"/>
        </w:rPr>
        <w:t xml:space="preserve"> message. The UE shall release all QoE measurement configurations not indicated by the gNB for restoration.</w:t>
      </w:r>
    </w:p>
    <w:p w:rsidR="00014C15" w:rsidRDefault="00B6012C">
      <w:pPr>
        <w:rPr>
          <w:color w:val="808080" w:themeColor="background1" w:themeShade="80"/>
        </w:rPr>
      </w:pPr>
      <w:r>
        <w:rPr>
          <w:color w:val="808080" w:themeColor="background1" w:themeShade="80"/>
        </w:rPr>
        <w:t xml:space="preserve">There are different views on what should happen in case the UE resumes in the gNB not supporting QoE (e.g. in [4] and </w:t>
      </w:r>
      <w:r>
        <w:rPr>
          <w:color w:val="808080" w:themeColor="background1" w:themeShade="80"/>
        </w:rPr>
        <w:t xml:space="preserve">[8]), so it is further proposed to discuss the following proposal: </w:t>
      </w:r>
    </w:p>
    <w:p w:rsidR="00014C15" w:rsidRDefault="00B6012C">
      <w:pPr>
        <w:spacing w:after="0"/>
        <w:rPr>
          <w:b/>
          <w:color w:val="808080" w:themeColor="background1" w:themeShade="80"/>
        </w:rPr>
      </w:pPr>
      <w:r>
        <w:rPr>
          <w:b/>
          <w:color w:val="808080" w:themeColor="background1" w:themeShade="80"/>
        </w:rPr>
        <w:t>Proposal 11:</w:t>
      </w:r>
      <w:r>
        <w:rPr>
          <w:b/>
          <w:color w:val="808080" w:themeColor="background1" w:themeShade="80"/>
        </w:rPr>
        <w:tab/>
        <w:t xml:space="preserve">RAN2 is requested to discuss handling of QoE configurations when resuming the connection in a gNB not supporting QoE (recognized, e.g. by the lack of QoE indication in </w:t>
      </w:r>
      <w:proofErr w:type="spellStart"/>
      <w:r>
        <w:rPr>
          <w:b/>
          <w:color w:val="808080" w:themeColor="background1" w:themeShade="80"/>
        </w:rPr>
        <w:t>RRCResu</w:t>
      </w:r>
      <w:r>
        <w:rPr>
          <w:b/>
          <w:color w:val="808080" w:themeColor="background1" w:themeShade="80"/>
        </w:rPr>
        <w:t>me</w:t>
      </w:r>
      <w:proofErr w:type="spellEnd"/>
      <w:r>
        <w:rPr>
          <w:b/>
          <w:color w:val="808080" w:themeColor="background1" w:themeShade="80"/>
        </w:rPr>
        <w:t>):</w:t>
      </w:r>
    </w:p>
    <w:p w:rsidR="00014C15" w:rsidRDefault="00B6012C">
      <w:pPr>
        <w:pStyle w:val="ac"/>
        <w:numPr>
          <w:ilvl w:val="0"/>
          <w:numId w:val="6"/>
        </w:numPr>
        <w:rPr>
          <w:b/>
          <w:color w:val="808080" w:themeColor="background1" w:themeShade="80"/>
        </w:rPr>
      </w:pPr>
      <w:r>
        <w:rPr>
          <w:b/>
          <w:color w:val="808080" w:themeColor="background1" w:themeShade="80"/>
        </w:rPr>
        <w:t>The UE shall release all QoE measurement configurations.</w:t>
      </w:r>
    </w:p>
    <w:p w:rsidR="00014C15" w:rsidRDefault="00B6012C">
      <w:pPr>
        <w:pStyle w:val="ac"/>
        <w:numPr>
          <w:ilvl w:val="0"/>
          <w:numId w:val="6"/>
        </w:numPr>
        <w:rPr>
          <w:b/>
          <w:color w:val="808080" w:themeColor="background1" w:themeShade="80"/>
        </w:rPr>
      </w:pPr>
      <w:r>
        <w:rPr>
          <w:b/>
          <w:color w:val="808080" w:themeColor="background1" w:themeShade="80"/>
        </w:rPr>
        <w:t>The UE restores QoE context and performs QoE measurements but pausing QoE reporting.</w:t>
      </w:r>
    </w:p>
    <w:p w:rsidR="00014C15" w:rsidRDefault="00B6012C">
      <w:pPr>
        <w:rPr>
          <w:color w:val="808080" w:themeColor="background1" w:themeShade="80"/>
        </w:rPr>
      </w:pPr>
      <w:r>
        <w:rPr>
          <w:color w:val="808080" w:themeColor="background1" w:themeShade="80"/>
        </w:rPr>
        <w:t xml:space="preserve">It is also proposed to discuss further whether it is required to allow a possibility for a target gNB to </w:t>
      </w:r>
      <w:proofErr w:type="gramStart"/>
      <w:r>
        <w:rPr>
          <w:color w:val="808080" w:themeColor="background1" w:themeShade="80"/>
        </w:rPr>
        <w:t>paus</w:t>
      </w:r>
      <w:r>
        <w:rPr>
          <w:color w:val="808080" w:themeColor="background1" w:themeShade="80"/>
        </w:rPr>
        <w:t>e</w:t>
      </w:r>
      <w:proofErr w:type="gramEnd"/>
      <w:r>
        <w:rPr>
          <w:color w:val="808080" w:themeColor="background1" w:themeShade="80"/>
        </w:rPr>
        <w:t xml:space="preserve"> QoE measurement reporting during RRC Resume procedure, as proposed in [8]:</w:t>
      </w:r>
    </w:p>
    <w:p w:rsidR="00014C15" w:rsidRDefault="00B6012C">
      <w:r>
        <w:rPr>
          <w:b/>
          <w:color w:val="808080" w:themeColor="background1" w:themeShade="80"/>
        </w:rPr>
        <w:t xml:space="preserve">Proposal 12: RAN2 is requested to discuss whether it should be possible for the gNB to restore and </w:t>
      </w:r>
      <w:proofErr w:type="gramStart"/>
      <w:r>
        <w:rPr>
          <w:b/>
          <w:color w:val="808080" w:themeColor="background1" w:themeShade="80"/>
        </w:rPr>
        <w:t>pause</w:t>
      </w:r>
      <w:proofErr w:type="gramEnd"/>
      <w:r>
        <w:rPr>
          <w:b/>
          <w:color w:val="808080" w:themeColor="background1" w:themeShade="80"/>
        </w:rPr>
        <w:t xml:space="preserve"> QoE measurement reporting for some/all QoE configurations during RRC Resum</w:t>
      </w:r>
      <w:r>
        <w:rPr>
          <w:b/>
          <w:color w:val="808080" w:themeColor="background1" w:themeShade="80"/>
        </w:rPr>
        <w:t>e procedure.</w:t>
      </w:r>
    </w:p>
    <w:p w:rsidR="00014C15" w:rsidRDefault="00014C15"/>
    <w:p w:rsidR="00014C15" w:rsidRDefault="00B6012C">
      <w:pPr>
        <w:pStyle w:val="1"/>
      </w:pPr>
      <w:r>
        <w:t>3</w:t>
      </w:r>
      <w:r>
        <w:tab/>
        <w:t>Offline [046] discussion</w:t>
      </w:r>
    </w:p>
    <w:p w:rsidR="00014C15" w:rsidRDefault="00B6012C">
      <w:pPr>
        <w:pStyle w:val="2"/>
      </w:pPr>
      <w:r>
        <w:t>3.1</w:t>
      </w:r>
      <w:r>
        <w:tab/>
        <w:t>Potential easy agreements</w:t>
      </w:r>
    </w:p>
    <w:p w:rsidR="00014C15" w:rsidRDefault="00B6012C">
      <w:r>
        <w:t>The following proposals from [10] were identified by the rapporteur as potential easy agreements:</w:t>
      </w:r>
    </w:p>
    <w:tbl>
      <w:tblPr>
        <w:tblStyle w:val="a9"/>
        <w:tblW w:w="0" w:type="auto"/>
        <w:tblLook w:val="04A0" w:firstRow="1" w:lastRow="0" w:firstColumn="1" w:lastColumn="0" w:noHBand="0" w:noVBand="1"/>
      </w:tblPr>
      <w:tblGrid>
        <w:gridCol w:w="9631"/>
      </w:tblGrid>
      <w:tr w:rsidR="00014C15">
        <w:tc>
          <w:tcPr>
            <w:tcW w:w="9631" w:type="dxa"/>
          </w:tcPr>
          <w:p w:rsidR="00014C15" w:rsidRDefault="00B6012C">
            <w:pPr>
              <w:rPr>
                <w:b/>
              </w:rPr>
            </w:pPr>
            <w:r>
              <w:rPr>
                <w:b/>
                <w:highlight w:val="green"/>
              </w:rPr>
              <w:lastRenderedPageBreak/>
              <w:t>Proposal 1:</w:t>
            </w:r>
            <w:r>
              <w:rPr>
                <w:b/>
              </w:rPr>
              <w:t xml:space="preserve"> RAN2 assumes that all QoE mobility related agreements made by RAN2 are applicable at least to signalling based QoE. Whether the same applies to management-based QoE is pending further input from SA5 and RAN3.</w:t>
            </w:r>
          </w:p>
          <w:p w:rsidR="00014C15" w:rsidRDefault="00B6012C">
            <w:r>
              <w:rPr>
                <w:b/>
                <w:bCs/>
                <w:highlight w:val="green"/>
              </w:rPr>
              <w:t>Proposal 2:</w:t>
            </w:r>
            <w:r>
              <w:rPr>
                <w:b/>
              </w:rPr>
              <w:t xml:space="preserve"> Area scope parameter is not introd</w:t>
            </w:r>
            <w:r>
              <w:rPr>
                <w:b/>
              </w:rPr>
              <w:t>uced in RRC procedures supporting QoE.</w:t>
            </w:r>
          </w:p>
          <w:p w:rsidR="00014C15" w:rsidRDefault="00B6012C">
            <w:pPr>
              <w:spacing w:before="240"/>
            </w:pPr>
            <w:r>
              <w:rPr>
                <w:b/>
                <w:highlight w:val="green"/>
              </w:rPr>
              <w:t>Proposal 3:</w:t>
            </w:r>
            <w:r>
              <w:rPr>
                <w:b/>
              </w:rPr>
              <w:t xml:space="preserve"> The target gNB decides which QoE configurations to keep and which to release during a handover, e.g. based on QoE configuration information received from the source gNB in Xn signalling and/or UE’s current</w:t>
            </w:r>
            <w:r>
              <w:rPr>
                <w:b/>
              </w:rPr>
              <w:t xml:space="preserve"> RRC configuration of QoE.</w:t>
            </w:r>
          </w:p>
          <w:p w:rsidR="00014C15" w:rsidRDefault="00B6012C">
            <w:r>
              <w:rPr>
                <w:b/>
                <w:bCs/>
                <w:highlight w:val="green"/>
              </w:rPr>
              <w:t>Proposal 7:</w:t>
            </w:r>
            <w:r>
              <w:rPr>
                <w:b/>
              </w:rPr>
              <w:t xml:space="preserve"> When the UE moves to RRC IDLE state, it releases SRB4, releases all QoE configurations and discards any pending or not reported QoE data.</w:t>
            </w:r>
          </w:p>
          <w:p w:rsidR="00014C15" w:rsidRDefault="00B6012C">
            <w:pPr>
              <w:rPr>
                <w:b/>
              </w:rPr>
            </w:pPr>
            <w:r>
              <w:rPr>
                <w:b/>
                <w:highlight w:val="green"/>
              </w:rPr>
              <w:t>Proposal 8:</w:t>
            </w:r>
            <w:r>
              <w:rPr>
                <w:b/>
              </w:rPr>
              <w:t xml:space="preserve"> The UE discards the reports received from application layer in case</w:t>
            </w:r>
            <w:r>
              <w:rPr>
                <w:b/>
              </w:rPr>
              <w:t xml:space="preserve"> it has no associated QoE configuration configured.</w:t>
            </w:r>
          </w:p>
          <w:p w:rsidR="00014C15" w:rsidRDefault="00B6012C">
            <w:pPr>
              <w:rPr>
                <w:b/>
              </w:rPr>
            </w:pPr>
            <w:r>
              <w:rPr>
                <w:b/>
                <w:highlight w:val="green"/>
              </w:rPr>
              <w:t>Proposal 10:</w:t>
            </w:r>
            <w:r>
              <w:rPr>
                <w:b/>
              </w:rPr>
              <w:tab/>
              <w:t>When the UE resumes the connection in a gNB supporting QoE, the target gNB should explicitly indicate which QoE measurement configurations should be kept by the UE during RRC resume procedure</w:t>
            </w:r>
            <w:r>
              <w:rPr>
                <w:b/>
              </w:rPr>
              <w:t xml:space="preserve">, e.g. in </w:t>
            </w:r>
            <w:proofErr w:type="spellStart"/>
            <w:r>
              <w:rPr>
                <w:b/>
              </w:rPr>
              <w:t>RRCResume</w:t>
            </w:r>
            <w:proofErr w:type="spellEnd"/>
            <w:r>
              <w:rPr>
                <w:b/>
              </w:rPr>
              <w:t xml:space="preserve"> message. The UE shall release all QoE measurement configurations not indicated by the gNB for restoration.</w:t>
            </w:r>
          </w:p>
        </w:tc>
      </w:tr>
    </w:tbl>
    <w:p w:rsidR="00014C15" w:rsidRDefault="00014C15"/>
    <w:p w:rsidR="00014C15" w:rsidRDefault="00014C15"/>
    <w:p w:rsidR="00014C15" w:rsidRDefault="00B6012C">
      <w:pPr>
        <w:rPr>
          <w:b/>
        </w:rPr>
      </w:pPr>
      <w:r>
        <w:rPr>
          <w:b/>
        </w:rPr>
        <w:t>Question 1: Companies are requested to indicate in the below table in case they object to any of the proposals above.</w:t>
      </w:r>
    </w:p>
    <w:tbl>
      <w:tblPr>
        <w:tblStyle w:val="a9"/>
        <w:tblW w:w="0" w:type="auto"/>
        <w:tblLook w:val="04A0" w:firstRow="1" w:lastRow="0" w:firstColumn="1" w:lastColumn="0" w:noHBand="0" w:noVBand="1"/>
      </w:tblPr>
      <w:tblGrid>
        <w:gridCol w:w="2405"/>
        <w:gridCol w:w="2126"/>
        <w:gridCol w:w="5100"/>
      </w:tblGrid>
      <w:tr w:rsidR="00014C15">
        <w:tc>
          <w:tcPr>
            <w:tcW w:w="2405" w:type="dxa"/>
          </w:tcPr>
          <w:p w:rsidR="00014C15" w:rsidRDefault="00B6012C">
            <w:pPr>
              <w:jc w:val="center"/>
              <w:rPr>
                <w:b/>
              </w:rPr>
            </w:pPr>
            <w:r>
              <w:rPr>
                <w:b/>
              </w:rPr>
              <w:t>Company</w:t>
            </w:r>
          </w:p>
        </w:tc>
        <w:tc>
          <w:tcPr>
            <w:tcW w:w="2126" w:type="dxa"/>
          </w:tcPr>
          <w:p w:rsidR="00014C15" w:rsidRDefault="00B6012C">
            <w:pPr>
              <w:jc w:val="center"/>
              <w:rPr>
                <w:b/>
              </w:rPr>
            </w:pPr>
            <w:r>
              <w:rPr>
                <w:b/>
              </w:rPr>
              <w:t>Objected proposal</w:t>
            </w:r>
          </w:p>
        </w:tc>
        <w:tc>
          <w:tcPr>
            <w:tcW w:w="5100" w:type="dxa"/>
          </w:tcPr>
          <w:p w:rsidR="00014C15" w:rsidRDefault="00B6012C">
            <w:pPr>
              <w:jc w:val="center"/>
              <w:rPr>
                <w:b/>
              </w:rPr>
            </w:pPr>
            <w:r>
              <w:rPr>
                <w:b/>
              </w:rPr>
              <w:t>Reason for objection / alternative proposal</w:t>
            </w:r>
          </w:p>
        </w:tc>
      </w:tr>
      <w:tr w:rsidR="00014C15">
        <w:tc>
          <w:tcPr>
            <w:tcW w:w="2405" w:type="dxa"/>
          </w:tcPr>
          <w:p w:rsidR="00014C15" w:rsidRDefault="00B6012C">
            <w:pPr>
              <w:rPr>
                <w:lang w:eastAsia="zh-CN"/>
              </w:rPr>
            </w:pPr>
            <w:r>
              <w:rPr>
                <w:rFonts w:hint="eastAsia"/>
                <w:lang w:eastAsia="zh-CN"/>
              </w:rPr>
              <w:t>CMCC</w:t>
            </w:r>
          </w:p>
        </w:tc>
        <w:tc>
          <w:tcPr>
            <w:tcW w:w="2126" w:type="dxa"/>
          </w:tcPr>
          <w:p w:rsidR="00014C15" w:rsidRDefault="00B6012C">
            <w:pPr>
              <w:rPr>
                <w:lang w:eastAsia="zh-CN"/>
              </w:rPr>
            </w:pPr>
            <w:r>
              <w:rPr>
                <w:rFonts w:hint="eastAsia"/>
                <w:lang w:eastAsia="zh-CN"/>
              </w:rPr>
              <w:t>8</w:t>
            </w:r>
          </w:p>
        </w:tc>
        <w:tc>
          <w:tcPr>
            <w:tcW w:w="5100" w:type="dxa"/>
          </w:tcPr>
          <w:p w:rsidR="00014C15" w:rsidRDefault="00B6012C">
            <w:pPr>
              <w:rPr>
                <w:lang w:eastAsia="zh-CN"/>
              </w:rPr>
            </w:pPr>
            <w:r>
              <w:rPr>
                <w:rFonts w:hint="eastAsia"/>
                <w:lang w:eastAsia="zh-CN"/>
              </w:rPr>
              <w:t>We may not be able to decide Proposal 8 for now, and recall that we haven</w:t>
            </w:r>
            <w:r>
              <w:rPr>
                <w:lang w:eastAsia="zh-CN"/>
              </w:rPr>
              <w:t>’</w:t>
            </w:r>
            <w:r>
              <w:rPr>
                <w:rFonts w:hint="eastAsia"/>
                <w:lang w:eastAsia="zh-CN"/>
              </w:rPr>
              <w:t>t got the reply on LS to SA4 asking where to store the report, and we haven</w:t>
            </w:r>
            <w:r>
              <w:rPr>
                <w:lang w:eastAsia="zh-CN"/>
              </w:rPr>
              <w:t>’</w:t>
            </w:r>
            <w:r>
              <w:rPr>
                <w:rFonts w:hint="eastAsia"/>
                <w:lang w:eastAsia="zh-CN"/>
              </w:rPr>
              <w:t xml:space="preserve">t got the reply on LS to SA5 asking </w:t>
            </w:r>
            <w:r>
              <w:rPr>
                <w:rFonts w:hint="eastAsia"/>
                <w:lang w:eastAsia="zh-CN"/>
              </w:rPr>
              <w:t xml:space="preserve">whether the configuration release will impact the </w:t>
            </w:r>
            <w:proofErr w:type="spellStart"/>
            <w:r>
              <w:rPr>
                <w:rFonts w:hint="eastAsia"/>
                <w:lang w:eastAsia="zh-CN"/>
              </w:rPr>
              <w:t>ongoing</w:t>
            </w:r>
            <w:proofErr w:type="spellEnd"/>
            <w:r>
              <w:rPr>
                <w:rFonts w:hint="eastAsia"/>
                <w:lang w:eastAsia="zh-CN"/>
              </w:rPr>
              <w:t xml:space="preserve"> session. So it might be safer to wait for feedbacks.</w:t>
            </w:r>
          </w:p>
        </w:tc>
      </w:tr>
      <w:tr w:rsidR="00014C15">
        <w:tc>
          <w:tcPr>
            <w:tcW w:w="2405" w:type="dxa"/>
          </w:tcPr>
          <w:p w:rsidR="00014C15" w:rsidRDefault="00B6012C">
            <w:r>
              <w:t>Qualcomm</w:t>
            </w:r>
          </w:p>
        </w:tc>
        <w:tc>
          <w:tcPr>
            <w:tcW w:w="2126" w:type="dxa"/>
          </w:tcPr>
          <w:p w:rsidR="00014C15" w:rsidRDefault="00014C15"/>
        </w:tc>
        <w:tc>
          <w:tcPr>
            <w:tcW w:w="5100" w:type="dxa"/>
          </w:tcPr>
          <w:p w:rsidR="00014C15" w:rsidRDefault="00B6012C">
            <w:r>
              <w:t>Not object but further clarification</w:t>
            </w:r>
          </w:p>
          <w:p w:rsidR="00014C15" w:rsidRDefault="00B6012C">
            <w:r>
              <w:t>For P3, it is unclear what configuration information in the “</w:t>
            </w:r>
            <w:r>
              <w:rPr>
                <w:i/>
              </w:rPr>
              <w:t>e.g. based on QoE configuration info</w:t>
            </w:r>
            <w:r>
              <w:rPr>
                <w:i/>
              </w:rPr>
              <w:t>rmation received from the source gNB in Xn signalling and/or UE’s current RRC configuration of QoE</w:t>
            </w:r>
            <w:r>
              <w:t>” part. Actually, RAN3 is discussing this issue.</w:t>
            </w:r>
          </w:p>
          <w:p w:rsidR="00014C15" w:rsidRDefault="00B6012C">
            <w:r>
              <w:t>For P10, it should allow another option, i.e. 1-bit flag indicates to restore all the QoE measurement configu</w:t>
            </w:r>
            <w:r>
              <w:t xml:space="preserve">rations, which is also proposed in </w:t>
            </w:r>
            <w:r>
              <w:rPr>
                <w:lang w:val="en-US"/>
              </w:rPr>
              <w:t>R2-2107817.</w:t>
            </w:r>
          </w:p>
        </w:tc>
      </w:tr>
      <w:tr w:rsidR="00014C15">
        <w:tc>
          <w:tcPr>
            <w:tcW w:w="2405" w:type="dxa"/>
          </w:tcPr>
          <w:p w:rsidR="00014C15" w:rsidRDefault="00B6012C">
            <w:r>
              <w:t xml:space="preserve">Huawei, </w:t>
            </w:r>
            <w:proofErr w:type="spellStart"/>
            <w:r>
              <w:t>HiSilicon</w:t>
            </w:r>
            <w:proofErr w:type="spellEnd"/>
          </w:p>
        </w:tc>
        <w:tc>
          <w:tcPr>
            <w:tcW w:w="2126" w:type="dxa"/>
          </w:tcPr>
          <w:p w:rsidR="00014C15" w:rsidRDefault="00B6012C">
            <w:r>
              <w:t>No objections, but some clarifications</w:t>
            </w:r>
          </w:p>
        </w:tc>
        <w:tc>
          <w:tcPr>
            <w:tcW w:w="5100" w:type="dxa"/>
          </w:tcPr>
          <w:p w:rsidR="00014C15" w:rsidRDefault="00B6012C">
            <w:r>
              <w:t xml:space="preserve">@CMCC: P8 is not related to </w:t>
            </w:r>
            <w:proofErr w:type="gramStart"/>
            <w:r>
              <w:t>pause/resume</w:t>
            </w:r>
            <w:proofErr w:type="gramEnd"/>
            <w:r>
              <w:t xml:space="preserve"> mechanism which we asked SA4 about. The proposal speaks of the case when there is no QoE configuration configu</w:t>
            </w:r>
            <w:r>
              <w:t>red in RRC that corresponds to the report received from app layer. In this situation the UE will never get a possibility to report it and there is no use of storing it. The described situation may happen in case RRC releases the QoE configuration while the</w:t>
            </w:r>
            <w:r>
              <w:t xml:space="preserve"> QoE measurement is still </w:t>
            </w:r>
            <w:proofErr w:type="spellStart"/>
            <w:r>
              <w:t>ongoing</w:t>
            </w:r>
            <w:proofErr w:type="spellEnd"/>
            <w:r>
              <w:t xml:space="preserve"> in application (and this is possible according to current agreement already)</w:t>
            </w:r>
          </w:p>
          <w:p w:rsidR="00014C15" w:rsidRDefault="00B6012C">
            <w:r>
              <w:t xml:space="preserve">@Qualcomm: </w:t>
            </w:r>
          </w:p>
          <w:p w:rsidR="00014C15" w:rsidRDefault="00B6012C">
            <w:pPr>
              <w:pStyle w:val="ac"/>
              <w:numPr>
                <w:ilvl w:val="0"/>
                <w:numId w:val="4"/>
              </w:numPr>
            </w:pPr>
            <w:r>
              <w:t xml:space="preserve">For P3: The main purpose of the proposal is to agree that it is target </w:t>
            </w:r>
            <w:proofErr w:type="spellStart"/>
            <w:r>
              <w:t>gNB’s</w:t>
            </w:r>
            <w:proofErr w:type="spellEnd"/>
            <w:r>
              <w:t xml:space="preserve"> decision which QoE configurations to keep and which to r</w:t>
            </w:r>
            <w:r>
              <w:t xml:space="preserve">elease during a </w:t>
            </w:r>
            <w:r>
              <w:lastRenderedPageBreak/>
              <w:t xml:space="preserve">handover. RAN3 already agreed that signalling based QOE configuration is forwarded to target gNB and also UE AS context containing QoE RRC configuration will be forwarded, so this information can be used when making the decision (these are </w:t>
            </w:r>
            <w:r>
              <w:t>just examples anyway).</w:t>
            </w:r>
          </w:p>
          <w:p w:rsidR="00014C15" w:rsidRDefault="00B6012C">
            <w:pPr>
              <w:pStyle w:val="ac"/>
              <w:numPr>
                <w:ilvl w:val="0"/>
                <w:numId w:val="4"/>
              </w:numPr>
            </w:pPr>
            <w:r>
              <w:t xml:space="preserve">For P10: As during a handover without </w:t>
            </w:r>
            <w:proofErr w:type="spellStart"/>
            <w:r>
              <w:t>fullConfig</w:t>
            </w:r>
            <w:proofErr w:type="spellEnd"/>
            <w:r>
              <w:t xml:space="preserve">, the gNB needs to have a possibility to indicate which configurations to keep and which not to keep (see P3). This is the same for HO with </w:t>
            </w:r>
            <w:proofErr w:type="spellStart"/>
            <w:r>
              <w:t>fullConfig</w:t>
            </w:r>
            <w:proofErr w:type="spellEnd"/>
            <w:r>
              <w:t xml:space="preserve"> as also in this case only a subset</w:t>
            </w:r>
            <w:r>
              <w:t xml:space="preserve"> of QoE configuration may be relevant (e.g. because the UE moves out of area scope). Therefore, 1-but flag is not sufficient. We could have it as an optimization to handle a special case where all or none QoE configurations are relevant, but is it really w</w:t>
            </w:r>
            <w:r>
              <w:t>orth it?</w:t>
            </w:r>
          </w:p>
        </w:tc>
      </w:tr>
      <w:tr w:rsidR="00014C15">
        <w:tc>
          <w:tcPr>
            <w:tcW w:w="2405" w:type="dxa"/>
          </w:tcPr>
          <w:p w:rsidR="00014C15" w:rsidRDefault="00B6012C">
            <w:r>
              <w:lastRenderedPageBreak/>
              <w:t>LGE</w:t>
            </w:r>
          </w:p>
        </w:tc>
        <w:tc>
          <w:tcPr>
            <w:tcW w:w="2126" w:type="dxa"/>
          </w:tcPr>
          <w:p w:rsidR="00014C15" w:rsidRDefault="00B6012C">
            <w:pPr>
              <w:rPr>
                <w:rFonts w:eastAsia="Malgun Gothic"/>
                <w:lang w:eastAsia="ko-KR"/>
              </w:rPr>
            </w:pPr>
            <w:r>
              <w:rPr>
                <w:rFonts w:eastAsia="Malgun Gothic" w:hint="eastAsia"/>
                <w:lang w:eastAsia="ko-KR"/>
              </w:rPr>
              <w:t>3</w:t>
            </w:r>
          </w:p>
        </w:tc>
        <w:tc>
          <w:tcPr>
            <w:tcW w:w="5100" w:type="dxa"/>
          </w:tcPr>
          <w:p w:rsidR="00014C15" w:rsidRDefault="00B6012C">
            <w:r>
              <w:t>The intention of P3 seems if the target cell doesn’t belong to the QoE area, then the target will release the QoE during handover. However, according to SA4 requirements UE should keep performing the QoE even after going outside the area if</w:t>
            </w:r>
            <w:r>
              <w:t xml:space="preserve"> the session is on-going, so the configured QoE would be released when the session stops, not during handover.</w:t>
            </w:r>
          </w:p>
          <w:p w:rsidR="00014C15" w:rsidRDefault="00014C15"/>
          <w:p w:rsidR="00014C15" w:rsidRDefault="00B6012C">
            <w:r>
              <w:t>Regarding P7/8: We agree with P7/8 but no further agreement is needed on these. It is obvious to release SRB4 upon entering IDLE, and others can</w:t>
            </w:r>
            <w:r>
              <w:t xml:space="preserve"> be covered by previous agreements.</w:t>
            </w:r>
          </w:p>
          <w:tbl>
            <w:tblPr>
              <w:tblStyle w:val="a9"/>
              <w:tblW w:w="0" w:type="auto"/>
              <w:tblLook w:val="04A0" w:firstRow="1" w:lastRow="0" w:firstColumn="1" w:lastColumn="0" w:noHBand="0" w:noVBand="1"/>
            </w:tblPr>
            <w:tblGrid>
              <w:gridCol w:w="4874"/>
            </w:tblGrid>
            <w:tr w:rsidR="00014C15">
              <w:tc>
                <w:tcPr>
                  <w:tcW w:w="4874" w:type="dxa"/>
                </w:tcPr>
                <w:p w:rsidR="00014C15" w:rsidRDefault="00B6012C">
                  <w:pPr>
                    <w:pStyle w:val="Agreement"/>
                    <w:numPr>
                      <w:ilvl w:val="0"/>
                      <w:numId w:val="0"/>
                    </w:numPr>
                    <w:ind w:left="360" w:hanging="360"/>
                    <w:rPr>
                      <w:rFonts w:eastAsia="Malgun Gothic"/>
                      <w:lang w:eastAsia="ko-KR"/>
                    </w:rPr>
                  </w:pPr>
                  <w:r>
                    <w:rPr>
                      <w:rFonts w:eastAsia="Malgun Gothic" w:hint="eastAsia"/>
                      <w:lang w:eastAsia="ko-KR"/>
                    </w:rPr>
                    <w:t>RAN2#114</w:t>
                  </w:r>
                </w:p>
                <w:p w:rsidR="00014C15" w:rsidRDefault="00B6012C">
                  <w:pPr>
                    <w:pStyle w:val="Agreement"/>
                    <w:rPr>
                      <w:rFonts w:eastAsia="Malgun Gothic"/>
                      <w:lang w:eastAsia="ko-KR"/>
                    </w:rPr>
                  </w:pPr>
                  <w:r>
                    <w:t xml:space="preserve">At reception of QoE release, the UE shall discard any unsent QoE reports corresponding to the released QoE configuration. </w:t>
                  </w:r>
                </w:p>
                <w:p w:rsidR="00014C15" w:rsidRDefault="00B6012C">
                  <w:pPr>
                    <w:pStyle w:val="Agreement"/>
                  </w:pPr>
                  <w:r>
                    <w:t>If the UE enters IDLE state, UE should release all of the QoE measurement configurations</w:t>
                  </w:r>
                  <w:r>
                    <w:t xml:space="preserve">. </w:t>
                  </w:r>
                </w:p>
              </w:tc>
            </w:tr>
          </w:tbl>
          <w:p w:rsidR="00014C15" w:rsidRDefault="00014C15"/>
        </w:tc>
      </w:tr>
      <w:tr w:rsidR="00014C15">
        <w:tc>
          <w:tcPr>
            <w:tcW w:w="2405" w:type="dxa"/>
          </w:tcPr>
          <w:p w:rsidR="00014C15" w:rsidRDefault="00B6012C">
            <w:r>
              <w:t>Ericsson</w:t>
            </w:r>
          </w:p>
        </w:tc>
        <w:tc>
          <w:tcPr>
            <w:tcW w:w="2126" w:type="dxa"/>
          </w:tcPr>
          <w:p w:rsidR="00014C15" w:rsidRDefault="00014C15">
            <w:pPr>
              <w:rPr>
                <w:rFonts w:eastAsia="Malgun Gothic"/>
                <w:lang w:eastAsia="ko-KR"/>
              </w:rPr>
            </w:pPr>
          </w:p>
        </w:tc>
        <w:tc>
          <w:tcPr>
            <w:tcW w:w="5100" w:type="dxa"/>
          </w:tcPr>
          <w:p w:rsidR="00014C15" w:rsidRDefault="00B6012C">
            <w:r>
              <w:t xml:space="preserve">We are fine with all proposals. Regarding the comment from LGE on P3; if there is no </w:t>
            </w:r>
            <w:proofErr w:type="spellStart"/>
            <w:r>
              <w:t>ongoing</w:t>
            </w:r>
            <w:proofErr w:type="spellEnd"/>
            <w:r>
              <w:t xml:space="preserve"> session the target should release the measurement already at the handover if the new cell is outside the area.</w:t>
            </w:r>
          </w:p>
        </w:tc>
      </w:tr>
      <w:tr w:rsidR="00014C15">
        <w:tc>
          <w:tcPr>
            <w:tcW w:w="2405" w:type="dxa"/>
          </w:tcPr>
          <w:p w:rsidR="00014C15" w:rsidRDefault="00B6012C">
            <w:r>
              <w:t>vivo</w:t>
            </w:r>
          </w:p>
        </w:tc>
        <w:tc>
          <w:tcPr>
            <w:tcW w:w="2126" w:type="dxa"/>
          </w:tcPr>
          <w:p w:rsidR="00014C15" w:rsidRDefault="00B6012C">
            <w:pPr>
              <w:rPr>
                <w:rFonts w:eastAsia="Malgun Gothic"/>
                <w:lang w:eastAsia="ko-KR"/>
              </w:rPr>
            </w:pPr>
            <w:r>
              <w:t>No objections, but some clarif</w:t>
            </w:r>
            <w:r>
              <w:t>ications</w:t>
            </w:r>
          </w:p>
        </w:tc>
        <w:tc>
          <w:tcPr>
            <w:tcW w:w="5100" w:type="dxa"/>
          </w:tcPr>
          <w:p w:rsidR="00014C15" w:rsidRDefault="00B6012C">
            <w:r>
              <w:t>For P3, if the target gNB does not support QoE, then the source gNB may decide to release the QoE configuration. Besides, it is in RAN3 scope.</w:t>
            </w:r>
          </w:p>
          <w:p w:rsidR="00014C15" w:rsidRDefault="00B6012C">
            <w:r>
              <w:t xml:space="preserve">For P8, we already agreed that if a QoE measurement configuration is released, RRC layer informs the upper layer to release the QoE measurement configuration. Then the UE will not receive the QoE report. </w:t>
            </w:r>
          </w:p>
        </w:tc>
      </w:tr>
      <w:tr w:rsidR="00014C15">
        <w:tc>
          <w:tcPr>
            <w:tcW w:w="2405" w:type="dxa"/>
          </w:tcPr>
          <w:p w:rsidR="00014C15" w:rsidRDefault="00B6012C">
            <w:pPr>
              <w:rPr>
                <w:lang w:val="en-US"/>
              </w:rPr>
            </w:pPr>
            <w:r>
              <w:rPr>
                <w:lang w:val="en-US"/>
              </w:rPr>
              <w:t>ZTE</w:t>
            </w:r>
          </w:p>
        </w:tc>
        <w:tc>
          <w:tcPr>
            <w:tcW w:w="2126" w:type="dxa"/>
          </w:tcPr>
          <w:p w:rsidR="00014C15" w:rsidRDefault="00014C15">
            <w:pPr>
              <w:rPr>
                <w:rFonts w:eastAsia="Malgun Gothic"/>
                <w:lang w:eastAsia="ko-KR"/>
              </w:rPr>
            </w:pPr>
          </w:p>
        </w:tc>
        <w:tc>
          <w:tcPr>
            <w:tcW w:w="5100" w:type="dxa"/>
          </w:tcPr>
          <w:p w:rsidR="00014C15" w:rsidRDefault="00B6012C">
            <w:pPr>
              <w:rPr>
                <w:lang w:val="en-US"/>
              </w:rPr>
            </w:pPr>
            <w:r>
              <w:rPr>
                <w:lang w:val="en-US"/>
              </w:rPr>
              <w:t>We agree all proposals.</w:t>
            </w:r>
          </w:p>
        </w:tc>
      </w:tr>
      <w:tr w:rsidR="0089073A">
        <w:tc>
          <w:tcPr>
            <w:tcW w:w="2405" w:type="dxa"/>
          </w:tcPr>
          <w:p w:rsidR="0089073A" w:rsidRDefault="0089073A">
            <w:pPr>
              <w:rPr>
                <w:rFonts w:hint="eastAsia"/>
                <w:lang w:val="en-US" w:eastAsia="zh-CN"/>
              </w:rPr>
            </w:pPr>
            <w:r>
              <w:rPr>
                <w:rFonts w:hint="eastAsia"/>
                <w:lang w:val="en-US" w:eastAsia="zh-CN"/>
              </w:rPr>
              <w:t>CATT</w:t>
            </w:r>
          </w:p>
        </w:tc>
        <w:tc>
          <w:tcPr>
            <w:tcW w:w="2126" w:type="dxa"/>
          </w:tcPr>
          <w:p w:rsidR="0089073A" w:rsidRPr="0089073A" w:rsidRDefault="0089073A">
            <w:pPr>
              <w:rPr>
                <w:rFonts w:eastAsiaTheme="minorEastAsia" w:hint="eastAsia"/>
                <w:lang w:eastAsia="zh-CN"/>
              </w:rPr>
            </w:pPr>
            <w:r>
              <w:rPr>
                <w:rFonts w:eastAsiaTheme="minorEastAsia" w:hint="eastAsia"/>
                <w:lang w:eastAsia="zh-CN"/>
              </w:rPr>
              <w:t>P3, P8</w:t>
            </w:r>
          </w:p>
        </w:tc>
        <w:tc>
          <w:tcPr>
            <w:tcW w:w="5100" w:type="dxa"/>
          </w:tcPr>
          <w:p w:rsidR="0089073A" w:rsidRDefault="0089073A">
            <w:pPr>
              <w:rPr>
                <w:rFonts w:hint="eastAsia"/>
                <w:lang w:val="en-US" w:eastAsia="zh-CN"/>
              </w:rPr>
            </w:pPr>
            <w:r>
              <w:rPr>
                <w:rFonts w:hint="eastAsia"/>
                <w:lang w:val="en-US" w:eastAsia="zh-CN"/>
              </w:rPr>
              <w:t>For P3,</w:t>
            </w:r>
            <w:r w:rsidR="00E81895">
              <w:rPr>
                <w:rFonts w:hint="eastAsia"/>
                <w:lang w:val="en-US" w:eastAsia="zh-CN"/>
              </w:rPr>
              <w:t xml:space="preserve"> wait for RAN3. </w:t>
            </w:r>
            <w:r>
              <w:rPr>
                <w:rFonts w:hint="eastAsia"/>
                <w:lang w:val="en-US" w:eastAsia="zh-CN"/>
              </w:rPr>
              <w:t xml:space="preserve">RAN3 is discussing the whether </w:t>
            </w:r>
            <w:r>
              <w:rPr>
                <w:lang w:val="en-US" w:eastAsia="zh-CN"/>
              </w:rPr>
              <w:t>the</w:t>
            </w:r>
            <w:r>
              <w:rPr>
                <w:rFonts w:hint="eastAsia"/>
                <w:lang w:val="en-US" w:eastAsia="zh-CN"/>
              </w:rPr>
              <w:t xml:space="preserve"> configuration </w:t>
            </w:r>
            <w:r w:rsidR="00E81895">
              <w:rPr>
                <w:rFonts w:hint="eastAsia"/>
                <w:lang w:val="en-US" w:eastAsia="zh-CN"/>
              </w:rPr>
              <w:t xml:space="preserve">is </w:t>
            </w:r>
            <w:r>
              <w:rPr>
                <w:rFonts w:hint="eastAsia"/>
                <w:lang w:val="en-US" w:eastAsia="zh-CN"/>
              </w:rPr>
              <w:t xml:space="preserve">stored if </w:t>
            </w:r>
            <w:r>
              <w:rPr>
                <w:lang w:val="en-US" w:eastAsia="zh-CN"/>
              </w:rPr>
              <w:t>the</w:t>
            </w:r>
            <w:r>
              <w:rPr>
                <w:rFonts w:hint="eastAsia"/>
                <w:lang w:val="en-US" w:eastAsia="zh-CN"/>
              </w:rPr>
              <w:t xml:space="preserve"> </w:t>
            </w:r>
            <w:r>
              <w:rPr>
                <w:lang w:val="en-US" w:eastAsia="zh-CN"/>
              </w:rPr>
              <w:t>target</w:t>
            </w:r>
            <w:r>
              <w:rPr>
                <w:rFonts w:hint="eastAsia"/>
                <w:lang w:val="en-US" w:eastAsia="zh-CN"/>
              </w:rPr>
              <w:t xml:space="preserve"> is not in area or not support. But </w:t>
            </w:r>
            <w:r w:rsidR="00E81895">
              <w:rPr>
                <w:rFonts w:hint="eastAsia"/>
                <w:lang w:val="en-US" w:eastAsia="zh-CN"/>
              </w:rPr>
              <w:t>no conclusion now. I</w:t>
            </w:r>
            <w:r>
              <w:rPr>
                <w:rFonts w:hint="eastAsia"/>
                <w:lang w:val="en-US" w:eastAsia="zh-CN"/>
              </w:rPr>
              <w:t xml:space="preserve">f then </w:t>
            </w:r>
            <w:r>
              <w:rPr>
                <w:lang w:val="en-US" w:eastAsia="zh-CN"/>
              </w:rPr>
              <w:t>the</w:t>
            </w:r>
            <w:r>
              <w:rPr>
                <w:rFonts w:hint="eastAsia"/>
                <w:lang w:val="en-US" w:eastAsia="zh-CN"/>
              </w:rPr>
              <w:t xml:space="preserve"> target node will not release any configuration during HO</w:t>
            </w:r>
            <w:r w:rsidR="00E81895">
              <w:rPr>
                <w:rFonts w:hint="eastAsia"/>
                <w:lang w:val="en-US" w:eastAsia="zh-CN"/>
              </w:rPr>
              <w:t>.</w:t>
            </w:r>
          </w:p>
          <w:p w:rsidR="00E81895" w:rsidRDefault="00E81895">
            <w:pPr>
              <w:rPr>
                <w:rFonts w:hint="eastAsia"/>
                <w:lang w:val="en-US" w:eastAsia="zh-CN"/>
              </w:rPr>
            </w:pPr>
            <w:r>
              <w:rPr>
                <w:rFonts w:hint="eastAsia"/>
                <w:lang w:val="en-US" w:eastAsia="zh-CN"/>
              </w:rPr>
              <w:t>For P8, I don</w:t>
            </w:r>
            <w:r>
              <w:rPr>
                <w:lang w:val="en-US" w:eastAsia="zh-CN"/>
              </w:rPr>
              <w:t>’</w:t>
            </w:r>
            <w:r>
              <w:rPr>
                <w:rFonts w:hint="eastAsia"/>
                <w:lang w:val="en-US" w:eastAsia="zh-CN"/>
              </w:rPr>
              <w:t xml:space="preserve">t think it is reasonable case as vivo mentioned. </w:t>
            </w:r>
            <w:r>
              <w:rPr>
                <w:lang w:val="en-US" w:eastAsia="zh-CN"/>
              </w:rPr>
              <w:t>T</w:t>
            </w:r>
            <w:r>
              <w:rPr>
                <w:rFonts w:hint="eastAsia"/>
                <w:lang w:val="en-US" w:eastAsia="zh-CN"/>
              </w:rPr>
              <w:t xml:space="preserve">he RRC layer QoE configuration release should be </w:t>
            </w:r>
            <w:r>
              <w:rPr>
                <w:rFonts w:hint="eastAsia"/>
                <w:lang w:val="en-US" w:eastAsia="zh-CN"/>
              </w:rPr>
              <w:lastRenderedPageBreak/>
              <w:t xml:space="preserve">informed to APP layer. </w:t>
            </w:r>
            <w:r>
              <w:rPr>
                <w:lang w:val="en-US" w:eastAsia="zh-CN"/>
              </w:rPr>
              <w:t>T</w:t>
            </w:r>
            <w:r>
              <w:rPr>
                <w:rFonts w:hint="eastAsia"/>
                <w:lang w:val="en-US" w:eastAsia="zh-CN"/>
              </w:rPr>
              <w:t>hen the case never happened.</w:t>
            </w:r>
          </w:p>
        </w:tc>
      </w:tr>
    </w:tbl>
    <w:p w:rsidR="00014C15" w:rsidRDefault="00014C15"/>
    <w:p w:rsidR="00014C15" w:rsidRDefault="00B6012C">
      <w:pPr>
        <w:pStyle w:val="2"/>
      </w:pPr>
      <w:r>
        <w:t>3.2</w:t>
      </w:r>
      <w:r>
        <w:tab/>
        <w:t>Discussion on m</w:t>
      </w:r>
      <w:r>
        <w:t>obility in RRC CONNECTED</w:t>
      </w:r>
      <w:r>
        <w:tab/>
      </w:r>
    </w:p>
    <w:p w:rsidR="00014C15" w:rsidRDefault="00B6012C">
      <w:r>
        <w:t>Based on the companies contributions, the following proposals were made in [10] with respect to QoE configuration handling during UE mobility (with no full configuration):</w:t>
      </w:r>
    </w:p>
    <w:tbl>
      <w:tblPr>
        <w:tblStyle w:val="a9"/>
        <w:tblW w:w="0" w:type="auto"/>
        <w:tblLook w:val="04A0" w:firstRow="1" w:lastRow="0" w:firstColumn="1" w:lastColumn="0" w:noHBand="0" w:noVBand="1"/>
      </w:tblPr>
      <w:tblGrid>
        <w:gridCol w:w="9631"/>
      </w:tblGrid>
      <w:tr w:rsidR="00014C15">
        <w:tc>
          <w:tcPr>
            <w:tcW w:w="9631" w:type="dxa"/>
          </w:tcPr>
          <w:p w:rsidR="00014C15" w:rsidRDefault="00B6012C">
            <w:pPr>
              <w:spacing w:before="240"/>
              <w:rPr>
                <w:b/>
              </w:rPr>
            </w:pPr>
            <w:r>
              <w:rPr>
                <w:b/>
                <w:highlight w:val="yellow"/>
              </w:rPr>
              <w:t>Proposal 4:</w:t>
            </w:r>
            <w:r>
              <w:rPr>
                <w:b/>
              </w:rPr>
              <w:t xml:space="preserve"> The UE informs the gNB when the QoE measuremen</w:t>
            </w:r>
            <w:r>
              <w:rPr>
                <w:b/>
              </w:rPr>
              <w:t>t session starts or when the session ends, e.g. to enable QoE configuration handling upon mobility or for QoE activation/deactivation procedures.</w:t>
            </w:r>
          </w:p>
          <w:p w:rsidR="00014C15" w:rsidRDefault="00B6012C">
            <w:pPr>
              <w:spacing w:before="240"/>
              <w:rPr>
                <w:b/>
              </w:rPr>
            </w:pPr>
            <w:r>
              <w:rPr>
                <w:b/>
                <w:highlight w:val="yellow"/>
              </w:rPr>
              <w:t>Proposal 5:</w:t>
            </w:r>
            <w:r>
              <w:rPr>
                <w:b/>
              </w:rPr>
              <w:t xml:space="preserve"> RAN2 sends </w:t>
            </w:r>
            <w:proofErr w:type="gramStart"/>
            <w:r>
              <w:rPr>
                <w:b/>
              </w:rPr>
              <w:t>an LS</w:t>
            </w:r>
            <w:proofErr w:type="gramEnd"/>
            <w:r>
              <w:rPr>
                <w:b/>
              </w:rPr>
              <w:t xml:space="preserve"> to CT1 group to specify session start and session end indications from applicatio</w:t>
            </w:r>
            <w:r>
              <w:rPr>
                <w:b/>
              </w:rPr>
              <w:t>n to AS layer.</w:t>
            </w:r>
          </w:p>
          <w:p w:rsidR="00014C15" w:rsidRDefault="00B6012C">
            <w:pPr>
              <w:spacing w:before="240"/>
              <w:rPr>
                <w:b/>
              </w:rPr>
            </w:pPr>
            <w:r>
              <w:rPr>
                <w:b/>
                <w:highlight w:val="yellow"/>
              </w:rPr>
              <w:t>Proposal 6:</w:t>
            </w:r>
            <w:r>
              <w:rPr>
                <w:b/>
              </w:rPr>
              <w:t xml:space="preserve"> If SA4 confirms that the requirement for configuration changes of </w:t>
            </w:r>
            <w:proofErr w:type="spellStart"/>
            <w:r>
              <w:rPr>
                <w:b/>
              </w:rPr>
              <w:t>ongoing</w:t>
            </w:r>
            <w:proofErr w:type="spellEnd"/>
            <w:r>
              <w:rPr>
                <w:b/>
              </w:rPr>
              <w:t xml:space="preserve"> QMC sessions is applicable also for NR QMC: In case the UE moves out of the measurement area during a handover, the target gNB should release the QoE configuration of the UE if the </w:t>
            </w:r>
            <w:r>
              <w:rPr>
                <w:b/>
              </w:rPr>
              <w:t xml:space="preserve">related QoE measurement session is not </w:t>
            </w:r>
            <w:proofErr w:type="spellStart"/>
            <w:r>
              <w:rPr>
                <w:b/>
              </w:rPr>
              <w:t>ongoing</w:t>
            </w:r>
            <w:proofErr w:type="spellEnd"/>
            <w:r>
              <w:rPr>
                <w:b/>
              </w:rPr>
              <w:t xml:space="preserve"> and should keep the QoE configurations for which the QoE measurements are </w:t>
            </w:r>
            <w:proofErr w:type="spellStart"/>
            <w:r>
              <w:rPr>
                <w:b/>
              </w:rPr>
              <w:t>ongoing</w:t>
            </w:r>
            <w:proofErr w:type="spellEnd"/>
            <w:r>
              <w:rPr>
                <w:b/>
              </w:rPr>
              <w:t xml:space="preserve"> (regardless of whether the UE stays within the associated QoE area or not).</w:t>
            </w:r>
          </w:p>
        </w:tc>
      </w:tr>
    </w:tbl>
    <w:p w:rsidR="00014C15" w:rsidRDefault="00014C15"/>
    <w:p w:rsidR="00014C15" w:rsidRDefault="00B6012C">
      <w:r>
        <w:t>The rationale for introduction of session start/s</w:t>
      </w:r>
      <w:r>
        <w:t>top indications from the UE to the gNB is that:</w:t>
      </w:r>
    </w:p>
    <w:p w:rsidR="00014C15" w:rsidRDefault="00B6012C">
      <w:pPr>
        <w:pStyle w:val="ac"/>
        <w:numPr>
          <w:ilvl w:val="0"/>
          <w:numId w:val="7"/>
        </w:numPr>
      </w:pPr>
      <w:r>
        <w:t>Session start/stop indications are used by the network during session activation and deactivation procedures.</w:t>
      </w:r>
    </w:p>
    <w:p w:rsidR="00014C15" w:rsidRDefault="00B6012C">
      <w:pPr>
        <w:pStyle w:val="ac"/>
        <w:numPr>
          <w:ilvl w:val="0"/>
          <w:numId w:val="7"/>
        </w:numPr>
      </w:pPr>
      <w:r>
        <w:t xml:space="preserve">Under normal circumstances (e.g. when there is no overload in the network), the gNB should not </w:t>
      </w:r>
      <w:r>
        <w:t xml:space="preserve">release the QoE configuration for which the session is </w:t>
      </w:r>
      <w:proofErr w:type="spellStart"/>
      <w:r>
        <w:t>ongoing</w:t>
      </w:r>
      <w:proofErr w:type="spellEnd"/>
      <w:r>
        <w:t>, even when the UE moves out of the QoE measurement area during handover.</w:t>
      </w:r>
    </w:p>
    <w:p w:rsidR="00014C15" w:rsidRDefault="00B6012C">
      <w:r>
        <w:t>It was raised during an e-mail discussion that whether the requirement of QoE measurement continuity outside the measure</w:t>
      </w:r>
      <w:r>
        <w:t xml:space="preserve">ment area is applicable to NR is still pending SA4 confirmation. RAN3 sent </w:t>
      </w:r>
      <w:proofErr w:type="gramStart"/>
      <w:r>
        <w:t>an LS</w:t>
      </w:r>
      <w:proofErr w:type="gramEnd"/>
      <w:r>
        <w:t xml:space="preserve"> to SA4 to ask this question in [11]. On the other hand, reason mentioned in bullet in 1 seems to still hold for NR. Companies are then requested to answer the following questi</w:t>
      </w:r>
      <w:r>
        <w:t>ons:</w:t>
      </w:r>
    </w:p>
    <w:p w:rsidR="00014C15" w:rsidRDefault="00B6012C">
      <w:pPr>
        <w:rPr>
          <w:b/>
        </w:rPr>
      </w:pPr>
      <w:r>
        <w:rPr>
          <w:b/>
        </w:rPr>
        <w:t>Question 2: Do companies agree that the UE should inform the gNB when the QoE measurement session starts or when the session ends?</w:t>
      </w:r>
    </w:p>
    <w:tbl>
      <w:tblPr>
        <w:tblStyle w:val="a9"/>
        <w:tblW w:w="0" w:type="auto"/>
        <w:tblLook w:val="04A0" w:firstRow="1" w:lastRow="0" w:firstColumn="1" w:lastColumn="0" w:noHBand="0" w:noVBand="1"/>
      </w:tblPr>
      <w:tblGrid>
        <w:gridCol w:w="2405"/>
        <w:gridCol w:w="1418"/>
        <w:gridCol w:w="5808"/>
      </w:tblGrid>
      <w:tr w:rsidR="00014C15">
        <w:tc>
          <w:tcPr>
            <w:tcW w:w="2405" w:type="dxa"/>
          </w:tcPr>
          <w:p w:rsidR="00014C15" w:rsidRDefault="00B6012C">
            <w:pPr>
              <w:jc w:val="center"/>
              <w:rPr>
                <w:b/>
              </w:rPr>
            </w:pPr>
            <w:r>
              <w:rPr>
                <w:b/>
              </w:rPr>
              <w:t>Company</w:t>
            </w:r>
          </w:p>
        </w:tc>
        <w:tc>
          <w:tcPr>
            <w:tcW w:w="1418" w:type="dxa"/>
          </w:tcPr>
          <w:p w:rsidR="00014C15" w:rsidRDefault="00B6012C">
            <w:pPr>
              <w:jc w:val="center"/>
              <w:rPr>
                <w:b/>
              </w:rPr>
            </w:pPr>
            <w:r>
              <w:rPr>
                <w:b/>
              </w:rPr>
              <w:t>Yes/No</w:t>
            </w:r>
          </w:p>
        </w:tc>
        <w:tc>
          <w:tcPr>
            <w:tcW w:w="5808" w:type="dxa"/>
          </w:tcPr>
          <w:p w:rsidR="00014C15" w:rsidRDefault="00B6012C">
            <w:pPr>
              <w:jc w:val="center"/>
              <w:rPr>
                <w:b/>
              </w:rPr>
            </w:pPr>
            <w:r>
              <w:rPr>
                <w:b/>
              </w:rPr>
              <w:t>Reason / comments</w:t>
            </w:r>
          </w:p>
        </w:tc>
      </w:tr>
      <w:tr w:rsidR="00014C15">
        <w:tc>
          <w:tcPr>
            <w:tcW w:w="2405" w:type="dxa"/>
          </w:tcPr>
          <w:p w:rsidR="00014C15" w:rsidRDefault="00B6012C">
            <w:pPr>
              <w:rPr>
                <w:lang w:eastAsia="zh-CN"/>
              </w:rPr>
            </w:pPr>
            <w:r>
              <w:rPr>
                <w:rFonts w:hint="eastAsia"/>
                <w:lang w:eastAsia="zh-CN"/>
              </w:rPr>
              <w:t>CMCC</w:t>
            </w:r>
          </w:p>
        </w:tc>
        <w:tc>
          <w:tcPr>
            <w:tcW w:w="1418" w:type="dxa"/>
          </w:tcPr>
          <w:p w:rsidR="00014C15" w:rsidRDefault="00B6012C">
            <w:pPr>
              <w:rPr>
                <w:lang w:eastAsia="zh-CN"/>
              </w:rPr>
            </w:pPr>
            <w:r>
              <w:rPr>
                <w:rFonts w:hint="eastAsia"/>
                <w:lang w:eastAsia="zh-CN"/>
              </w:rPr>
              <w:t>Yes</w:t>
            </w:r>
          </w:p>
        </w:tc>
        <w:tc>
          <w:tcPr>
            <w:tcW w:w="5808" w:type="dxa"/>
          </w:tcPr>
          <w:p w:rsidR="00014C15" w:rsidRDefault="00B6012C">
            <w:pPr>
              <w:rPr>
                <w:lang w:eastAsia="zh-CN"/>
              </w:rPr>
            </w:pPr>
            <w:r>
              <w:rPr>
                <w:rFonts w:hint="eastAsia"/>
                <w:lang w:eastAsia="zh-CN"/>
              </w:rPr>
              <w:t xml:space="preserve">Since QoE measurement is an end-to-end </w:t>
            </w:r>
            <w:r>
              <w:rPr>
                <w:lang w:eastAsia="zh-CN"/>
              </w:rPr>
              <w:t>behaviour</w:t>
            </w:r>
            <w:r>
              <w:rPr>
                <w:rFonts w:hint="eastAsia"/>
                <w:lang w:eastAsia="zh-CN"/>
              </w:rPr>
              <w:t>, and gNB is agnostic to whet</w:t>
            </w:r>
            <w:r>
              <w:rPr>
                <w:rFonts w:hint="eastAsia"/>
                <w:lang w:eastAsia="zh-CN"/>
              </w:rPr>
              <w:t xml:space="preserve">her the </w:t>
            </w:r>
            <w:proofErr w:type="spellStart"/>
            <w:r>
              <w:rPr>
                <w:rFonts w:hint="eastAsia"/>
                <w:lang w:eastAsia="zh-CN"/>
              </w:rPr>
              <w:t>ongoing</w:t>
            </w:r>
            <w:proofErr w:type="spellEnd"/>
            <w:r>
              <w:rPr>
                <w:rFonts w:hint="eastAsia"/>
                <w:lang w:eastAsia="zh-CN"/>
              </w:rPr>
              <w:t xml:space="preserve"> session is over or not otherwise. UE could have such flexibility to inform RAN to perform more flexible configuration release over </w:t>
            </w:r>
            <w:proofErr w:type="spellStart"/>
            <w:r>
              <w:rPr>
                <w:rFonts w:hint="eastAsia"/>
                <w:lang w:eastAsia="zh-CN"/>
              </w:rPr>
              <w:t>uu</w:t>
            </w:r>
            <w:proofErr w:type="spellEnd"/>
            <w:r>
              <w:rPr>
                <w:rFonts w:hint="eastAsia"/>
                <w:lang w:eastAsia="zh-CN"/>
              </w:rPr>
              <w:t>.</w:t>
            </w:r>
          </w:p>
        </w:tc>
      </w:tr>
      <w:tr w:rsidR="00014C15">
        <w:tc>
          <w:tcPr>
            <w:tcW w:w="2405" w:type="dxa"/>
          </w:tcPr>
          <w:p w:rsidR="00014C15" w:rsidRDefault="00B6012C">
            <w:r>
              <w:t>Qualcomm</w:t>
            </w:r>
          </w:p>
        </w:tc>
        <w:tc>
          <w:tcPr>
            <w:tcW w:w="1418" w:type="dxa"/>
          </w:tcPr>
          <w:p w:rsidR="00014C15" w:rsidRDefault="00B6012C">
            <w:r>
              <w:t>No</w:t>
            </w:r>
          </w:p>
        </w:tc>
        <w:tc>
          <w:tcPr>
            <w:tcW w:w="5808" w:type="dxa"/>
          </w:tcPr>
          <w:p w:rsidR="00014C15" w:rsidRDefault="00B6012C">
            <w:r>
              <w:t>We have several comments on this proposal, and there are some drawbacks identified.</w:t>
            </w:r>
          </w:p>
          <w:p w:rsidR="00014C15" w:rsidRDefault="00B6012C">
            <w:r>
              <w:t>- For th</w:t>
            </w:r>
            <w:r>
              <w:t>e activation or deactivation purpose, we don’t see the motivation to do that. From RAN point of view, when RAN receives the QMC configuration and then configures to the UE, then the QMC is activated. No need further start or end indication.</w:t>
            </w:r>
          </w:p>
          <w:p w:rsidR="00014C15" w:rsidRDefault="00B6012C">
            <w:r>
              <w:t>- From mobility</w:t>
            </w:r>
            <w:r>
              <w:t xml:space="preserve"> perspective, RAN3 asked some questions to SA4 about the QoE measurement continuity requirement and whether “release” command will affect the </w:t>
            </w:r>
            <w:proofErr w:type="spellStart"/>
            <w:r>
              <w:t>ongoing</w:t>
            </w:r>
            <w:proofErr w:type="spellEnd"/>
            <w:r>
              <w:t xml:space="preserve"> sessions. SA4 answer will </w:t>
            </w:r>
            <w:r>
              <w:lastRenderedPageBreak/>
              <w:t>directly impact our discussion. So anyway, we need to wait. And in SA4, Location</w:t>
            </w:r>
            <w:r>
              <w:t xml:space="preserve"> filter is already introduced TS26.114 and TS26.247 as </w:t>
            </w:r>
            <w:proofErr w:type="gramStart"/>
            <w:r>
              <w:t>following, that</w:t>
            </w:r>
            <w:proofErr w:type="gramEnd"/>
            <w:r>
              <w:t xml:space="preserve"> means UE application layer will check the location to determine whether to start a new session or not. If introducing RAN level mechanism, how to co-exist with application layer mechani</w:t>
            </w:r>
            <w:r>
              <w:t xml:space="preserve">sm? </w:t>
            </w:r>
            <w:proofErr w:type="gramStart"/>
            <w:r>
              <w:t>what</w:t>
            </w:r>
            <w:proofErr w:type="gramEnd"/>
            <w:r>
              <w:t xml:space="preserve"> is the motivation to introduce RAN level mechanism on top of application layer mechanism? </w:t>
            </w:r>
          </w:p>
          <w:p w:rsidR="00014C15" w:rsidRDefault="00B6012C">
            <w:pPr>
              <w:rPr>
                <w:i/>
                <w:sz w:val="14"/>
              </w:rPr>
            </w:pPr>
            <w:r>
              <w:rPr>
                <w:i/>
                <w:sz w:val="14"/>
              </w:rPr>
              <w:t>“</w:t>
            </w:r>
            <w:r>
              <w:rPr>
                <w:b/>
                <w:i/>
                <w:sz w:val="24"/>
                <w:szCs w:val="32"/>
              </w:rPr>
              <w:t>&lt;</w:t>
            </w:r>
            <w:proofErr w:type="spellStart"/>
            <w:r>
              <w:rPr>
                <w:b/>
                <w:i/>
                <w:sz w:val="24"/>
                <w:szCs w:val="32"/>
              </w:rPr>
              <w:t>LocationFilter</w:t>
            </w:r>
            <w:proofErr w:type="spellEnd"/>
            <w:r>
              <w:rPr>
                <w:b/>
                <w:i/>
                <w:sz w:val="24"/>
                <w:szCs w:val="32"/>
              </w:rPr>
              <w:t>&gt;</w:t>
            </w:r>
          </w:p>
          <w:p w:rsidR="00014C15" w:rsidRDefault="00B6012C">
            <w:pPr>
              <w:rPr>
                <w:sz w:val="18"/>
              </w:rPr>
            </w:pPr>
            <w:r>
              <w:rPr>
                <w:i/>
                <w:sz w:val="18"/>
              </w:rPr>
              <w:t>When present, this element indicates the geographic area(s) or location(s) where quality metric collection is requested. When not present,</w:t>
            </w:r>
            <w:r>
              <w:rPr>
                <w:i/>
                <w:sz w:val="18"/>
              </w:rPr>
              <w:t xml:space="preserve"> quality metric collection is requested regardless of the device’s location. The </w:t>
            </w:r>
            <w:proofErr w:type="spellStart"/>
            <w:r>
              <w:rPr>
                <w:i/>
                <w:sz w:val="18"/>
              </w:rPr>
              <w:t>LocationFilter</w:t>
            </w:r>
            <w:proofErr w:type="spellEnd"/>
            <w:r>
              <w:rPr>
                <w:i/>
                <w:sz w:val="18"/>
              </w:rPr>
              <w:t xml:space="preserve"> element comprises one or more instances of any combination of targeted cell-IDs, polygons and circular </w:t>
            </w:r>
            <w:proofErr w:type="spellStart"/>
            <w:r>
              <w:rPr>
                <w:i/>
                <w:sz w:val="18"/>
              </w:rPr>
              <w:t>areas.Each</w:t>
            </w:r>
            <w:proofErr w:type="spellEnd"/>
            <w:r>
              <w:rPr>
                <w:i/>
                <w:sz w:val="18"/>
              </w:rPr>
              <w:t xml:space="preserve"> cell-ID entry in </w:t>
            </w:r>
            <w:proofErr w:type="spellStart"/>
            <w:r>
              <w:rPr>
                <w:i/>
                <w:sz w:val="18"/>
              </w:rPr>
              <w:t>LocationFilter</w:t>
            </w:r>
            <w:proofErr w:type="spellEnd"/>
            <w:r>
              <w:rPr>
                <w:i/>
                <w:sz w:val="18"/>
              </w:rPr>
              <w:t xml:space="preserve"> is announced i</w:t>
            </w:r>
            <w:r>
              <w:rPr>
                <w:i/>
                <w:sz w:val="18"/>
              </w:rPr>
              <w:t xml:space="preserve">n </w:t>
            </w:r>
            <w:proofErr w:type="spellStart"/>
            <w:r>
              <w:rPr>
                <w:i/>
                <w:sz w:val="18"/>
              </w:rPr>
              <w:t>cellList</w:t>
            </w:r>
            <w:proofErr w:type="spellEnd"/>
            <w:r>
              <w:rPr>
                <w:i/>
                <w:sz w:val="18"/>
              </w:rPr>
              <w:t xml:space="preserve">, and each polygon and circular area entry is announced in the </w:t>
            </w:r>
            <w:proofErr w:type="spellStart"/>
            <w:r>
              <w:rPr>
                <w:i/>
                <w:sz w:val="18"/>
              </w:rPr>
              <w:t>polygonList</w:t>
            </w:r>
            <w:proofErr w:type="spellEnd"/>
            <w:r>
              <w:rPr>
                <w:i/>
                <w:sz w:val="18"/>
              </w:rPr>
              <w:t xml:space="preserve"> or and </w:t>
            </w:r>
            <w:proofErr w:type="spellStart"/>
            <w:r>
              <w:rPr>
                <w:i/>
                <w:sz w:val="18"/>
              </w:rPr>
              <w:t>circularAreaList</w:t>
            </w:r>
            <w:proofErr w:type="spellEnd"/>
            <w:r>
              <w:rPr>
                <w:i/>
                <w:sz w:val="18"/>
              </w:rPr>
              <w:t xml:space="preserve"> elements, respectively.”</w:t>
            </w:r>
          </w:p>
          <w:p w:rsidR="00014C15" w:rsidRDefault="00B6012C">
            <w:r>
              <w:t>- We introduce pause and resume mechanism for SRB4, and SRB will be treated as lower priority. The start and end indicatio</w:t>
            </w:r>
            <w:r>
              <w:t>n cannot be reported to the gNB in time, which will mislead the gNB behaviour.</w:t>
            </w:r>
          </w:p>
          <w:p w:rsidR="00014C15" w:rsidRDefault="00B6012C">
            <w:r>
              <w:t>- There could be multiple APPs running in the UE and multiple QoE sessions for each APP. If we consider per-slice QoE, that could be much more. If UE reports every start and end</w:t>
            </w:r>
            <w:r>
              <w:t xml:space="preserve"> indication for all the QoE session, a large of signalling overhead will be cost.</w:t>
            </w:r>
          </w:p>
          <w:p w:rsidR="00014C15" w:rsidRDefault="00B6012C">
            <w:r>
              <w:t xml:space="preserve">- If finally we really need introduce something, we prefer to consider “low cost” and in-time mechanism instead of costing large of </w:t>
            </w:r>
            <w:proofErr w:type="spellStart"/>
            <w:r>
              <w:t>Uu</w:t>
            </w:r>
            <w:proofErr w:type="spellEnd"/>
            <w:r>
              <w:t xml:space="preserve"> signalling overhead.</w:t>
            </w:r>
          </w:p>
        </w:tc>
      </w:tr>
      <w:tr w:rsidR="00014C15">
        <w:tc>
          <w:tcPr>
            <w:tcW w:w="2405" w:type="dxa"/>
          </w:tcPr>
          <w:p w:rsidR="00014C15" w:rsidRDefault="00B6012C">
            <w:r>
              <w:lastRenderedPageBreak/>
              <w:t xml:space="preserve">Huawei, </w:t>
            </w:r>
            <w:proofErr w:type="spellStart"/>
            <w:r>
              <w:t>HiSilicon</w:t>
            </w:r>
            <w:proofErr w:type="spellEnd"/>
          </w:p>
        </w:tc>
        <w:tc>
          <w:tcPr>
            <w:tcW w:w="1418" w:type="dxa"/>
          </w:tcPr>
          <w:p w:rsidR="00014C15" w:rsidRDefault="00B6012C">
            <w:r>
              <w:t>Yes</w:t>
            </w:r>
          </w:p>
        </w:tc>
        <w:tc>
          <w:tcPr>
            <w:tcW w:w="5808" w:type="dxa"/>
          </w:tcPr>
          <w:p w:rsidR="00014C15" w:rsidRDefault="00B6012C">
            <w:r>
              <w:t>This is useful not only in case of QoE measurement continuation outside of measurement area, which is pending SA4 reply. Based on SA5 specifications, this indication is also passed to OAM so that OAM knows whether there is sufficient number of QoE mea</w:t>
            </w:r>
            <w:r>
              <w:t xml:space="preserve">surements </w:t>
            </w:r>
            <w:proofErr w:type="spellStart"/>
            <w:r>
              <w:t>ongoing</w:t>
            </w:r>
            <w:proofErr w:type="spellEnd"/>
            <w:r>
              <w:t xml:space="preserve"> already or not. </w:t>
            </w:r>
          </w:p>
          <w:p w:rsidR="00014C15" w:rsidRDefault="00B6012C">
            <w:r>
              <w:t>Also, we do not really agree with the disadvantages mentioned by Qualcomm. The overhead for sending a single bit indication for session start/stop is very limited and even though SRB4 has lower priority than other SRBs it</w:t>
            </w:r>
            <w:r>
              <w:t xml:space="preserve"> does not mean that its delay will be significant. </w:t>
            </w:r>
          </w:p>
          <w:p w:rsidR="00014C15" w:rsidRDefault="00B6012C">
            <w:r>
              <w:t xml:space="preserve">Also, in case SA4 agrees the requirement for mobility holds, then we do not understand how location filter can be used by the gNB for this purpose. </w:t>
            </w:r>
            <w:proofErr w:type="gramStart"/>
            <w:r>
              <w:t>gNB</w:t>
            </w:r>
            <w:proofErr w:type="gramEnd"/>
            <w:r>
              <w:t xml:space="preserve"> has no knowledge about the location filter, so it ca</w:t>
            </w:r>
            <w:r>
              <w:t>nnot know whether it should or should not release the QoE configuration when the UE moves out of the are scope.</w:t>
            </w:r>
          </w:p>
        </w:tc>
      </w:tr>
      <w:tr w:rsidR="00014C15">
        <w:tc>
          <w:tcPr>
            <w:tcW w:w="2405" w:type="dxa"/>
          </w:tcPr>
          <w:p w:rsidR="00014C15" w:rsidRDefault="00B6012C">
            <w:pPr>
              <w:rPr>
                <w:lang w:eastAsia="zh-CN"/>
              </w:rPr>
            </w:pPr>
            <w:r>
              <w:rPr>
                <w:lang w:eastAsia="zh-CN"/>
              </w:rPr>
              <w:t>LGE</w:t>
            </w:r>
          </w:p>
        </w:tc>
        <w:tc>
          <w:tcPr>
            <w:tcW w:w="1418" w:type="dxa"/>
          </w:tcPr>
          <w:p w:rsidR="00014C15" w:rsidRDefault="00014C15">
            <w:pPr>
              <w:rPr>
                <w:lang w:eastAsia="zh-CN"/>
              </w:rPr>
            </w:pPr>
          </w:p>
        </w:tc>
        <w:tc>
          <w:tcPr>
            <w:tcW w:w="5808" w:type="dxa"/>
          </w:tcPr>
          <w:p w:rsidR="00014C15" w:rsidRDefault="00B6012C">
            <w:pPr>
              <w:rPr>
                <w:lang w:eastAsia="zh-CN"/>
              </w:rPr>
            </w:pPr>
            <w:r>
              <w:rPr>
                <w:lang w:eastAsia="zh-CN"/>
              </w:rPr>
              <w:t>We don’t think UE needs to inform network of ‘session start’. The purpose is not clear.</w:t>
            </w:r>
          </w:p>
          <w:p w:rsidR="00014C15" w:rsidRDefault="00B6012C">
            <w:pPr>
              <w:rPr>
                <w:lang w:eastAsia="zh-CN"/>
              </w:rPr>
            </w:pPr>
            <w:r>
              <w:rPr>
                <w:lang w:eastAsia="zh-CN"/>
              </w:rPr>
              <w:t>Since the configured QoE can be released only afte</w:t>
            </w:r>
            <w:r>
              <w:rPr>
                <w:lang w:eastAsia="zh-CN"/>
              </w:rPr>
              <w:t xml:space="preserve">r the session stop, gNB needs to know the ‘session stop’, but wonder if this information should be provided by UE. </w:t>
            </w:r>
          </w:p>
        </w:tc>
      </w:tr>
      <w:tr w:rsidR="00014C15">
        <w:tc>
          <w:tcPr>
            <w:tcW w:w="2405" w:type="dxa"/>
          </w:tcPr>
          <w:p w:rsidR="00014C15" w:rsidRDefault="00B6012C">
            <w:pPr>
              <w:rPr>
                <w:lang w:eastAsia="zh-CN"/>
              </w:rPr>
            </w:pPr>
            <w:r>
              <w:rPr>
                <w:lang w:eastAsia="zh-CN"/>
              </w:rPr>
              <w:t>Ericsson</w:t>
            </w:r>
          </w:p>
        </w:tc>
        <w:tc>
          <w:tcPr>
            <w:tcW w:w="1418" w:type="dxa"/>
          </w:tcPr>
          <w:p w:rsidR="00014C15" w:rsidRDefault="00B6012C">
            <w:pPr>
              <w:rPr>
                <w:lang w:eastAsia="zh-CN"/>
              </w:rPr>
            </w:pPr>
            <w:r>
              <w:rPr>
                <w:lang w:eastAsia="zh-CN"/>
              </w:rPr>
              <w:t>Yes</w:t>
            </w:r>
          </w:p>
        </w:tc>
        <w:tc>
          <w:tcPr>
            <w:tcW w:w="5808" w:type="dxa"/>
          </w:tcPr>
          <w:p w:rsidR="00014C15" w:rsidRDefault="00B6012C">
            <w:pPr>
              <w:rPr>
                <w:lang w:eastAsia="zh-CN"/>
              </w:rPr>
            </w:pPr>
            <w:r>
              <w:rPr>
                <w:lang w:eastAsia="zh-CN"/>
              </w:rPr>
              <w:t>Both session start and stop indications are needed. It is not enough with session stop because if a session has not started th</w:t>
            </w:r>
            <w:r>
              <w:rPr>
                <w:lang w:eastAsia="zh-CN"/>
              </w:rPr>
              <w:t>e UE will not send any stop indication. If then the UE moves out of the area, the gNB should release the measurements at the area border, but it will not as it hasn’t received any stop indication and may never receive it either if the UE never starts a ses</w:t>
            </w:r>
            <w:r>
              <w:rPr>
                <w:lang w:eastAsia="zh-CN"/>
              </w:rPr>
              <w:t>sion.</w:t>
            </w:r>
          </w:p>
        </w:tc>
      </w:tr>
      <w:tr w:rsidR="00014C15">
        <w:tc>
          <w:tcPr>
            <w:tcW w:w="2405" w:type="dxa"/>
          </w:tcPr>
          <w:p w:rsidR="00014C15" w:rsidRDefault="00B6012C">
            <w:pPr>
              <w:rPr>
                <w:lang w:eastAsia="zh-CN"/>
              </w:rPr>
            </w:pPr>
            <w:r>
              <w:rPr>
                <w:lang w:eastAsia="zh-CN"/>
              </w:rPr>
              <w:lastRenderedPageBreak/>
              <w:t>vivo</w:t>
            </w:r>
          </w:p>
        </w:tc>
        <w:tc>
          <w:tcPr>
            <w:tcW w:w="1418" w:type="dxa"/>
          </w:tcPr>
          <w:p w:rsidR="00014C15" w:rsidRDefault="00B6012C">
            <w:pPr>
              <w:rPr>
                <w:lang w:eastAsia="zh-CN"/>
              </w:rPr>
            </w:pPr>
            <w:r>
              <w:rPr>
                <w:lang w:eastAsia="zh-CN"/>
              </w:rPr>
              <w:t>Depends on the LS reply</w:t>
            </w:r>
          </w:p>
        </w:tc>
        <w:tc>
          <w:tcPr>
            <w:tcW w:w="5808" w:type="dxa"/>
          </w:tcPr>
          <w:p w:rsidR="00014C15" w:rsidRDefault="00B6012C">
            <w:pPr>
              <w:rPr>
                <w:lang w:eastAsia="zh-CN"/>
              </w:rPr>
            </w:pPr>
            <w:r>
              <w:rPr>
                <w:lang w:eastAsia="zh-CN"/>
              </w:rPr>
              <w:t>For the first purpose about the activation and deactivation, the proponent shall further clarify why RAN should be aware of the QoE measurement status to perform the activation and deactivation.</w:t>
            </w:r>
          </w:p>
          <w:p w:rsidR="00014C15" w:rsidRDefault="00B6012C">
            <w:pPr>
              <w:rPr>
                <w:lang w:eastAsia="zh-CN"/>
              </w:rPr>
            </w:pPr>
            <w:r>
              <w:rPr>
                <w:lang w:eastAsia="zh-CN"/>
              </w:rPr>
              <w:t>For the mobility purpose,</w:t>
            </w:r>
            <w:r>
              <w:rPr>
                <w:lang w:eastAsia="zh-CN"/>
              </w:rPr>
              <w:t xml:space="preserve"> we think it is essential if SA4 confirm that the QoE measurement cannot be released once start even when UE moves out of the area scope.</w:t>
            </w:r>
          </w:p>
          <w:p w:rsidR="00014C15" w:rsidRDefault="00B6012C">
            <w:pPr>
              <w:rPr>
                <w:lang w:eastAsia="zh-CN"/>
              </w:rPr>
            </w:pPr>
            <w:r>
              <w:rPr>
                <w:lang w:eastAsia="zh-CN"/>
              </w:rPr>
              <w:t>In general, we prefer to wait for the LS reply.</w:t>
            </w:r>
          </w:p>
        </w:tc>
      </w:tr>
      <w:tr w:rsidR="00014C15">
        <w:tc>
          <w:tcPr>
            <w:tcW w:w="2405" w:type="dxa"/>
          </w:tcPr>
          <w:p w:rsidR="00014C15" w:rsidRDefault="00B6012C">
            <w:pPr>
              <w:rPr>
                <w:lang w:val="en-US" w:eastAsia="zh-CN"/>
              </w:rPr>
            </w:pPr>
            <w:r>
              <w:rPr>
                <w:lang w:val="en-US" w:eastAsia="zh-CN"/>
              </w:rPr>
              <w:t>ZTE</w:t>
            </w:r>
          </w:p>
        </w:tc>
        <w:tc>
          <w:tcPr>
            <w:tcW w:w="1418" w:type="dxa"/>
          </w:tcPr>
          <w:p w:rsidR="00014C15" w:rsidRDefault="00B6012C">
            <w:pPr>
              <w:rPr>
                <w:lang w:val="en-US" w:eastAsia="zh-CN"/>
              </w:rPr>
            </w:pPr>
            <w:r>
              <w:rPr>
                <w:lang w:val="en-US" w:eastAsia="zh-CN"/>
              </w:rPr>
              <w:t>Yes</w:t>
            </w:r>
          </w:p>
        </w:tc>
        <w:tc>
          <w:tcPr>
            <w:tcW w:w="5808" w:type="dxa"/>
          </w:tcPr>
          <w:p w:rsidR="00014C15" w:rsidRDefault="00B6012C">
            <w:pPr>
              <w:rPr>
                <w:lang w:val="en-US" w:eastAsia="zh-CN"/>
              </w:rPr>
            </w:pPr>
            <w:r>
              <w:rPr>
                <w:lang w:val="en-US" w:eastAsia="zh-CN"/>
              </w:rPr>
              <w:t>Below content can be found in section 4.2.1, TS28.405:</w:t>
            </w:r>
          </w:p>
          <w:p w:rsidR="00014C15" w:rsidRDefault="00B6012C">
            <w:r>
              <w:rPr>
                <w:noProof/>
                <w:lang w:val="en-US" w:eastAsia="zh-CN"/>
              </w:rPr>
              <w:drawing>
                <wp:inline distT="0" distB="0" distL="114300" distR="114300">
                  <wp:extent cx="2045970" cy="81661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flipV="1">
                            <a:off x="0" y="0"/>
                            <a:ext cx="2045970" cy="816610"/>
                          </a:xfrm>
                          <a:prstGeom prst="rect">
                            <a:avLst/>
                          </a:prstGeom>
                          <a:noFill/>
                          <a:ln>
                            <a:noFill/>
                          </a:ln>
                        </pic:spPr>
                      </pic:pic>
                    </a:graphicData>
                  </a:graphic>
                </wp:inline>
              </w:drawing>
            </w:r>
          </w:p>
          <w:p w:rsidR="00014C15" w:rsidRDefault="00B6012C">
            <w:pPr>
              <w:rPr>
                <w:lang w:val="en-US"/>
              </w:rPr>
            </w:pPr>
            <w:r>
              <w:rPr>
                <w:lang w:val="en-US"/>
              </w:rPr>
              <w:t>(zoom up if needed)</w:t>
            </w:r>
          </w:p>
          <w:p w:rsidR="00014C15" w:rsidRDefault="00B6012C">
            <w:pPr>
              <w:pStyle w:val="B1"/>
              <w:numPr>
                <w:ilvl w:val="0"/>
                <w:numId w:val="8"/>
              </w:numPr>
              <w:rPr>
                <w:i/>
                <w:iCs/>
              </w:rPr>
            </w:pPr>
            <w:r>
              <w:rPr>
                <w:i/>
                <w:iCs/>
              </w:rPr>
              <w:t xml:space="preserve">When the application in the </w:t>
            </w:r>
            <w:proofErr w:type="spellStart"/>
            <w:r>
              <w:rPr>
                <w:i/>
                <w:iCs/>
              </w:rPr>
              <w:t>serviceType</w:t>
            </w:r>
            <w:proofErr w:type="spellEnd"/>
            <w:r>
              <w:rPr>
                <w:i/>
                <w:iCs/>
              </w:rPr>
              <w:t xml:space="preserve"> starts, the QMC is initiated.</w:t>
            </w:r>
          </w:p>
          <w:p w:rsidR="00014C15" w:rsidRDefault="00B6012C">
            <w:pPr>
              <w:pStyle w:val="B1"/>
              <w:numPr>
                <w:ilvl w:val="0"/>
                <w:numId w:val="8"/>
              </w:numPr>
              <w:rPr>
                <w:i/>
                <w:iCs/>
              </w:rPr>
            </w:pPr>
            <w:r>
              <w:rPr>
                <w:i/>
                <w:iCs/>
              </w:rPr>
              <w:t>The application layer sends the AT command +CAPPLEVMR including a recording session indication that indicates that a session is started to the access stratum.</w:t>
            </w:r>
          </w:p>
          <w:p w:rsidR="00014C15" w:rsidRDefault="00B6012C">
            <w:pPr>
              <w:pStyle w:val="B1"/>
              <w:numPr>
                <w:ilvl w:val="0"/>
                <w:numId w:val="8"/>
              </w:numPr>
              <w:rPr>
                <w:i/>
                <w:iCs/>
              </w:rPr>
            </w:pPr>
            <w:r>
              <w:rPr>
                <w:i/>
                <w:iCs/>
              </w:rPr>
              <w:t xml:space="preserve">The UE </w:t>
            </w:r>
            <w:r>
              <w:rPr>
                <w:i/>
                <w:iCs/>
              </w:rPr>
              <w:t xml:space="preserve">sends the message </w:t>
            </w:r>
            <w:r>
              <w:rPr>
                <w:rFonts w:ascii="Courier New" w:hAnsi="Courier New" w:cs="Courier New"/>
                <w:i/>
                <w:iCs/>
              </w:rPr>
              <w:t>MeasReportAppLayer</w:t>
            </w:r>
            <w:r>
              <w:rPr>
                <w:i/>
                <w:iCs/>
              </w:rPr>
              <w:t xml:space="preserve"> including the recording session indication to the eNB.</w:t>
            </w:r>
          </w:p>
          <w:p w:rsidR="00014C15" w:rsidRDefault="00B6012C">
            <w:pPr>
              <w:rPr>
                <w:lang w:val="en-US" w:eastAsia="zh-CN"/>
              </w:rPr>
            </w:pPr>
            <w:r>
              <w:rPr>
                <w:lang w:val="en-US" w:eastAsia="zh-CN"/>
              </w:rPr>
              <w:t xml:space="preserve">It is clear that in step 6, 7, and 8, app layer should generate a session start indication when the QMC is initiated. Similar mechanism can be </w:t>
            </w:r>
            <w:r>
              <w:rPr>
                <w:rFonts w:hint="eastAsia"/>
                <w:lang w:val="en-US" w:eastAsia="zh-CN"/>
              </w:rPr>
              <w:t>applied to</w:t>
            </w:r>
            <w:r>
              <w:rPr>
                <w:lang w:val="en-US" w:eastAsia="zh-CN"/>
              </w:rPr>
              <w:t xml:space="preserve"> the sessio</w:t>
            </w:r>
            <w:r>
              <w:rPr>
                <w:lang w:val="en-US" w:eastAsia="zh-CN"/>
              </w:rPr>
              <w:t>n end indication. We prefer to follow the SA5’s requirement and introduce the start/stop indications.</w:t>
            </w:r>
          </w:p>
          <w:p w:rsidR="00014C15" w:rsidRDefault="00B6012C">
            <w:pPr>
              <w:rPr>
                <w:lang w:val="en-US" w:eastAsia="zh-CN"/>
              </w:rPr>
            </w:pPr>
            <w:r>
              <w:rPr>
                <w:lang w:val="en-US" w:eastAsia="zh-CN"/>
              </w:rPr>
              <w:t xml:space="preserve">The detail of the </w:t>
            </w:r>
            <w:proofErr w:type="gramStart"/>
            <w:r>
              <w:rPr>
                <w:lang w:val="en-US" w:eastAsia="zh-CN"/>
              </w:rPr>
              <w:t>indications(</w:t>
            </w:r>
            <w:proofErr w:type="gramEnd"/>
            <w:r>
              <w:rPr>
                <w:lang w:val="en-US" w:eastAsia="zh-CN"/>
              </w:rPr>
              <w:t xml:space="preserve">e.g. whether this indication is inside the QoE container, whether to use this indication during HO, </w:t>
            </w:r>
            <w:proofErr w:type="spellStart"/>
            <w:r>
              <w:rPr>
                <w:lang w:val="en-US" w:eastAsia="zh-CN"/>
              </w:rPr>
              <w:t>etc</w:t>
            </w:r>
            <w:proofErr w:type="spellEnd"/>
            <w:r>
              <w:rPr>
                <w:lang w:val="en-US" w:eastAsia="zh-CN"/>
              </w:rPr>
              <w:t>) should be FFS.</w:t>
            </w:r>
          </w:p>
        </w:tc>
      </w:tr>
      <w:tr w:rsidR="00103DD2">
        <w:tc>
          <w:tcPr>
            <w:tcW w:w="2405" w:type="dxa"/>
          </w:tcPr>
          <w:p w:rsidR="00103DD2" w:rsidRDefault="00103DD2">
            <w:pPr>
              <w:rPr>
                <w:lang w:val="en-US" w:eastAsia="zh-CN"/>
              </w:rPr>
            </w:pPr>
            <w:r>
              <w:rPr>
                <w:rFonts w:hint="eastAsia"/>
                <w:lang w:val="en-US" w:eastAsia="zh-CN"/>
              </w:rPr>
              <w:t>CATT</w:t>
            </w:r>
          </w:p>
        </w:tc>
        <w:tc>
          <w:tcPr>
            <w:tcW w:w="1418" w:type="dxa"/>
          </w:tcPr>
          <w:p w:rsidR="00103DD2" w:rsidRDefault="00103DD2">
            <w:pPr>
              <w:rPr>
                <w:lang w:val="en-US" w:eastAsia="zh-CN"/>
              </w:rPr>
            </w:pPr>
            <w:r>
              <w:rPr>
                <w:rFonts w:hint="eastAsia"/>
                <w:lang w:val="en-US" w:eastAsia="zh-CN"/>
              </w:rPr>
              <w:t>Yes</w:t>
            </w:r>
          </w:p>
        </w:tc>
        <w:tc>
          <w:tcPr>
            <w:tcW w:w="5808" w:type="dxa"/>
          </w:tcPr>
          <w:p w:rsidR="00103DD2" w:rsidRDefault="00103DD2">
            <w:pPr>
              <w:rPr>
                <w:rFonts w:hint="eastAsia"/>
                <w:lang w:val="en-US" w:eastAsia="zh-CN"/>
              </w:rPr>
            </w:pPr>
            <w:r>
              <w:rPr>
                <w:rFonts w:hint="eastAsia"/>
                <w:lang w:val="en-US" w:eastAsia="zh-CN"/>
              </w:rPr>
              <w:t>For session start in</w:t>
            </w:r>
            <w:r w:rsidR="00525A2D">
              <w:rPr>
                <w:rFonts w:hint="eastAsia"/>
                <w:lang w:val="en-US" w:eastAsia="zh-CN"/>
              </w:rPr>
              <w:t>dication, SA5 captured in 28.404/405</w:t>
            </w:r>
            <w:r>
              <w:rPr>
                <w:rFonts w:hint="eastAsia"/>
                <w:lang w:val="en-US" w:eastAsia="zh-CN"/>
              </w:rPr>
              <w:t xml:space="preserve"> as ZTE show here. </w:t>
            </w:r>
          </w:p>
          <w:p w:rsidR="00525A2D" w:rsidRDefault="00525A2D">
            <w:pPr>
              <w:rPr>
                <w:rFonts w:hint="eastAsia"/>
                <w:lang w:val="en-US" w:eastAsia="zh-CN"/>
              </w:rPr>
            </w:pPr>
            <w:r>
              <w:rPr>
                <w:rFonts w:hint="eastAsia"/>
                <w:lang w:val="en-US" w:eastAsia="zh-CN"/>
              </w:rPr>
              <w:t>28.404 5.4.4</w:t>
            </w:r>
          </w:p>
          <w:p w:rsidR="00525A2D" w:rsidRDefault="00525A2D" w:rsidP="00525A2D">
            <w:pPr>
              <w:pStyle w:val="Tabletext"/>
              <w:rPr>
                <w:sz w:val="20"/>
              </w:rPr>
            </w:pPr>
            <w:r>
              <w:rPr>
                <w:sz w:val="20"/>
              </w:rPr>
              <w:t>Provide the</w:t>
            </w:r>
            <w:r w:rsidRPr="00A730D7">
              <w:rPr>
                <w:sz w:val="20"/>
              </w:rPr>
              <w:t xml:space="preserve"> </w:t>
            </w:r>
            <w:r>
              <w:rPr>
                <w:sz w:val="20"/>
              </w:rPr>
              <w:t xml:space="preserve">OAM system with an indication that a recording session has started and subsequently allow the OAM system to modify the QoE measurement configuration e.g. the QoE configured area if the number of sessions are too small or too large. </w:t>
            </w:r>
          </w:p>
          <w:p w:rsidR="00525A2D" w:rsidRDefault="00525A2D" w:rsidP="00525A2D">
            <w:pPr>
              <w:rPr>
                <w:rFonts w:hint="eastAsia"/>
                <w:lang w:eastAsia="zh-CN"/>
              </w:rPr>
            </w:pPr>
            <w:r>
              <w:t xml:space="preserve">The indication may also be used to determine whether or not to terminate the QoE information collection if sufficient </w:t>
            </w:r>
            <w:proofErr w:type="gramStart"/>
            <w:r>
              <w:t>number of recording sessions have</w:t>
            </w:r>
            <w:proofErr w:type="gramEnd"/>
            <w:r>
              <w:t xml:space="preserve"> been started.</w:t>
            </w:r>
          </w:p>
          <w:p w:rsidR="00525A2D" w:rsidRDefault="00525A2D" w:rsidP="00525A2D">
            <w:pPr>
              <w:rPr>
                <w:rFonts w:hint="eastAsia"/>
                <w:lang w:val="en-US" w:eastAsia="zh-CN"/>
              </w:rPr>
            </w:pPr>
            <w:r>
              <w:rPr>
                <w:rFonts w:hint="eastAsia"/>
                <w:lang w:val="en-US" w:eastAsia="zh-CN"/>
              </w:rPr>
              <w:t xml:space="preserve">For session end indication,  I think the QMC report can be used to indicate </w:t>
            </w:r>
            <w:r>
              <w:rPr>
                <w:lang w:val="en-US" w:eastAsia="zh-CN"/>
              </w:rPr>
              <w:t>the</w:t>
            </w:r>
            <w:r>
              <w:rPr>
                <w:rFonts w:hint="eastAsia"/>
                <w:lang w:val="en-US" w:eastAsia="zh-CN"/>
              </w:rPr>
              <w:t xml:space="preserve"> session end</w:t>
            </w:r>
          </w:p>
        </w:tc>
      </w:tr>
    </w:tbl>
    <w:p w:rsidR="00014C15" w:rsidRDefault="00014C15"/>
    <w:p w:rsidR="00014C15" w:rsidRDefault="00B6012C">
      <w:pPr>
        <w:rPr>
          <w:b/>
        </w:rPr>
      </w:pPr>
      <w:r>
        <w:rPr>
          <w:b/>
        </w:rPr>
        <w:t>Qu</w:t>
      </w:r>
      <w:r>
        <w:rPr>
          <w:b/>
        </w:rPr>
        <w:t xml:space="preserve">estion 3: Do companies agree that, in case SA4 confirms that the requirement for configuration changes of </w:t>
      </w:r>
      <w:proofErr w:type="spellStart"/>
      <w:r>
        <w:rPr>
          <w:b/>
        </w:rPr>
        <w:t>ongoing</w:t>
      </w:r>
      <w:proofErr w:type="spellEnd"/>
      <w:r>
        <w:rPr>
          <w:b/>
        </w:rPr>
        <w:t xml:space="preserve"> QMC sessions is applicable also for NR QMC, then if the UE moves out of the measurement area during a handover, the target gNB should release </w:t>
      </w:r>
      <w:r>
        <w:rPr>
          <w:b/>
        </w:rPr>
        <w:t xml:space="preserve">the QoE configuration of the UE if the related QoE measurement </w:t>
      </w:r>
      <w:r>
        <w:rPr>
          <w:b/>
        </w:rPr>
        <w:lastRenderedPageBreak/>
        <w:t xml:space="preserve">session is not </w:t>
      </w:r>
      <w:proofErr w:type="spellStart"/>
      <w:r>
        <w:rPr>
          <w:b/>
        </w:rPr>
        <w:t>ongoing</w:t>
      </w:r>
      <w:proofErr w:type="spellEnd"/>
      <w:r>
        <w:rPr>
          <w:b/>
        </w:rPr>
        <w:t xml:space="preserve"> and should keep the QoE configurations for which the QoE measurements are </w:t>
      </w:r>
      <w:proofErr w:type="spellStart"/>
      <w:r>
        <w:rPr>
          <w:b/>
        </w:rPr>
        <w:t>ongoing</w:t>
      </w:r>
      <w:proofErr w:type="spellEnd"/>
      <w:r>
        <w:rPr>
          <w:b/>
        </w:rPr>
        <w:t xml:space="preserve"> (regardless of whether the UE stays within the associated QoE area or not).</w:t>
      </w:r>
    </w:p>
    <w:tbl>
      <w:tblPr>
        <w:tblStyle w:val="a9"/>
        <w:tblW w:w="0" w:type="auto"/>
        <w:tblLook w:val="04A0" w:firstRow="1" w:lastRow="0" w:firstColumn="1" w:lastColumn="0" w:noHBand="0" w:noVBand="1"/>
      </w:tblPr>
      <w:tblGrid>
        <w:gridCol w:w="2405"/>
        <w:gridCol w:w="1418"/>
        <w:gridCol w:w="5808"/>
      </w:tblGrid>
      <w:tr w:rsidR="00014C15">
        <w:tc>
          <w:tcPr>
            <w:tcW w:w="2405" w:type="dxa"/>
          </w:tcPr>
          <w:p w:rsidR="00014C15" w:rsidRDefault="00B6012C">
            <w:pPr>
              <w:jc w:val="center"/>
              <w:rPr>
                <w:b/>
              </w:rPr>
            </w:pPr>
            <w:r>
              <w:rPr>
                <w:b/>
              </w:rPr>
              <w:t>Company</w:t>
            </w:r>
          </w:p>
        </w:tc>
        <w:tc>
          <w:tcPr>
            <w:tcW w:w="1418" w:type="dxa"/>
          </w:tcPr>
          <w:p w:rsidR="00014C15" w:rsidRDefault="00B6012C">
            <w:pPr>
              <w:jc w:val="center"/>
              <w:rPr>
                <w:b/>
              </w:rPr>
            </w:pPr>
            <w:r>
              <w:rPr>
                <w:b/>
              </w:rPr>
              <w:t>Yes/</w:t>
            </w:r>
            <w:r>
              <w:rPr>
                <w:b/>
              </w:rPr>
              <w:t>No</w:t>
            </w:r>
          </w:p>
        </w:tc>
        <w:tc>
          <w:tcPr>
            <w:tcW w:w="5808" w:type="dxa"/>
          </w:tcPr>
          <w:p w:rsidR="00014C15" w:rsidRDefault="00B6012C">
            <w:pPr>
              <w:jc w:val="center"/>
              <w:rPr>
                <w:b/>
              </w:rPr>
            </w:pPr>
            <w:r>
              <w:rPr>
                <w:b/>
              </w:rPr>
              <w:t>Reason / comments</w:t>
            </w:r>
          </w:p>
        </w:tc>
      </w:tr>
      <w:tr w:rsidR="00014C15">
        <w:tc>
          <w:tcPr>
            <w:tcW w:w="2405" w:type="dxa"/>
          </w:tcPr>
          <w:p w:rsidR="00014C15" w:rsidRDefault="00B6012C">
            <w:pPr>
              <w:rPr>
                <w:lang w:eastAsia="zh-CN"/>
              </w:rPr>
            </w:pPr>
            <w:r>
              <w:rPr>
                <w:rFonts w:hint="eastAsia"/>
                <w:lang w:eastAsia="zh-CN"/>
              </w:rPr>
              <w:t>CMCC</w:t>
            </w:r>
          </w:p>
        </w:tc>
        <w:tc>
          <w:tcPr>
            <w:tcW w:w="1418" w:type="dxa"/>
          </w:tcPr>
          <w:p w:rsidR="00014C15" w:rsidRDefault="00B6012C">
            <w:pPr>
              <w:rPr>
                <w:lang w:eastAsia="zh-CN"/>
              </w:rPr>
            </w:pPr>
            <w:r>
              <w:rPr>
                <w:rFonts w:hint="eastAsia"/>
                <w:lang w:eastAsia="zh-CN"/>
              </w:rPr>
              <w:t>Yes</w:t>
            </w:r>
          </w:p>
        </w:tc>
        <w:tc>
          <w:tcPr>
            <w:tcW w:w="5808" w:type="dxa"/>
          </w:tcPr>
          <w:p w:rsidR="00014C15" w:rsidRDefault="00B6012C">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14C15">
        <w:tc>
          <w:tcPr>
            <w:tcW w:w="2405" w:type="dxa"/>
          </w:tcPr>
          <w:p w:rsidR="00014C15" w:rsidRDefault="00B6012C">
            <w:r>
              <w:t>Qualcomm</w:t>
            </w:r>
          </w:p>
        </w:tc>
        <w:tc>
          <w:tcPr>
            <w:tcW w:w="1418" w:type="dxa"/>
          </w:tcPr>
          <w:p w:rsidR="00014C15" w:rsidRDefault="00B6012C">
            <w:r>
              <w:t>No</w:t>
            </w:r>
          </w:p>
        </w:tc>
        <w:tc>
          <w:tcPr>
            <w:tcW w:w="5808" w:type="dxa"/>
          </w:tcPr>
          <w:p w:rsidR="00014C15" w:rsidRDefault="00B6012C">
            <w:r>
              <w:t>As commented for question 2</w:t>
            </w:r>
          </w:p>
        </w:tc>
      </w:tr>
      <w:tr w:rsidR="00014C15">
        <w:tc>
          <w:tcPr>
            <w:tcW w:w="2405" w:type="dxa"/>
          </w:tcPr>
          <w:p w:rsidR="00014C15" w:rsidRDefault="00B6012C">
            <w:r>
              <w:t xml:space="preserve">Huawei, </w:t>
            </w:r>
            <w:proofErr w:type="spellStart"/>
            <w:r>
              <w:t>HiSilicon</w:t>
            </w:r>
            <w:proofErr w:type="spellEnd"/>
          </w:p>
        </w:tc>
        <w:tc>
          <w:tcPr>
            <w:tcW w:w="1418" w:type="dxa"/>
          </w:tcPr>
          <w:p w:rsidR="00014C15" w:rsidRDefault="00B6012C">
            <w:r>
              <w:t>Yes</w:t>
            </w:r>
          </w:p>
        </w:tc>
        <w:tc>
          <w:tcPr>
            <w:tcW w:w="5808" w:type="dxa"/>
          </w:tcPr>
          <w:p w:rsidR="00014C15" w:rsidRDefault="00B6012C">
            <w:r>
              <w:t xml:space="preserve">The proposal already assumes that SA4 feedback is </w:t>
            </w:r>
            <w:r>
              <w:t>considered and is conditional on this feedback.</w:t>
            </w:r>
          </w:p>
        </w:tc>
      </w:tr>
      <w:tr w:rsidR="00014C15">
        <w:tc>
          <w:tcPr>
            <w:tcW w:w="2405" w:type="dxa"/>
          </w:tcPr>
          <w:p w:rsidR="00014C15" w:rsidRDefault="00B6012C">
            <w:pPr>
              <w:rPr>
                <w:lang w:eastAsia="zh-CN"/>
              </w:rPr>
            </w:pPr>
            <w:r>
              <w:rPr>
                <w:lang w:eastAsia="zh-CN"/>
              </w:rPr>
              <w:t>LGE</w:t>
            </w:r>
          </w:p>
        </w:tc>
        <w:tc>
          <w:tcPr>
            <w:tcW w:w="1418" w:type="dxa"/>
          </w:tcPr>
          <w:p w:rsidR="00014C15" w:rsidRDefault="00B6012C">
            <w:pPr>
              <w:rPr>
                <w:lang w:eastAsia="zh-CN"/>
              </w:rPr>
            </w:pPr>
            <w:r>
              <w:rPr>
                <w:rFonts w:hint="eastAsia"/>
                <w:lang w:eastAsia="zh-CN"/>
              </w:rPr>
              <w:t>Yes</w:t>
            </w:r>
          </w:p>
        </w:tc>
        <w:tc>
          <w:tcPr>
            <w:tcW w:w="5808" w:type="dxa"/>
          </w:tcPr>
          <w:p w:rsidR="00014C15" w:rsidRDefault="00B6012C">
            <w:pPr>
              <w:rPr>
                <w:lang w:eastAsia="zh-CN"/>
              </w:rPr>
            </w:pPr>
            <w:r>
              <w:rPr>
                <w:lang w:eastAsia="zh-CN"/>
              </w:rPr>
              <w:t>We should comply with RAN4 decision on this</w:t>
            </w:r>
            <w:r>
              <w:rPr>
                <w:rFonts w:hint="eastAsia"/>
                <w:lang w:eastAsia="zh-CN"/>
              </w:rPr>
              <w:t>.</w:t>
            </w:r>
          </w:p>
        </w:tc>
      </w:tr>
      <w:tr w:rsidR="00014C15">
        <w:tc>
          <w:tcPr>
            <w:tcW w:w="2405" w:type="dxa"/>
          </w:tcPr>
          <w:p w:rsidR="00014C15" w:rsidRDefault="00B6012C">
            <w:pPr>
              <w:rPr>
                <w:lang w:eastAsia="zh-CN"/>
              </w:rPr>
            </w:pPr>
            <w:r>
              <w:rPr>
                <w:lang w:eastAsia="zh-CN"/>
              </w:rPr>
              <w:t>Ericsson</w:t>
            </w:r>
          </w:p>
        </w:tc>
        <w:tc>
          <w:tcPr>
            <w:tcW w:w="1418" w:type="dxa"/>
          </w:tcPr>
          <w:p w:rsidR="00014C15" w:rsidRDefault="00B6012C">
            <w:pPr>
              <w:rPr>
                <w:lang w:eastAsia="zh-CN"/>
              </w:rPr>
            </w:pPr>
            <w:r>
              <w:rPr>
                <w:lang w:eastAsia="zh-CN"/>
              </w:rPr>
              <w:t>Yes</w:t>
            </w:r>
          </w:p>
        </w:tc>
        <w:tc>
          <w:tcPr>
            <w:tcW w:w="5808" w:type="dxa"/>
          </w:tcPr>
          <w:p w:rsidR="00014C15" w:rsidRDefault="00014C15">
            <w:pPr>
              <w:rPr>
                <w:lang w:eastAsia="zh-CN"/>
              </w:rPr>
            </w:pPr>
          </w:p>
        </w:tc>
      </w:tr>
      <w:tr w:rsidR="00014C15">
        <w:tc>
          <w:tcPr>
            <w:tcW w:w="2405" w:type="dxa"/>
          </w:tcPr>
          <w:p w:rsidR="00014C15" w:rsidRDefault="00B6012C">
            <w:pPr>
              <w:rPr>
                <w:lang w:eastAsia="zh-CN"/>
              </w:rPr>
            </w:pPr>
            <w:r>
              <w:rPr>
                <w:rFonts w:hint="eastAsia"/>
                <w:lang w:eastAsia="zh-CN"/>
              </w:rPr>
              <w:t>O</w:t>
            </w:r>
            <w:r>
              <w:rPr>
                <w:lang w:eastAsia="zh-CN"/>
              </w:rPr>
              <w:t>PPO</w:t>
            </w:r>
          </w:p>
        </w:tc>
        <w:tc>
          <w:tcPr>
            <w:tcW w:w="1418" w:type="dxa"/>
          </w:tcPr>
          <w:p w:rsidR="00014C15" w:rsidRDefault="00B6012C">
            <w:pPr>
              <w:rPr>
                <w:lang w:eastAsia="zh-CN"/>
              </w:rPr>
            </w:pPr>
            <w:r>
              <w:rPr>
                <w:rFonts w:hint="eastAsia"/>
                <w:lang w:eastAsia="zh-CN"/>
              </w:rPr>
              <w:t>Y</w:t>
            </w:r>
            <w:r>
              <w:rPr>
                <w:lang w:eastAsia="zh-CN"/>
              </w:rPr>
              <w:t>es</w:t>
            </w:r>
          </w:p>
        </w:tc>
        <w:tc>
          <w:tcPr>
            <w:tcW w:w="5808" w:type="dxa"/>
          </w:tcPr>
          <w:p w:rsidR="00014C15" w:rsidRDefault="00B6012C">
            <w:pPr>
              <w:rPr>
                <w:lang w:eastAsia="zh-CN"/>
              </w:rPr>
            </w:pPr>
            <w:r>
              <w:rPr>
                <w:lang w:eastAsia="zh-CN"/>
              </w:rPr>
              <w:t xml:space="preserve">The report of the QoE measurement </w:t>
            </w:r>
            <w:proofErr w:type="spellStart"/>
            <w:r>
              <w:rPr>
                <w:lang w:eastAsia="zh-CN"/>
              </w:rPr>
              <w:t>ongoing</w:t>
            </w:r>
            <w:proofErr w:type="spellEnd"/>
            <w:r>
              <w:rPr>
                <w:lang w:eastAsia="zh-CN"/>
              </w:rPr>
              <w:t xml:space="preserve"> needs to </w:t>
            </w:r>
            <w:proofErr w:type="gramStart"/>
            <w:r>
              <w:rPr>
                <w:lang w:eastAsia="zh-CN"/>
              </w:rPr>
              <w:t>transmitted</w:t>
            </w:r>
            <w:proofErr w:type="gramEnd"/>
            <w:r>
              <w:rPr>
                <w:lang w:eastAsia="zh-CN"/>
              </w:rPr>
              <w:t xml:space="preserve"> towards the CN entity with the correct address.</w:t>
            </w:r>
          </w:p>
        </w:tc>
      </w:tr>
      <w:tr w:rsidR="00014C15">
        <w:tc>
          <w:tcPr>
            <w:tcW w:w="2405" w:type="dxa"/>
          </w:tcPr>
          <w:p w:rsidR="00014C15" w:rsidRDefault="00B6012C">
            <w:pPr>
              <w:rPr>
                <w:lang w:eastAsia="zh-CN"/>
              </w:rPr>
            </w:pPr>
            <w:r>
              <w:rPr>
                <w:lang w:eastAsia="zh-CN"/>
              </w:rPr>
              <w:t>vivo</w:t>
            </w:r>
          </w:p>
        </w:tc>
        <w:tc>
          <w:tcPr>
            <w:tcW w:w="1418" w:type="dxa"/>
          </w:tcPr>
          <w:p w:rsidR="00014C15" w:rsidRDefault="00B6012C">
            <w:pPr>
              <w:rPr>
                <w:lang w:eastAsia="zh-CN"/>
              </w:rPr>
            </w:pPr>
            <w:r>
              <w:rPr>
                <w:lang w:eastAsia="zh-CN"/>
              </w:rPr>
              <w:t>Yes</w:t>
            </w:r>
          </w:p>
        </w:tc>
        <w:tc>
          <w:tcPr>
            <w:tcW w:w="5808" w:type="dxa"/>
          </w:tcPr>
          <w:p w:rsidR="00014C15" w:rsidRDefault="00014C15">
            <w:pPr>
              <w:rPr>
                <w:lang w:eastAsia="zh-CN"/>
              </w:rPr>
            </w:pPr>
          </w:p>
        </w:tc>
      </w:tr>
      <w:tr w:rsidR="00014C15">
        <w:tc>
          <w:tcPr>
            <w:tcW w:w="2405" w:type="dxa"/>
          </w:tcPr>
          <w:p w:rsidR="00014C15" w:rsidRDefault="00B6012C">
            <w:pPr>
              <w:rPr>
                <w:lang w:val="en-US" w:eastAsia="zh-CN"/>
              </w:rPr>
            </w:pPr>
            <w:r>
              <w:rPr>
                <w:lang w:val="en-US" w:eastAsia="zh-CN"/>
              </w:rPr>
              <w:t>ZTE</w:t>
            </w:r>
          </w:p>
        </w:tc>
        <w:tc>
          <w:tcPr>
            <w:tcW w:w="1418" w:type="dxa"/>
          </w:tcPr>
          <w:p w:rsidR="00014C15" w:rsidRDefault="00B6012C">
            <w:pPr>
              <w:rPr>
                <w:lang w:val="en-US" w:eastAsia="zh-CN"/>
              </w:rPr>
            </w:pPr>
            <w:r>
              <w:rPr>
                <w:lang w:val="en-US" w:eastAsia="zh-CN"/>
              </w:rPr>
              <w:t>_</w:t>
            </w:r>
          </w:p>
        </w:tc>
        <w:tc>
          <w:tcPr>
            <w:tcW w:w="5808" w:type="dxa"/>
          </w:tcPr>
          <w:p w:rsidR="00014C15" w:rsidRDefault="00B6012C">
            <w:pPr>
              <w:rPr>
                <w:lang w:val="en-US" w:eastAsia="zh-CN"/>
              </w:rPr>
            </w:pPr>
            <w:r>
              <w:rPr>
                <w:lang w:val="en-US" w:eastAsia="zh-CN"/>
              </w:rPr>
              <w:t>This part can be further discussed after RAN2 receives SA4 input. We do not prefer to assume anything at current stage.</w:t>
            </w:r>
          </w:p>
        </w:tc>
      </w:tr>
      <w:tr w:rsidR="00B6012C">
        <w:tc>
          <w:tcPr>
            <w:tcW w:w="2405" w:type="dxa"/>
          </w:tcPr>
          <w:p w:rsidR="00B6012C" w:rsidRDefault="00B6012C">
            <w:pPr>
              <w:rPr>
                <w:lang w:val="en-US" w:eastAsia="zh-CN"/>
              </w:rPr>
            </w:pPr>
            <w:r>
              <w:rPr>
                <w:rFonts w:hint="eastAsia"/>
                <w:lang w:val="en-US" w:eastAsia="zh-CN"/>
              </w:rPr>
              <w:t>CATT</w:t>
            </w:r>
          </w:p>
        </w:tc>
        <w:tc>
          <w:tcPr>
            <w:tcW w:w="1418" w:type="dxa"/>
          </w:tcPr>
          <w:p w:rsidR="00B6012C" w:rsidRDefault="00B6012C">
            <w:pPr>
              <w:rPr>
                <w:lang w:val="en-US" w:eastAsia="zh-CN"/>
              </w:rPr>
            </w:pPr>
          </w:p>
        </w:tc>
        <w:tc>
          <w:tcPr>
            <w:tcW w:w="5808" w:type="dxa"/>
          </w:tcPr>
          <w:p w:rsidR="00B6012C" w:rsidRDefault="00B6012C" w:rsidP="00B6012C">
            <w:pPr>
              <w:rPr>
                <w:lang w:val="en-US" w:eastAsia="zh-CN"/>
              </w:rPr>
            </w:pPr>
            <w:r>
              <w:rPr>
                <w:lang w:val="en-US" w:eastAsia="zh-CN"/>
              </w:rPr>
              <w:t>S</w:t>
            </w:r>
            <w:r>
              <w:rPr>
                <w:rFonts w:hint="eastAsia"/>
                <w:lang w:val="en-US" w:eastAsia="zh-CN"/>
              </w:rPr>
              <w:t xml:space="preserve">ee </w:t>
            </w:r>
            <w:r>
              <w:rPr>
                <w:lang w:val="en-US" w:eastAsia="zh-CN"/>
              </w:rPr>
              <w:t>the</w:t>
            </w:r>
            <w:r>
              <w:rPr>
                <w:rFonts w:hint="eastAsia"/>
                <w:lang w:val="en-US" w:eastAsia="zh-CN"/>
              </w:rPr>
              <w:t xml:space="preserve"> answer to Q1 P8, we may remove </w:t>
            </w:r>
            <w:r>
              <w:rPr>
                <w:lang w:val="en-US" w:eastAsia="zh-CN"/>
              </w:rPr>
              <w:t>“</w:t>
            </w:r>
            <w:r w:rsidRPr="00B6012C">
              <w:rPr>
                <w:lang w:val="en-US" w:eastAsia="zh-CN"/>
              </w:rPr>
              <w:t xml:space="preserve">the target gNB should release </w:t>
            </w:r>
            <w:r>
              <w:rPr>
                <w:lang w:val="en-US" w:eastAsia="zh-CN"/>
              </w:rPr>
              <w:t>…</w:t>
            </w:r>
            <w:r>
              <w:rPr>
                <w:rFonts w:hint="eastAsia"/>
                <w:lang w:val="en-US" w:eastAsia="zh-CN"/>
              </w:rPr>
              <w:t xml:space="preserve">.. </w:t>
            </w:r>
            <w:r>
              <w:rPr>
                <w:lang w:val="en-US" w:eastAsia="zh-CN"/>
              </w:rPr>
              <w:t>“</w:t>
            </w:r>
            <w:r>
              <w:rPr>
                <w:rFonts w:hint="eastAsia"/>
                <w:lang w:val="en-US" w:eastAsia="zh-CN"/>
              </w:rPr>
              <w:t xml:space="preserve">  </w:t>
            </w:r>
            <w:r>
              <w:rPr>
                <w:lang w:val="en-US" w:eastAsia="zh-CN"/>
              </w:rPr>
              <w:t>And</w:t>
            </w:r>
            <w:r>
              <w:rPr>
                <w:rFonts w:hint="eastAsia"/>
                <w:lang w:val="en-US" w:eastAsia="zh-CN"/>
              </w:rPr>
              <w:t xml:space="preserve"> just keep </w:t>
            </w:r>
            <w:r>
              <w:rPr>
                <w:lang w:val="en-US" w:eastAsia="zh-CN"/>
              </w:rPr>
              <w:t>“</w:t>
            </w:r>
            <w:r w:rsidRPr="00B6012C">
              <w:rPr>
                <w:lang w:val="en-US" w:eastAsia="zh-CN"/>
              </w:rPr>
              <w:t>and should keep the QoE configurations for which</w:t>
            </w:r>
            <w:r w:rsidRPr="00B6012C">
              <w:rPr>
                <w:rFonts w:hint="eastAsia"/>
                <w:lang w:val="en-US" w:eastAsia="zh-CN"/>
              </w:rPr>
              <w:t xml:space="preserve"> </w:t>
            </w:r>
            <w:r>
              <w:rPr>
                <w:lang w:val="en-US" w:eastAsia="zh-CN"/>
              </w:rPr>
              <w:t>……”</w:t>
            </w:r>
            <w:r>
              <w:rPr>
                <w:rFonts w:hint="eastAsia"/>
                <w:lang w:val="en-US" w:eastAsia="zh-CN"/>
              </w:rPr>
              <w:t xml:space="preserve"> </w:t>
            </w:r>
          </w:p>
        </w:tc>
      </w:tr>
    </w:tbl>
    <w:p w:rsidR="00014C15" w:rsidRDefault="00014C15"/>
    <w:p w:rsidR="00014C15" w:rsidRDefault="00B6012C">
      <w:pPr>
        <w:spacing w:before="240"/>
      </w:pPr>
      <w:r>
        <w:t>In [10], also the following proposal was made with respect to UE mobility where full configuration is applied during handover.</w:t>
      </w:r>
    </w:p>
    <w:tbl>
      <w:tblPr>
        <w:tblStyle w:val="a9"/>
        <w:tblW w:w="0" w:type="auto"/>
        <w:tblLook w:val="04A0" w:firstRow="1" w:lastRow="0" w:firstColumn="1" w:lastColumn="0" w:noHBand="0" w:noVBand="1"/>
      </w:tblPr>
      <w:tblGrid>
        <w:gridCol w:w="9631"/>
      </w:tblGrid>
      <w:tr w:rsidR="00014C15">
        <w:tc>
          <w:tcPr>
            <w:tcW w:w="9631" w:type="dxa"/>
          </w:tcPr>
          <w:p w:rsidR="00014C15" w:rsidRDefault="00B6012C">
            <w:pPr>
              <w:rPr>
                <w:b/>
              </w:rPr>
            </w:pPr>
            <w:r>
              <w:rPr>
                <w:b/>
                <w:highlight w:val="yellow"/>
              </w:rPr>
              <w:t>Proposa</w:t>
            </w:r>
            <w:r>
              <w:rPr>
                <w:b/>
                <w:highlight w:val="yellow"/>
              </w:rPr>
              <w:t>l 9:</w:t>
            </w:r>
            <w:r>
              <w:rPr>
                <w:b/>
              </w:rPr>
              <w:t xml:space="preserve"> Upon </w:t>
            </w:r>
            <w:proofErr w:type="spellStart"/>
            <w:r>
              <w:rPr>
                <w:b/>
              </w:rPr>
              <w:t>FullConfig</w:t>
            </w:r>
            <w:proofErr w:type="spellEnd"/>
            <w:r>
              <w:rPr>
                <w:b/>
              </w:rPr>
              <w:t xml:space="preserve">, the gNB can indicate to the UE the identifiers of QoE configurations which should be kept by the UE and the UE shall continue the QoE measurements for the indicated QoE configurations. </w:t>
            </w:r>
          </w:p>
        </w:tc>
      </w:tr>
    </w:tbl>
    <w:p w:rsidR="00014C15" w:rsidRDefault="00B6012C">
      <w:pPr>
        <w:spacing w:before="240"/>
      </w:pPr>
      <w:r>
        <w:t>The scenario which is targeted by this proposal</w:t>
      </w:r>
      <w:r>
        <w:t xml:space="preserve"> is when the target gNB supports QoE, but does not support another configuration of the UE and has to apply full configuration due to that reason. It was indicated that in case QoE configurations would be provided by the gNB explicitly, then the UE would h</w:t>
      </w:r>
      <w:r>
        <w:t>ave to resend them to the application layer, which would be treated as an overwrite of the previous QoE configuration with the same identifier. Based on this, companies are requested to reply to the following question:</w:t>
      </w:r>
    </w:p>
    <w:p w:rsidR="00014C15" w:rsidRDefault="00B6012C">
      <w:pPr>
        <w:spacing w:before="240"/>
      </w:pPr>
      <w:r>
        <w:rPr>
          <w:b/>
        </w:rPr>
        <w:t xml:space="preserve">Question 4: Do companies agree that, </w:t>
      </w:r>
      <w:r>
        <w:rPr>
          <w:b/>
        </w:rPr>
        <w:t xml:space="preserve">upon </w:t>
      </w:r>
      <w:proofErr w:type="spellStart"/>
      <w:r>
        <w:rPr>
          <w:b/>
        </w:rPr>
        <w:t>FullConfig</w:t>
      </w:r>
      <w:proofErr w:type="spellEnd"/>
      <w:r>
        <w:rPr>
          <w:b/>
        </w:rPr>
        <w:t>, the gNB can indicate to the UE the identifiers of QoE configurations which should be kept by the UE and the UE shall continue the QoE measurements for the indicated QoE configurations?</w:t>
      </w:r>
    </w:p>
    <w:tbl>
      <w:tblPr>
        <w:tblStyle w:val="a9"/>
        <w:tblW w:w="0" w:type="auto"/>
        <w:tblLook w:val="04A0" w:firstRow="1" w:lastRow="0" w:firstColumn="1" w:lastColumn="0" w:noHBand="0" w:noVBand="1"/>
      </w:tblPr>
      <w:tblGrid>
        <w:gridCol w:w="2405"/>
        <w:gridCol w:w="1418"/>
        <w:gridCol w:w="5808"/>
      </w:tblGrid>
      <w:tr w:rsidR="00014C15">
        <w:tc>
          <w:tcPr>
            <w:tcW w:w="2405" w:type="dxa"/>
          </w:tcPr>
          <w:p w:rsidR="00014C15" w:rsidRDefault="00B6012C">
            <w:pPr>
              <w:jc w:val="center"/>
              <w:rPr>
                <w:b/>
              </w:rPr>
            </w:pPr>
            <w:r>
              <w:rPr>
                <w:b/>
              </w:rPr>
              <w:t>Company</w:t>
            </w:r>
          </w:p>
        </w:tc>
        <w:tc>
          <w:tcPr>
            <w:tcW w:w="1418" w:type="dxa"/>
          </w:tcPr>
          <w:p w:rsidR="00014C15" w:rsidRDefault="00B6012C">
            <w:pPr>
              <w:jc w:val="center"/>
              <w:rPr>
                <w:b/>
              </w:rPr>
            </w:pPr>
            <w:r>
              <w:rPr>
                <w:b/>
              </w:rPr>
              <w:t>Yes/No</w:t>
            </w:r>
          </w:p>
        </w:tc>
        <w:tc>
          <w:tcPr>
            <w:tcW w:w="5808" w:type="dxa"/>
          </w:tcPr>
          <w:p w:rsidR="00014C15" w:rsidRDefault="00B6012C">
            <w:pPr>
              <w:jc w:val="center"/>
              <w:rPr>
                <w:b/>
              </w:rPr>
            </w:pPr>
            <w:r>
              <w:rPr>
                <w:b/>
              </w:rPr>
              <w:t>Reason / comments</w:t>
            </w:r>
          </w:p>
        </w:tc>
      </w:tr>
      <w:tr w:rsidR="00014C15">
        <w:tc>
          <w:tcPr>
            <w:tcW w:w="2405" w:type="dxa"/>
          </w:tcPr>
          <w:p w:rsidR="00014C15" w:rsidRDefault="00B6012C">
            <w:pPr>
              <w:rPr>
                <w:lang w:eastAsia="zh-CN"/>
              </w:rPr>
            </w:pPr>
            <w:r>
              <w:rPr>
                <w:rFonts w:hint="eastAsia"/>
                <w:lang w:eastAsia="zh-CN"/>
              </w:rPr>
              <w:t>CMCC</w:t>
            </w:r>
          </w:p>
        </w:tc>
        <w:tc>
          <w:tcPr>
            <w:tcW w:w="1418" w:type="dxa"/>
          </w:tcPr>
          <w:p w:rsidR="00014C15" w:rsidRDefault="00B6012C">
            <w:pPr>
              <w:rPr>
                <w:lang w:eastAsia="zh-CN"/>
              </w:rPr>
            </w:pPr>
            <w:r>
              <w:rPr>
                <w:rFonts w:hint="eastAsia"/>
                <w:lang w:eastAsia="zh-CN"/>
              </w:rPr>
              <w:t>Yes</w:t>
            </w:r>
          </w:p>
        </w:tc>
        <w:tc>
          <w:tcPr>
            <w:tcW w:w="5808" w:type="dxa"/>
          </w:tcPr>
          <w:p w:rsidR="00014C15" w:rsidRDefault="00014C15">
            <w:pPr>
              <w:rPr>
                <w:lang w:eastAsia="zh-CN"/>
              </w:rPr>
            </w:pPr>
          </w:p>
        </w:tc>
      </w:tr>
      <w:tr w:rsidR="00014C15">
        <w:tc>
          <w:tcPr>
            <w:tcW w:w="2405" w:type="dxa"/>
          </w:tcPr>
          <w:p w:rsidR="00014C15" w:rsidRDefault="00B6012C">
            <w:r>
              <w:t>Qualcomm</w:t>
            </w:r>
          </w:p>
        </w:tc>
        <w:tc>
          <w:tcPr>
            <w:tcW w:w="1418" w:type="dxa"/>
          </w:tcPr>
          <w:p w:rsidR="00014C15" w:rsidRDefault="00B6012C">
            <w:r>
              <w:t>Yes but</w:t>
            </w:r>
          </w:p>
        </w:tc>
        <w:tc>
          <w:tcPr>
            <w:tcW w:w="5808" w:type="dxa"/>
          </w:tcPr>
          <w:p w:rsidR="00014C15" w:rsidRDefault="00B6012C">
            <w:r>
              <w:t>Generally ok, but need the source gNB forwards the RRC ID together with the Reference and configuration to the target gNB.</w:t>
            </w:r>
          </w:p>
        </w:tc>
      </w:tr>
      <w:tr w:rsidR="00014C15">
        <w:tc>
          <w:tcPr>
            <w:tcW w:w="2405" w:type="dxa"/>
          </w:tcPr>
          <w:p w:rsidR="00014C15" w:rsidRDefault="00B6012C">
            <w:r>
              <w:t xml:space="preserve">Huawei, </w:t>
            </w:r>
            <w:proofErr w:type="spellStart"/>
            <w:r>
              <w:t>HiSilicon</w:t>
            </w:r>
            <w:proofErr w:type="spellEnd"/>
          </w:p>
        </w:tc>
        <w:tc>
          <w:tcPr>
            <w:tcW w:w="1418" w:type="dxa"/>
          </w:tcPr>
          <w:p w:rsidR="00014C15" w:rsidRDefault="00B6012C">
            <w:r>
              <w:t>Yes</w:t>
            </w:r>
          </w:p>
        </w:tc>
        <w:tc>
          <w:tcPr>
            <w:tcW w:w="5808" w:type="dxa"/>
          </w:tcPr>
          <w:p w:rsidR="00014C15" w:rsidRDefault="00B6012C">
            <w:r>
              <w:t xml:space="preserve">As for QCM’s comments, we understand that this will be done as for each handover (source gNB does not </w:t>
            </w:r>
            <w:r>
              <w:t xml:space="preserve">know whether target gNB performs </w:t>
            </w:r>
            <w:proofErr w:type="spellStart"/>
            <w:r>
              <w:t>fullConfig</w:t>
            </w:r>
            <w:proofErr w:type="spellEnd"/>
            <w:r>
              <w:t xml:space="preserve"> or not, it just passes information as usual).</w:t>
            </w:r>
          </w:p>
        </w:tc>
      </w:tr>
      <w:tr w:rsidR="00014C15">
        <w:tc>
          <w:tcPr>
            <w:tcW w:w="2405" w:type="dxa"/>
          </w:tcPr>
          <w:p w:rsidR="00014C15" w:rsidRDefault="00B6012C">
            <w:pPr>
              <w:rPr>
                <w:lang w:eastAsia="zh-CN"/>
              </w:rPr>
            </w:pPr>
            <w:r>
              <w:rPr>
                <w:lang w:eastAsia="zh-CN"/>
              </w:rPr>
              <w:lastRenderedPageBreak/>
              <w:t>LGE</w:t>
            </w:r>
          </w:p>
        </w:tc>
        <w:tc>
          <w:tcPr>
            <w:tcW w:w="1418" w:type="dxa"/>
          </w:tcPr>
          <w:p w:rsidR="00014C15" w:rsidRDefault="00B6012C">
            <w:pPr>
              <w:rPr>
                <w:rFonts w:eastAsia="Malgun Gothic"/>
                <w:lang w:eastAsia="ko-KR"/>
              </w:rPr>
            </w:pPr>
            <w:r>
              <w:rPr>
                <w:rFonts w:eastAsia="Malgun Gothic" w:hint="eastAsia"/>
                <w:lang w:eastAsia="ko-KR"/>
              </w:rPr>
              <w:t>Yes</w:t>
            </w:r>
          </w:p>
        </w:tc>
        <w:tc>
          <w:tcPr>
            <w:tcW w:w="5808" w:type="dxa"/>
          </w:tcPr>
          <w:p w:rsidR="00014C15" w:rsidRDefault="00014C15">
            <w:pPr>
              <w:rPr>
                <w:lang w:eastAsia="zh-CN"/>
              </w:rPr>
            </w:pPr>
          </w:p>
        </w:tc>
      </w:tr>
      <w:tr w:rsidR="00014C15">
        <w:tc>
          <w:tcPr>
            <w:tcW w:w="2405" w:type="dxa"/>
          </w:tcPr>
          <w:p w:rsidR="00014C15" w:rsidRDefault="00B6012C">
            <w:pPr>
              <w:rPr>
                <w:lang w:eastAsia="zh-CN"/>
              </w:rPr>
            </w:pPr>
            <w:r>
              <w:rPr>
                <w:lang w:eastAsia="zh-CN"/>
              </w:rPr>
              <w:t>Ericsson</w:t>
            </w:r>
          </w:p>
        </w:tc>
        <w:tc>
          <w:tcPr>
            <w:tcW w:w="1418" w:type="dxa"/>
          </w:tcPr>
          <w:p w:rsidR="00014C15" w:rsidRDefault="00B6012C">
            <w:pPr>
              <w:rPr>
                <w:rFonts w:eastAsia="Malgun Gothic"/>
                <w:lang w:eastAsia="ko-KR"/>
              </w:rPr>
            </w:pPr>
            <w:r>
              <w:rPr>
                <w:rFonts w:eastAsia="Malgun Gothic"/>
                <w:lang w:eastAsia="ko-KR"/>
              </w:rPr>
              <w:t>Yes</w:t>
            </w:r>
          </w:p>
        </w:tc>
        <w:tc>
          <w:tcPr>
            <w:tcW w:w="5808" w:type="dxa"/>
          </w:tcPr>
          <w:p w:rsidR="00014C15" w:rsidRDefault="00B6012C">
            <w:pPr>
              <w:rPr>
                <w:lang w:eastAsia="zh-CN"/>
              </w:rPr>
            </w:pPr>
            <w:r>
              <w:rPr>
                <w:lang w:eastAsia="zh-CN"/>
              </w:rPr>
              <w:t>Agree that the RRC ID and QoE reference for each configuration needs to be forwarded at handover. This mapping is never sent to the UE, so it will not be part of the UE configuration that is forwarded at handover in container. Therefore, this information n</w:t>
            </w:r>
            <w:r>
              <w:rPr>
                <w:lang w:eastAsia="zh-CN"/>
              </w:rPr>
              <w:t xml:space="preserve">eeds to be added outside the containers in RAN3 message. </w:t>
            </w:r>
          </w:p>
        </w:tc>
      </w:tr>
      <w:tr w:rsidR="00014C15">
        <w:tc>
          <w:tcPr>
            <w:tcW w:w="2405" w:type="dxa"/>
          </w:tcPr>
          <w:p w:rsidR="00014C15" w:rsidRDefault="00B6012C">
            <w:pPr>
              <w:rPr>
                <w:lang w:eastAsia="zh-CN"/>
              </w:rPr>
            </w:pPr>
            <w:r>
              <w:rPr>
                <w:rFonts w:hint="eastAsia"/>
                <w:lang w:eastAsia="zh-CN"/>
              </w:rPr>
              <w:t>O</w:t>
            </w:r>
            <w:r>
              <w:rPr>
                <w:lang w:eastAsia="zh-CN"/>
              </w:rPr>
              <w:t>PPO</w:t>
            </w:r>
          </w:p>
        </w:tc>
        <w:tc>
          <w:tcPr>
            <w:tcW w:w="1418" w:type="dxa"/>
          </w:tcPr>
          <w:p w:rsidR="00014C15" w:rsidRDefault="00B6012C">
            <w:pPr>
              <w:rPr>
                <w:rFonts w:eastAsiaTheme="minorEastAsia"/>
                <w:lang w:eastAsia="zh-CN"/>
              </w:rPr>
            </w:pPr>
            <w:r>
              <w:rPr>
                <w:rFonts w:eastAsiaTheme="minorEastAsia" w:hint="eastAsia"/>
                <w:lang w:eastAsia="zh-CN"/>
              </w:rPr>
              <w:t>Y</w:t>
            </w:r>
            <w:r>
              <w:rPr>
                <w:rFonts w:eastAsiaTheme="minorEastAsia"/>
                <w:lang w:eastAsia="zh-CN"/>
              </w:rPr>
              <w:t>es</w:t>
            </w:r>
          </w:p>
        </w:tc>
        <w:tc>
          <w:tcPr>
            <w:tcW w:w="5808" w:type="dxa"/>
          </w:tcPr>
          <w:p w:rsidR="00014C15" w:rsidRDefault="00014C15">
            <w:pPr>
              <w:rPr>
                <w:lang w:eastAsia="zh-CN"/>
              </w:rPr>
            </w:pPr>
          </w:p>
        </w:tc>
      </w:tr>
      <w:tr w:rsidR="00014C15">
        <w:tc>
          <w:tcPr>
            <w:tcW w:w="2405" w:type="dxa"/>
          </w:tcPr>
          <w:p w:rsidR="00014C15" w:rsidRDefault="00B6012C">
            <w:pPr>
              <w:rPr>
                <w:lang w:eastAsia="zh-CN"/>
              </w:rPr>
            </w:pPr>
            <w:r>
              <w:rPr>
                <w:lang w:eastAsia="zh-CN"/>
              </w:rPr>
              <w:t>vivo</w:t>
            </w:r>
          </w:p>
        </w:tc>
        <w:tc>
          <w:tcPr>
            <w:tcW w:w="1418" w:type="dxa"/>
          </w:tcPr>
          <w:p w:rsidR="00014C15" w:rsidRDefault="00B6012C">
            <w:pPr>
              <w:rPr>
                <w:rFonts w:eastAsiaTheme="minorEastAsia"/>
                <w:lang w:eastAsia="zh-CN"/>
              </w:rPr>
            </w:pPr>
            <w:r>
              <w:rPr>
                <w:rFonts w:eastAsiaTheme="minorEastAsia"/>
                <w:lang w:eastAsia="zh-CN"/>
              </w:rPr>
              <w:t>Yes</w:t>
            </w:r>
          </w:p>
        </w:tc>
        <w:tc>
          <w:tcPr>
            <w:tcW w:w="5808" w:type="dxa"/>
          </w:tcPr>
          <w:p w:rsidR="00014C15" w:rsidRDefault="00014C15">
            <w:pPr>
              <w:rPr>
                <w:lang w:eastAsia="zh-CN"/>
              </w:rPr>
            </w:pPr>
          </w:p>
        </w:tc>
      </w:tr>
      <w:tr w:rsidR="00014C15">
        <w:tc>
          <w:tcPr>
            <w:tcW w:w="2405" w:type="dxa"/>
          </w:tcPr>
          <w:p w:rsidR="00014C15" w:rsidRDefault="00B6012C">
            <w:pPr>
              <w:rPr>
                <w:lang w:val="en-US" w:eastAsia="zh-CN"/>
              </w:rPr>
            </w:pPr>
            <w:r>
              <w:rPr>
                <w:lang w:val="en-US" w:eastAsia="zh-CN"/>
              </w:rPr>
              <w:t>ZTE</w:t>
            </w:r>
          </w:p>
        </w:tc>
        <w:tc>
          <w:tcPr>
            <w:tcW w:w="1418" w:type="dxa"/>
          </w:tcPr>
          <w:p w:rsidR="00014C15" w:rsidRDefault="00B6012C">
            <w:pPr>
              <w:rPr>
                <w:rFonts w:eastAsia="Malgun Gothic"/>
                <w:lang w:val="en-US" w:eastAsia="zh-CN"/>
              </w:rPr>
            </w:pPr>
            <w:r>
              <w:rPr>
                <w:rFonts w:eastAsia="Malgun Gothic"/>
                <w:lang w:val="en-US" w:eastAsia="ko-KR"/>
              </w:rPr>
              <w:t>Yes</w:t>
            </w:r>
          </w:p>
        </w:tc>
        <w:tc>
          <w:tcPr>
            <w:tcW w:w="5808" w:type="dxa"/>
          </w:tcPr>
          <w:p w:rsidR="00014C15" w:rsidRDefault="00014C15">
            <w:pPr>
              <w:rPr>
                <w:lang w:eastAsia="zh-CN"/>
              </w:rPr>
            </w:pPr>
          </w:p>
        </w:tc>
      </w:tr>
      <w:tr w:rsidR="00B6012C">
        <w:tc>
          <w:tcPr>
            <w:tcW w:w="2405" w:type="dxa"/>
          </w:tcPr>
          <w:p w:rsidR="00B6012C" w:rsidRDefault="00B6012C">
            <w:pPr>
              <w:rPr>
                <w:lang w:val="en-US" w:eastAsia="zh-CN"/>
              </w:rPr>
            </w:pPr>
            <w:r>
              <w:rPr>
                <w:rFonts w:hint="eastAsia"/>
                <w:lang w:val="en-US" w:eastAsia="zh-CN"/>
              </w:rPr>
              <w:t>CATT</w:t>
            </w:r>
          </w:p>
        </w:tc>
        <w:tc>
          <w:tcPr>
            <w:tcW w:w="1418" w:type="dxa"/>
          </w:tcPr>
          <w:p w:rsidR="00B6012C" w:rsidRPr="00B6012C" w:rsidRDefault="00B6012C">
            <w:pPr>
              <w:rPr>
                <w:rFonts w:eastAsiaTheme="minorEastAsia" w:hint="eastAsia"/>
                <w:lang w:val="en-US" w:eastAsia="zh-CN"/>
              </w:rPr>
            </w:pPr>
            <w:r>
              <w:rPr>
                <w:rFonts w:eastAsiaTheme="minorEastAsia" w:hint="eastAsia"/>
                <w:lang w:val="en-US" w:eastAsia="zh-CN"/>
              </w:rPr>
              <w:t>Yes</w:t>
            </w:r>
          </w:p>
        </w:tc>
        <w:tc>
          <w:tcPr>
            <w:tcW w:w="5808" w:type="dxa"/>
          </w:tcPr>
          <w:p w:rsidR="00B6012C" w:rsidRDefault="00B6012C">
            <w:pPr>
              <w:rPr>
                <w:lang w:eastAsia="zh-CN"/>
              </w:rPr>
            </w:pPr>
          </w:p>
        </w:tc>
      </w:tr>
    </w:tbl>
    <w:p w:rsidR="00014C15" w:rsidRDefault="00014C15">
      <w:pPr>
        <w:rPr>
          <w:b/>
        </w:rPr>
      </w:pPr>
    </w:p>
    <w:p w:rsidR="00014C15" w:rsidRDefault="00B6012C">
      <w:pPr>
        <w:pStyle w:val="2"/>
      </w:pPr>
      <w:r>
        <w:t>3.3</w:t>
      </w:r>
      <w:r>
        <w:tab/>
        <w:t>Mobility in RRC INACTIVE</w:t>
      </w:r>
    </w:p>
    <w:p w:rsidR="00014C15" w:rsidRDefault="00B6012C">
      <w:r>
        <w:t xml:space="preserve">Except for Proposal 10 from [10] which addresses QoE handling during connection resume in the gNB supporting QoE, the following </w:t>
      </w:r>
      <w:r>
        <w:t>proposal was made in [10] for the case where the connection is resumed in the gNB not supporting QoE.</w:t>
      </w:r>
    </w:p>
    <w:tbl>
      <w:tblPr>
        <w:tblStyle w:val="a9"/>
        <w:tblW w:w="0" w:type="auto"/>
        <w:tblLook w:val="04A0" w:firstRow="1" w:lastRow="0" w:firstColumn="1" w:lastColumn="0" w:noHBand="0" w:noVBand="1"/>
      </w:tblPr>
      <w:tblGrid>
        <w:gridCol w:w="9631"/>
      </w:tblGrid>
      <w:tr w:rsidR="00014C15">
        <w:tc>
          <w:tcPr>
            <w:tcW w:w="9631" w:type="dxa"/>
          </w:tcPr>
          <w:p w:rsidR="00014C15" w:rsidRDefault="00B6012C">
            <w:pPr>
              <w:spacing w:after="0"/>
              <w:rPr>
                <w:b/>
              </w:rPr>
            </w:pPr>
            <w:r>
              <w:rPr>
                <w:b/>
                <w:highlight w:val="yellow"/>
              </w:rPr>
              <w:t>Proposal 11:</w:t>
            </w:r>
            <w:r>
              <w:rPr>
                <w:b/>
              </w:rPr>
              <w:tab/>
              <w:t>RAN2 is requested to discuss handling of QoE configurations when resuming the connection in a gNB not supporting QoE (recognized, e.g. by the</w:t>
            </w:r>
            <w:r>
              <w:rPr>
                <w:b/>
              </w:rPr>
              <w:t xml:space="preserve"> lack of QoE indication in </w:t>
            </w:r>
            <w:proofErr w:type="spellStart"/>
            <w:r>
              <w:rPr>
                <w:b/>
              </w:rPr>
              <w:t>RRCResume</w:t>
            </w:r>
            <w:proofErr w:type="spellEnd"/>
            <w:r>
              <w:rPr>
                <w:b/>
              </w:rPr>
              <w:t>):</w:t>
            </w:r>
          </w:p>
          <w:p w:rsidR="00014C15" w:rsidRDefault="00B6012C">
            <w:pPr>
              <w:pStyle w:val="ac"/>
              <w:numPr>
                <w:ilvl w:val="0"/>
                <w:numId w:val="9"/>
              </w:numPr>
              <w:rPr>
                <w:b/>
              </w:rPr>
            </w:pPr>
            <w:r>
              <w:rPr>
                <w:b/>
              </w:rPr>
              <w:t>The UE shall release all QoE measurement configurations.</w:t>
            </w:r>
          </w:p>
          <w:p w:rsidR="00014C15" w:rsidRDefault="00B6012C">
            <w:pPr>
              <w:pStyle w:val="ac"/>
              <w:numPr>
                <w:ilvl w:val="0"/>
                <w:numId w:val="9"/>
              </w:numPr>
              <w:rPr>
                <w:b/>
              </w:rPr>
            </w:pPr>
            <w:r>
              <w:rPr>
                <w:b/>
              </w:rPr>
              <w:t>The UE restores QoE context and performs QoE measurements but pausing QoE reporting.</w:t>
            </w:r>
          </w:p>
        </w:tc>
      </w:tr>
    </w:tbl>
    <w:p w:rsidR="00014C15" w:rsidRDefault="00014C15">
      <w:pPr>
        <w:rPr>
          <w:b/>
        </w:rPr>
      </w:pPr>
    </w:p>
    <w:p w:rsidR="00014C15" w:rsidRDefault="00B6012C">
      <w:r>
        <w:t xml:space="preserve">Option 1 assumes that the QoE configurations are simply released by the </w:t>
      </w:r>
      <w:r>
        <w:t xml:space="preserve">UE as they cannot be reported in the gNB not supporting QoE and such gNB cannot anyway </w:t>
      </w:r>
      <w:proofErr w:type="gramStart"/>
      <w:r>
        <w:t>belong</w:t>
      </w:r>
      <w:proofErr w:type="gramEnd"/>
      <w:r>
        <w:t xml:space="preserve"> the QoE measurement area scope.</w:t>
      </w:r>
    </w:p>
    <w:p w:rsidR="00014C15" w:rsidRDefault="00B6012C">
      <w:r>
        <w:t>Option 2 on the other hand proposes that even though the measurements cannot be reported to the gNB where the connection was resum</w:t>
      </w:r>
      <w:r>
        <w:t>ed, they can be stored in the UE and reported later. However, during e-mail discussion, there were some doubts raised about the feasibility of this approach on the network side. Specifically, it was pointed out that the QoE configurations need to be forwar</w:t>
      </w:r>
      <w:r>
        <w:t xml:space="preserve">ded between gNBs at handover, but a gNB which does not support QoE can never forward any QoE information. </w:t>
      </w:r>
    </w:p>
    <w:p w:rsidR="00014C15" w:rsidRDefault="00B6012C">
      <w:r>
        <w:t>Base on the above, companies are requested to answer to the following question.</w:t>
      </w:r>
    </w:p>
    <w:p w:rsidR="00014C15" w:rsidRDefault="00B6012C">
      <w:pPr>
        <w:rPr>
          <w:b/>
        </w:rPr>
      </w:pPr>
      <w:r>
        <w:rPr>
          <w:b/>
        </w:rPr>
        <w:t>Question 5: In your opinion, in case the UE resumes the connection in</w:t>
      </w:r>
      <w:r>
        <w:rPr>
          <w:b/>
        </w:rPr>
        <w:t xml:space="preserve"> a gNB not supporting QoE, the UE should:</w:t>
      </w:r>
    </w:p>
    <w:p w:rsidR="00014C15" w:rsidRDefault="00B6012C">
      <w:pPr>
        <w:ind w:left="284"/>
        <w:rPr>
          <w:b/>
        </w:rPr>
      </w:pPr>
      <w:r>
        <w:rPr>
          <w:b/>
        </w:rPr>
        <w:t>Option 1: The UE should release all QoE measurement configurations.</w:t>
      </w:r>
    </w:p>
    <w:p w:rsidR="00014C15" w:rsidRDefault="00B6012C">
      <w:pPr>
        <w:ind w:left="284"/>
        <w:rPr>
          <w:b/>
        </w:rPr>
      </w:pPr>
      <w:r>
        <w:rPr>
          <w:b/>
        </w:rPr>
        <w:t>Option 2: The UE should restore QoE context and perform QoE measurements but pause QoE reporting.</w:t>
      </w:r>
    </w:p>
    <w:tbl>
      <w:tblPr>
        <w:tblStyle w:val="a9"/>
        <w:tblW w:w="0" w:type="auto"/>
        <w:tblLook w:val="04A0" w:firstRow="1" w:lastRow="0" w:firstColumn="1" w:lastColumn="0" w:noHBand="0" w:noVBand="1"/>
      </w:tblPr>
      <w:tblGrid>
        <w:gridCol w:w="2405"/>
        <w:gridCol w:w="1418"/>
        <w:gridCol w:w="5808"/>
      </w:tblGrid>
      <w:tr w:rsidR="00014C15">
        <w:tc>
          <w:tcPr>
            <w:tcW w:w="2405" w:type="dxa"/>
          </w:tcPr>
          <w:p w:rsidR="00014C15" w:rsidRDefault="00B6012C">
            <w:pPr>
              <w:jc w:val="center"/>
              <w:rPr>
                <w:b/>
              </w:rPr>
            </w:pPr>
            <w:r>
              <w:rPr>
                <w:b/>
              </w:rPr>
              <w:t>Company</w:t>
            </w:r>
          </w:p>
        </w:tc>
        <w:tc>
          <w:tcPr>
            <w:tcW w:w="1418" w:type="dxa"/>
          </w:tcPr>
          <w:p w:rsidR="00014C15" w:rsidRDefault="00B6012C">
            <w:pPr>
              <w:jc w:val="center"/>
              <w:rPr>
                <w:b/>
              </w:rPr>
            </w:pPr>
            <w:r>
              <w:rPr>
                <w:b/>
              </w:rPr>
              <w:t>Preferred approach</w:t>
            </w:r>
          </w:p>
        </w:tc>
        <w:tc>
          <w:tcPr>
            <w:tcW w:w="5808" w:type="dxa"/>
          </w:tcPr>
          <w:p w:rsidR="00014C15" w:rsidRDefault="00B6012C">
            <w:pPr>
              <w:jc w:val="center"/>
              <w:rPr>
                <w:b/>
              </w:rPr>
            </w:pPr>
            <w:r>
              <w:rPr>
                <w:b/>
              </w:rPr>
              <w:t>Reason / comments</w:t>
            </w:r>
          </w:p>
        </w:tc>
      </w:tr>
      <w:tr w:rsidR="00014C15">
        <w:tc>
          <w:tcPr>
            <w:tcW w:w="2405" w:type="dxa"/>
          </w:tcPr>
          <w:p w:rsidR="00014C15" w:rsidRDefault="00B6012C">
            <w:pPr>
              <w:rPr>
                <w:lang w:eastAsia="zh-CN"/>
              </w:rPr>
            </w:pPr>
            <w:r>
              <w:rPr>
                <w:rFonts w:hint="eastAsia"/>
                <w:lang w:eastAsia="zh-CN"/>
              </w:rPr>
              <w:t>CMCC</w:t>
            </w:r>
          </w:p>
        </w:tc>
        <w:tc>
          <w:tcPr>
            <w:tcW w:w="1418" w:type="dxa"/>
          </w:tcPr>
          <w:p w:rsidR="00014C15" w:rsidRDefault="00B6012C">
            <w:pPr>
              <w:rPr>
                <w:lang w:eastAsia="zh-CN"/>
              </w:rPr>
            </w:pPr>
            <w:r>
              <w:rPr>
                <w:rFonts w:hint="eastAsia"/>
                <w:lang w:eastAsia="zh-CN"/>
              </w:rPr>
              <w:t>Option 1</w:t>
            </w:r>
          </w:p>
        </w:tc>
        <w:tc>
          <w:tcPr>
            <w:tcW w:w="5808" w:type="dxa"/>
          </w:tcPr>
          <w:p w:rsidR="00014C15" w:rsidRDefault="00B6012C">
            <w:pPr>
              <w:rPr>
                <w:lang w:eastAsia="zh-CN"/>
              </w:rPr>
            </w:pPr>
            <w:r>
              <w:rPr>
                <w:rFonts w:hint="eastAsia"/>
                <w:lang w:eastAsia="zh-CN"/>
              </w:rPr>
              <w:t>Option 1 seems to be a simple way that will not cause mismatch between gNB and UE.</w:t>
            </w:r>
          </w:p>
        </w:tc>
      </w:tr>
      <w:tr w:rsidR="00014C15">
        <w:tc>
          <w:tcPr>
            <w:tcW w:w="2405" w:type="dxa"/>
          </w:tcPr>
          <w:p w:rsidR="00014C15" w:rsidRDefault="00B6012C">
            <w:r>
              <w:t>Qualcomm</w:t>
            </w:r>
          </w:p>
        </w:tc>
        <w:tc>
          <w:tcPr>
            <w:tcW w:w="1418" w:type="dxa"/>
          </w:tcPr>
          <w:p w:rsidR="00014C15" w:rsidRDefault="00B6012C">
            <w:r>
              <w:t>Option 2</w:t>
            </w:r>
          </w:p>
        </w:tc>
        <w:tc>
          <w:tcPr>
            <w:tcW w:w="5808" w:type="dxa"/>
          </w:tcPr>
          <w:p w:rsidR="00014C15" w:rsidRDefault="00B6012C">
            <w:r>
              <w:t>Can satisfy QoE measurement continuity and to keep application measurement behaviour agnostic to RAN situation.</w:t>
            </w:r>
          </w:p>
        </w:tc>
      </w:tr>
      <w:tr w:rsidR="00014C15">
        <w:tc>
          <w:tcPr>
            <w:tcW w:w="2405" w:type="dxa"/>
          </w:tcPr>
          <w:p w:rsidR="00014C15" w:rsidRDefault="00B6012C">
            <w:r>
              <w:t xml:space="preserve">Huawei, </w:t>
            </w:r>
            <w:proofErr w:type="spellStart"/>
            <w:r>
              <w:t>HiSilicon</w:t>
            </w:r>
            <w:proofErr w:type="spellEnd"/>
          </w:p>
        </w:tc>
        <w:tc>
          <w:tcPr>
            <w:tcW w:w="1418" w:type="dxa"/>
          </w:tcPr>
          <w:p w:rsidR="00014C15" w:rsidRDefault="00B6012C">
            <w:r>
              <w:t>Option 1</w:t>
            </w:r>
          </w:p>
        </w:tc>
        <w:tc>
          <w:tcPr>
            <w:tcW w:w="5808" w:type="dxa"/>
          </w:tcPr>
          <w:p w:rsidR="00014C15" w:rsidRDefault="00B6012C">
            <w:r>
              <w:t>As indicated above, option 2 seems not to work and proponents should first clarify how to address the issues that were raised.</w:t>
            </w:r>
          </w:p>
          <w:p w:rsidR="00014C15" w:rsidRDefault="00B6012C">
            <w:r>
              <w:lastRenderedPageBreak/>
              <w:t>We also do not understand why QoE measurement continuity is mentioned here if it is challenged even for RRC Connected mode QoE? E</w:t>
            </w:r>
            <w:r>
              <w:t xml:space="preserve">specially considering that in RRC Inactive the UE will have no </w:t>
            </w:r>
            <w:proofErr w:type="spellStart"/>
            <w:r>
              <w:t>ongoing</w:t>
            </w:r>
            <w:proofErr w:type="spellEnd"/>
            <w:r>
              <w:t xml:space="preserve"> QoE measurements so what is to be continued?</w:t>
            </w:r>
          </w:p>
        </w:tc>
      </w:tr>
      <w:tr w:rsidR="00014C15">
        <w:tc>
          <w:tcPr>
            <w:tcW w:w="2405" w:type="dxa"/>
          </w:tcPr>
          <w:p w:rsidR="00014C15" w:rsidRDefault="00B6012C">
            <w:pPr>
              <w:rPr>
                <w:lang w:eastAsia="ko-KR"/>
              </w:rPr>
            </w:pPr>
            <w:r>
              <w:rPr>
                <w:rFonts w:hint="eastAsia"/>
              </w:rPr>
              <w:lastRenderedPageBreak/>
              <w:t>LGE</w:t>
            </w:r>
          </w:p>
        </w:tc>
        <w:tc>
          <w:tcPr>
            <w:tcW w:w="1418" w:type="dxa"/>
          </w:tcPr>
          <w:p w:rsidR="00014C15" w:rsidRDefault="00014C15"/>
        </w:tc>
        <w:tc>
          <w:tcPr>
            <w:tcW w:w="5808" w:type="dxa"/>
          </w:tcPr>
          <w:p w:rsidR="00014C15" w:rsidRDefault="00B6012C">
            <w:pPr>
              <w:rPr>
                <w:rFonts w:eastAsia="Malgun Gothic"/>
                <w:lang w:eastAsia="ko-KR"/>
              </w:rPr>
            </w:pPr>
            <w:r>
              <w:rPr>
                <w:rFonts w:eastAsia="Malgun Gothic" w:hint="eastAsia"/>
                <w:lang w:eastAsia="ko-KR"/>
              </w:rPr>
              <w:t>RAN2 agreed to deprioritize the QoE in INACTIVE.</w:t>
            </w:r>
          </w:p>
          <w:p w:rsidR="00014C15" w:rsidRDefault="00B6012C">
            <w:pPr>
              <w:pStyle w:val="Agreement"/>
              <w:tabs>
                <w:tab w:val="clear" w:pos="360"/>
                <w:tab w:val="left" w:pos="1309"/>
              </w:tabs>
              <w:ind w:left="317" w:hanging="317"/>
              <w:rPr>
                <w:lang w:val="en-US"/>
              </w:rPr>
            </w:pPr>
            <w:r>
              <w:rPr>
                <w:lang w:val="en-US"/>
              </w:rPr>
              <w:t>Confirm that RAN2 deprioritizes QoE measurement in RRC_IDLE/RRC_INACTIVE in Rel-17.</w:t>
            </w:r>
          </w:p>
          <w:p w:rsidR="00014C15" w:rsidRDefault="00B6012C">
            <w:pPr>
              <w:rPr>
                <w:rFonts w:eastAsia="Malgun Gothic"/>
                <w:lang w:eastAsia="ko-KR"/>
              </w:rPr>
            </w:pPr>
            <w:r>
              <w:rPr>
                <w:rFonts w:eastAsia="Malgun Gothic"/>
                <w:lang w:eastAsia="ko-KR"/>
              </w:rPr>
              <w:t>S</w:t>
            </w:r>
            <w:r>
              <w:rPr>
                <w:rFonts w:eastAsia="Malgun Gothic" w:hint="eastAsia"/>
                <w:lang w:eastAsia="ko-KR"/>
              </w:rPr>
              <w:t xml:space="preserve">o </w:t>
            </w:r>
            <w:r>
              <w:rPr>
                <w:rFonts w:eastAsia="Malgun Gothic"/>
                <w:lang w:eastAsia="ko-KR"/>
              </w:rPr>
              <w:t>it seems reasonable to release the QoE configuration upon entering RRC_INACTIVE.</w:t>
            </w:r>
          </w:p>
        </w:tc>
      </w:tr>
      <w:tr w:rsidR="00014C15">
        <w:tc>
          <w:tcPr>
            <w:tcW w:w="2405" w:type="dxa"/>
          </w:tcPr>
          <w:p w:rsidR="00014C15" w:rsidRDefault="00B6012C">
            <w:r>
              <w:t>Ericsson</w:t>
            </w:r>
          </w:p>
        </w:tc>
        <w:tc>
          <w:tcPr>
            <w:tcW w:w="1418" w:type="dxa"/>
          </w:tcPr>
          <w:p w:rsidR="00014C15" w:rsidRDefault="00B6012C">
            <w:r>
              <w:t>Option 1</w:t>
            </w:r>
          </w:p>
        </w:tc>
        <w:tc>
          <w:tcPr>
            <w:tcW w:w="5808" w:type="dxa"/>
          </w:tcPr>
          <w:p w:rsidR="00014C15" w:rsidRDefault="00B6012C">
            <w:pPr>
              <w:rPr>
                <w:rFonts w:eastAsia="Malgun Gothic"/>
                <w:lang w:eastAsia="ko-KR"/>
              </w:rPr>
            </w:pPr>
            <w:r>
              <w:rPr>
                <w:rFonts w:eastAsia="Malgun Gothic"/>
                <w:lang w:eastAsia="ko-KR"/>
              </w:rPr>
              <w:t xml:space="preserve">Option 2 doesn’t work for the reason mentioned by the rapporteur. A gNB that doesn’t support QoE measurements cannot forward the necessary information to </w:t>
            </w:r>
            <w:r>
              <w:rPr>
                <w:rFonts w:eastAsia="Malgun Gothic"/>
                <w:lang w:eastAsia="ko-KR"/>
              </w:rPr>
              <w:t xml:space="preserve">the next gNB, so the information will be lost in the network side. </w:t>
            </w:r>
          </w:p>
        </w:tc>
      </w:tr>
      <w:tr w:rsidR="00014C15">
        <w:tc>
          <w:tcPr>
            <w:tcW w:w="2405" w:type="dxa"/>
          </w:tcPr>
          <w:p w:rsidR="00014C15" w:rsidRDefault="00B6012C">
            <w:pPr>
              <w:rPr>
                <w:lang w:eastAsia="zh-CN"/>
              </w:rPr>
            </w:pPr>
            <w:r>
              <w:rPr>
                <w:rFonts w:hint="eastAsia"/>
                <w:lang w:eastAsia="zh-CN"/>
              </w:rPr>
              <w:t>O</w:t>
            </w:r>
            <w:r>
              <w:rPr>
                <w:lang w:eastAsia="zh-CN"/>
              </w:rPr>
              <w:t>PPO</w:t>
            </w:r>
          </w:p>
        </w:tc>
        <w:tc>
          <w:tcPr>
            <w:tcW w:w="1418" w:type="dxa"/>
          </w:tcPr>
          <w:p w:rsidR="00014C15" w:rsidRDefault="00B6012C">
            <w:pPr>
              <w:rPr>
                <w:lang w:eastAsia="zh-CN"/>
              </w:rPr>
            </w:pPr>
            <w:r>
              <w:rPr>
                <w:rFonts w:hint="eastAsia"/>
                <w:lang w:eastAsia="zh-CN"/>
              </w:rPr>
              <w:t>O</w:t>
            </w:r>
            <w:r>
              <w:rPr>
                <w:lang w:eastAsia="zh-CN"/>
              </w:rPr>
              <w:t>ption 1</w:t>
            </w:r>
          </w:p>
        </w:tc>
        <w:tc>
          <w:tcPr>
            <w:tcW w:w="5808" w:type="dxa"/>
          </w:tcPr>
          <w:p w:rsidR="00014C15" w:rsidRDefault="00B6012C">
            <w:pPr>
              <w:rPr>
                <w:rFonts w:eastAsiaTheme="minorEastAsia"/>
                <w:lang w:eastAsia="zh-CN"/>
              </w:rPr>
            </w:pPr>
            <w:r>
              <w:rPr>
                <w:rFonts w:eastAsiaTheme="minorEastAsia"/>
                <w:lang w:eastAsia="zh-CN"/>
              </w:rPr>
              <w:t>Transmission of QoE configuration via AMF is needed for the Option 2, which is too complicated</w:t>
            </w:r>
          </w:p>
        </w:tc>
      </w:tr>
      <w:tr w:rsidR="00014C15">
        <w:tc>
          <w:tcPr>
            <w:tcW w:w="2405" w:type="dxa"/>
          </w:tcPr>
          <w:p w:rsidR="00014C15" w:rsidRDefault="00B6012C">
            <w:pPr>
              <w:rPr>
                <w:lang w:eastAsia="zh-CN"/>
              </w:rPr>
            </w:pPr>
            <w:r>
              <w:rPr>
                <w:lang w:eastAsia="zh-CN"/>
              </w:rPr>
              <w:t>vivo</w:t>
            </w:r>
          </w:p>
        </w:tc>
        <w:tc>
          <w:tcPr>
            <w:tcW w:w="1418" w:type="dxa"/>
          </w:tcPr>
          <w:p w:rsidR="00014C15" w:rsidRDefault="00B6012C">
            <w:pPr>
              <w:rPr>
                <w:lang w:eastAsia="zh-CN"/>
              </w:rPr>
            </w:pPr>
            <w:r>
              <w:rPr>
                <w:lang w:eastAsia="zh-CN"/>
              </w:rPr>
              <w:t>Option 1</w:t>
            </w:r>
          </w:p>
        </w:tc>
        <w:tc>
          <w:tcPr>
            <w:tcW w:w="5808" w:type="dxa"/>
          </w:tcPr>
          <w:p w:rsidR="00014C15" w:rsidRDefault="00B6012C">
            <w:pPr>
              <w:rPr>
                <w:rFonts w:eastAsiaTheme="minorEastAsia"/>
                <w:lang w:eastAsia="zh-CN"/>
              </w:rPr>
            </w:pPr>
            <w:r>
              <w:rPr>
                <w:rFonts w:eastAsiaTheme="minorEastAsia"/>
                <w:lang w:eastAsia="zh-CN"/>
              </w:rPr>
              <w:t xml:space="preserve">Proponent should clarify how </w:t>
            </w:r>
            <w:proofErr w:type="gramStart"/>
            <w:r>
              <w:rPr>
                <w:rFonts w:eastAsiaTheme="minorEastAsia"/>
                <w:lang w:eastAsia="zh-CN"/>
              </w:rPr>
              <w:t>does the Option 2 work</w:t>
            </w:r>
            <w:proofErr w:type="gramEnd"/>
            <w:r>
              <w:rPr>
                <w:rFonts w:eastAsiaTheme="minorEastAsia"/>
                <w:lang w:eastAsia="zh-CN"/>
              </w:rPr>
              <w:t>.</w:t>
            </w:r>
          </w:p>
          <w:p w:rsidR="00014C15" w:rsidRDefault="00B6012C">
            <w:pPr>
              <w:rPr>
                <w:rFonts w:eastAsiaTheme="minorEastAsia"/>
                <w:lang w:eastAsia="zh-CN"/>
              </w:rPr>
            </w:pPr>
            <w:r>
              <w:rPr>
                <w:rFonts w:eastAsiaTheme="minorEastAsia"/>
                <w:lang w:eastAsia="zh-CN"/>
              </w:rPr>
              <w:t xml:space="preserve">Even if </w:t>
            </w:r>
            <w:r>
              <w:rPr>
                <w:rFonts w:eastAsiaTheme="minorEastAsia"/>
                <w:lang w:eastAsia="zh-CN"/>
              </w:rPr>
              <w:t>the UE continue measurements in the current gNB does not support QoE and buffer data in application layer for further transmission, the UE is not expected to move to the gNB that support QoE in a certain time. Further, SA4 has not agreed to buffer the repo</w:t>
            </w:r>
            <w:r>
              <w:rPr>
                <w:rFonts w:eastAsiaTheme="minorEastAsia"/>
                <w:lang w:eastAsia="zh-CN"/>
              </w:rPr>
              <w:t>rt in APP layer yet.</w:t>
            </w:r>
          </w:p>
        </w:tc>
      </w:tr>
      <w:tr w:rsidR="00014C15">
        <w:tc>
          <w:tcPr>
            <w:tcW w:w="2405" w:type="dxa"/>
          </w:tcPr>
          <w:p w:rsidR="00014C15" w:rsidRDefault="00B6012C">
            <w:pPr>
              <w:rPr>
                <w:lang w:val="en-US" w:eastAsia="zh-CN"/>
              </w:rPr>
            </w:pPr>
            <w:r>
              <w:rPr>
                <w:lang w:val="en-US"/>
              </w:rPr>
              <w:t>ZTE</w:t>
            </w:r>
          </w:p>
        </w:tc>
        <w:tc>
          <w:tcPr>
            <w:tcW w:w="1418" w:type="dxa"/>
          </w:tcPr>
          <w:p w:rsidR="00014C15" w:rsidRDefault="00B6012C">
            <w:pPr>
              <w:rPr>
                <w:lang w:val="en-US" w:eastAsia="zh-CN"/>
              </w:rPr>
            </w:pPr>
            <w:r>
              <w:rPr>
                <w:lang w:val="en-US"/>
              </w:rPr>
              <w:t>Option1</w:t>
            </w:r>
          </w:p>
        </w:tc>
        <w:tc>
          <w:tcPr>
            <w:tcW w:w="5808" w:type="dxa"/>
          </w:tcPr>
          <w:p w:rsidR="00014C15" w:rsidRDefault="00B6012C">
            <w:pPr>
              <w:rPr>
                <w:rFonts w:eastAsia="Malgun Gothic"/>
                <w:lang w:val="en-US" w:eastAsia="zh-CN"/>
              </w:rPr>
            </w:pPr>
            <w:r>
              <w:rPr>
                <w:rFonts w:eastAsia="Malgun Gothic"/>
                <w:lang w:val="en-US" w:eastAsia="ko-KR"/>
              </w:rPr>
              <w:t>Share the same view with Ericsson.</w:t>
            </w:r>
          </w:p>
        </w:tc>
      </w:tr>
      <w:tr w:rsidR="00B6012C">
        <w:tc>
          <w:tcPr>
            <w:tcW w:w="2405" w:type="dxa"/>
          </w:tcPr>
          <w:p w:rsidR="00B6012C" w:rsidRDefault="00B6012C">
            <w:pPr>
              <w:rPr>
                <w:rFonts w:hint="eastAsia"/>
                <w:lang w:val="en-US" w:eastAsia="zh-CN"/>
              </w:rPr>
            </w:pPr>
            <w:r>
              <w:rPr>
                <w:rFonts w:hint="eastAsia"/>
                <w:lang w:val="en-US" w:eastAsia="zh-CN"/>
              </w:rPr>
              <w:t>CATT</w:t>
            </w:r>
          </w:p>
        </w:tc>
        <w:tc>
          <w:tcPr>
            <w:tcW w:w="1418" w:type="dxa"/>
          </w:tcPr>
          <w:p w:rsidR="00B6012C" w:rsidRDefault="00B6012C">
            <w:pPr>
              <w:rPr>
                <w:rFonts w:hint="eastAsia"/>
                <w:lang w:val="en-US" w:eastAsia="zh-CN"/>
              </w:rPr>
            </w:pPr>
            <w:r>
              <w:rPr>
                <w:rFonts w:hint="eastAsia"/>
                <w:lang w:val="en-US" w:eastAsia="zh-CN"/>
              </w:rPr>
              <w:t>Option 1</w:t>
            </w:r>
          </w:p>
        </w:tc>
        <w:tc>
          <w:tcPr>
            <w:tcW w:w="5808" w:type="dxa"/>
          </w:tcPr>
          <w:p w:rsidR="00B6012C" w:rsidRPr="00B6012C" w:rsidRDefault="00B6012C" w:rsidP="00B6012C">
            <w:pPr>
              <w:rPr>
                <w:rFonts w:eastAsiaTheme="minorEastAsia" w:hint="eastAsia"/>
                <w:lang w:val="en-US" w:eastAsia="zh-CN"/>
              </w:rPr>
            </w:pPr>
            <w:r>
              <w:rPr>
                <w:rFonts w:eastAsiaTheme="minorEastAsia"/>
                <w:lang w:val="en-US" w:eastAsia="zh-CN"/>
              </w:rPr>
              <w:t>F</w:t>
            </w:r>
            <w:r>
              <w:rPr>
                <w:rFonts w:eastAsiaTheme="minorEastAsia" w:hint="eastAsia"/>
                <w:lang w:val="en-US" w:eastAsia="zh-CN"/>
              </w:rPr>
              <w:t xml:space="preserve">or resume, </w:t>
            </w:r>
            <w:r>
              <w:rPr>
                <w:rFonts w:eastAsiaTheme="minorEastAsia"/>
                <w:lang w:val="en-US" w:eastAsia="zh-CN"/>
              </w:rPr>
              <w:t>the</w:t>
            </w:r>
            <w:r>
              <w:rPr>
                <w:rFonts w:eastAsiaTheme="minorEastAsia" w:hint="eastAsia"/>
                <w:lang w:val="en-US" w:eastAsia="zh-CN"/>
              </w:rPr>
              <w:t xml:space="preserve"> </w:t>
            </w:r>
            <w:proofErr w:type="spellStart"/>
            <w:r>
              <w:rPr>
                <w:rFonts w:eastAsiaTheme="minorEastAsia" w:hint="eastAsia"/>
                <w:lang w:val="en-US" w:eastAsia="zh-CN"/>
              </w:rPr>
              <w:t>continuings</w:t>
            </w:r>
            <w:proofErr w:type="spellEnd"/>
            <w:r>
              <w:rPr>
                <w:rFonts w:eastAsiaTheme="minorEastAsia" w:hint="eastAsia"/>
                <w:lang w:val="en-US" w:eastAsia="zh-CN"/>
              </w:rPr>
              <w:t xml:space="preserve"> is not needed</w:t>
            </w:r>
          </w:p>
        </w:tc>
      </w:tr>
    </w:tbl>
    <w:p w:rsidR="00014C15" w:rsidRDefault="00014C15">
      <w:pPr>
        <w:rPr>
          <w:b/>
          <w:lang w:eastAsia="ko-KR"/>
        </w:rPr>
      </w:pPr>
    </w:p>
    <w:p w:rsidR="00014C15" w:rsidRDefault="00B6012C">
      <w:r>
        <w:t>There was also a proposal in one of the contributions which is echoed in [10] in the following way:</w:t>
      </w:r>
    </w:p>
    <w:tbl>
      <w:tblPr>
        <w:tblStyle w:val="a9"/>
        <w:tblW w:w="0" w:type="auto"/>
        <w:tblLook w:val="04A0" w:firstRow="1" w:lastRow="0" w:firstColumn="1" w:lastColumn="0" w:noHBand="0" w:noVBand="1"/>
      </w:tblPr>
      <w:tblGrid>
        <w:gridCol w:w="9631"/>
      </w:tblGrid>
      <w:tr w:rsidR="00014C15">
        <w:tc>
          <w:tcPr>
            <w:tcW w:w="9631" w:type="dxa"/>
          </w:tcPr>
          <w:p w:rsidR="00014C15" w:rsidRDefault="00B6012C">
            <w:r>
              <w:rPr>
                <w:b/>
                <w:highlight w:val="yellow"/>
              </w:rPr>
              <w:t>Proposal 12:</w:t>
            </w:r>
            <w:r>
              <w:rPr>
                <w:b/>
              </w:rPr>
              <w:t xml:space="preserve"> RAN2 is requested to discuss whether it should be possible for the gNB to restore and </w:t>
            </w:r>
            <w:proofErr w:type="gramStart"/>
            <w:r>
              <w:rPr>
                <w:b/>
              </w:rPr>
              <w:t>pause</w:t>
            </w:r>
            <w:proofErr w:type="gramEnd"/>
            <w:r>
              <w:rPr>
                <w:b/>
              </w:rPr>
              <w:t xml:space="preserve"> QoE measurement reporting for some/all QoE configurations during RRC Resume procedure.</w:t>
            </w:r>
          </w:p>
        </w:tc>
      </w:tr>
    </w:tbl>
    <w:p w:rsidR="00014C15" w:rsidRDefault="00014C15"/>
    <w:p w:rsidR="00014C15" w:rsidRDefault="00B6012C">
      <w:r>
        <w:t>In the rapporteur’s understanding this proposal applies to connection resu</w:t>
      </w:r>
      <w:r>
        <w:t xml:space="preserve">me under gNB supporting QoE and is an optimization on top of baseline behaviour proposed by Proposal 10 from [10]. The rationale is that the connection can be resumed under the gNB which is in overload condition. In this case, instead of releasing the QoE </w:t>
      </w:r>
      <w:r>
        <w:t>configuration (which would already be possible in case Proposal 10 is agreed)</w:t>
      </w:r>
      <w:proofErr w:type="gramStart"/>
      <w:r>
        <w:t>,</w:t>
      </w:r>
      <w:proofErr w:type="gramEnd"/>
      <w:r>
        <w:t xml:space="preserve"> the gNB would have a possibility to pause reporting for some of the configurations. The companies are then requested to answer the following question:</w:t>
      </w:r>
    </w:p>
    <w:p w:rsidR="00014C15" w:rsidRDefault="00B6012C">
      <w:r>
        <w:rPr>
          <w:b/>
        </w:rPr>
        <w:t>Question 6: Do companies t</w:t>
      </w:r>
      <w:r>
        <w:rPr>
          <w:b/>
        </w:rPr>
        <w:t xml:space="preserve">hink that it should be possible for the QoE supporting gNB to restore and </w:t>
      </w:r>
      <w:proofErr w:type="gramStart"/>
      <w:r>
        <w:rPr>
          <w:b/>
        </w:rPr>
        <w:t>pause</w:t>
      </w:r>
      <w:proofErr w:type="gramEnd"/>
      <w:r>
        <w:rPr>
          <w:b/>
        </w:rPr>
        <w:t xml:space="preserve"> QoE measurement reporting for some/all QoE configurations during RRC Resume procedure.</w:t>
      </w:r>
    </w:p>
    <w:tbl>
      <w:tblPr>
        <w:tblStyle w:val="a9"/>
        <w:tblW w:w="0" w:type="auto"/>
        <w:tblLook w:val="04A0" w:firstRow="1" w:lastRow="0" w:firstColumn="1" w:lastColumn="0" w:noHBand="0" w:noVBand="1"/>
      </w:tblPr>
      <w:tblGrid>
        <w:gridCol w:w="2405"/>
        <w:gridCol w:w="1418"/>
        <w:gridCol w:w="5808"/>
      </w:tblGrid>
      <w:tr w:rsidR="00014C15">
        <w:tc>
          <w:tcPr>
            <w:tcW w:w="2405" w:type="dxa"/>
          </w:tcPr>
          <w:p w:rsidR="00014C15" w:rsidRDefault="00B6012C">
            <w:pPr>
              <w:jc w:val="center"/>
              <w:rPr>
                <w:b/>
              </w:rPr>
            </w:pPr>
            <w:r>
              <w:rPr>
                <w:b/>
              </w:rPr>
              <w:t>Company</w:t>
            </w:r>
          </w:p>
        </w:tc>
        <w:tc>
          <w:tcPr>
            <w:tcW w:w="1418" w:type="dxa"/>
          </w:tcPr>
          <w:p w:rsidR="00014C15" w:rsidRDefault="00B6012C">
            <w:pPr>
              <w:jc w:val="center"/>
              <w:rPr>
                <w:b/>
              </w:rPr>
            </w:pPr>
            <w:r>
              <w:rPr>
                <w:b/>
              </w:rPr>
              <w:t>Yes/No</w:t>
            </w:r>
          </w:p>
        </w:tc>
        <w:tc>
          <w:tcPr>
            <w:tcW w:w="5808" w:type="dxa"/>
          </w:tcPr>
          <w:p w:rsidR="00014C15" w:rsidRDefault="00B6012C">
            <w:pPr>
              <w:jc w:val="center"/>
              <w:rPr>
                <w:b/>
              </w:rPr>
            </w:pPr>
            <w:r>
              <w:rPr>
                <w:b/>
              </w:rPr>
              <w:t>Reason / comments</w:t>
            </w:r>
          </w:p>
        </w:tc>
      </w:tr>
      <w:tr w:rsidR="00014C15">
        <w:tc>
          <w:tcPr>
            <w:tcW w:w="2405" w:type="dxa"/>
          </w:tcPr>
          <w:p w:rsidR="00014C15" w:rsidRDefault="00B6012C">
            <w:pPr>
              <w:rPr>
                <w:lang w:eastAsia="zh-CN"/>
              </w:rPr>
            </w:pPr>
            <w:r>
              <w:rPr>
                <w:rFonts w:hint="eastAsia"/>
                <w:lang w:eastAsia="zh-CN"/>
              </w:rPr>
              <w:t>CMCC</w:t>
            </w:r>
          </w:p>
        </w:tc>
        <w:tc>
          <w:tcPr>
            <w:tcW w:w="1418" w:type="dxa"/>
          </w:tcPr>
          <w:p w:rsidR="00014C15" w:rsidRDefault="00B6012C">
            <w:pPr>
              <w:rPr>
                <w:lang w:eastAsia="zh-CN"/>
              </w:rPr>
            </w:pPr>
            <w:r>
              <w:rPr>
                <w:rFonts w:hint="eastAsia"/>
                <w:lang w:eastAsia="zh-CN"/>
              </w:rPr>
              <w:t>Yes</w:t>
            </w:r>
          </w:p>
        </w:tc>
        <w:tc>
          <w:tcPr>
            <w:tcW w:w="5808" w:type="dxa"/>
          </w:tcPr>
          <w:p w:rsidR="00014C15" w:rsidRDefault="00B6012C">
            <w:pPr>
              <w:rPr>
                <w:lang w:eastAsia="zh-CN"/>
              </w:rPr>
            </w:pPr>
            <w:proofErr w:type="gramStart"/>
            <w:r>
              <w:rPr>
                <w:rFonts w:hint="eastAsia"/>
                <w:lang w:eastAsia="zh-CN"/>
              </w:rPr>
              <w:t>gNB</w:t>
            </w:r>
            <w:proofErr w:type="gramEnd"/>
            <w:r>
              <w:rPr>
                <w:rFonts w:hint="eastAsia"/>
                <w:lang w:eastAsia="zh-CN"/>
              </w:rPr>
              <w:t xml:space="preserve"> could have such flexibility for overload </w:t>
            </w:r>
            <w:r>
              <w:rPr>
                <w:rFonts w:hint="eastAsia"/>
                <w:lang w:eastAsia="zh-CN"/>
              </w:rPr>
              <w:t>control.</w:t>
            </w:r>
          </w:p>
        </w:tc>
      </w:tr>
      <w:tr w:rsidR="00014C15">
        <w:tc>
          <w:tcPr>
            <w:tcW w:w="2405" w:type="dxa"/>
          </w:tcPr>
          <w:p w:rsidR="00014C15" w:rsidRDefault="00B6012C">
            <w:r>
              <w:t>Qualcomm</w:t>
            </w:r>
          </w:p>
        </w:tc>
        <w:tc>
          <w:tcPr>
            <w:tcW w:w="1418" w:type="dxa"/>
          </w:tcPr>
          <w:p w:rsidR="00014C15" w:rsidRDefault="00B6012C">
            <w:r>
              <w:t>Yes</w:t>
            </w:r>
          </w:p>
        </w:tc>
        <w:tc>
          <w:tcPr>
            <w:tcW w:w="5808" w:type="dxa"/>
          </w:tcPr>
          <w:p w:rsidR="00014C15" w:rsidRDefault="00B6012C">
            <w:r>
              <w:t xml:space="preserve">Useful for the case of resume in RAN overload, no need another reconfiguration procedure to pause QoE configuration. This is the same handling for today’s SCG </w:t>
            </w:r>
            <w:proofErr w:type="gramStart"/>
            <w:r>
              <w:t>bearers</w:t>
            </w:r>
            <w:proofErr w:type="gramEnd"/>
            <w:r>
              <w:t xml:space="preserve"> restoration.</w:t>
            </w:r>
          </w:p>
        </w:tc>
      </w:tr>
      <w:tr w:rsidR="00014C15">
        <w:tc>
          <w:tcPr>
            <w:tcW w:w="2405" w:type="dxa"/>
          </w:tcPr>
          <w:p w:rsidR="00014C15" w:rsidRDefault="00B6012C">
            <w:r>
              <w:t xml:space="preserve">Huawei, </w:t>
            </w:r>
            <w:proofErr w:type="spellStart"/>
            <w:r>
              <w:t>HiSilicon</w:t>
            </w:r>
            <w:proofErr w:type="spellEnd"/>
          </w:p>
        </w:tc>
        <w:tc>
          <w:tcPr>
            <w:tcW w:w="1418" w:type="dxa"/>
          </w:tcPr>
          <w:p w:rsidR="00014C15" w:rsidRDefault="00B6012C">
            <w:r>
              <w:t>Rather not</w:t>
            </w:r>
          </w:p>
        </w:tc>
        <w:tc>
          <w:tcPr>
            <w:tcW w:w="5808" w:type="dxa"/>
          </w:tcPr>
          <w:p w:rsidR="00014C15" w:rsidRDefault="00B6012C">
            <w:r>
              <w:t xml:space="preserve">When the UE moves from </w:t>
            </w:r>
            <w:r>
              <w:t xml:space="preserve">RRC INACTIVE, it has no </w:t>
            </w:r>
            <w:proofErr w:type="spellStart"/>
            <w:r>
              <w:t>ongoing</w:t>
            </w:r>
            <w:proofErr w:type="spellEnd"/>
            <w:r>
              <w:t xml:space="preserve"> QoE measurements. In that situation, the gNB can just release the configurations if there is overload. This seems rather as a minor </w:t>
            </w:r>
            <w:r>
              <w:lastRenderedPageBreak/>
              <w:t xml:space="preserve">optimization. </w:t>
            </w:r>
          </w:p>
        </w:tc>
      </w:tr>
      <w:tr w:rsidR="00014C15">
        <w:tc>
          <w:tcPr>
            <w:tcW w:w="2405" w:type="dxa"/>
          </w:tcPr>
          <w:p w:rsidR="00014C15" w:rsidRDefault="00B6012C">
            <w:pPr>
              <w:rPr>
                <w:lang w:eastAsia="ko-KR"/>
              </w:rPr>
            </w:pPr>
            <w:r>
              <w:rPr>
                <w:rFonts w:hint="eastAsia"/>
              </w:rPr>
              <w:lastRenderedPageBreak/>
              <w:t>LGE</w:t>
            </w:r>
          </w:p>
        </w:tc>
        <w:tc>
          <w:tcPr>
            <w:tcW w:w="1418" w:type="dxa"/>
          </w:tcPr>
          <w:p w:rsidR="00014C15" w:rsidRDefault="00014C15"/>
        </w:tc>
        <w:tc>
          <w:tcPr>
            <w:tcW w:w="5808" w:type="dxa"/>
          </w:tcPr>
          <w:p w:rsidR="00014C15" w:rsidRDefault="00B6012C">
            <w:pPr>
              <w:rPr>
                <w:rFonts w:eastAsia="Malgun Gothic"/>
                <w:lang w:eastAsia="ko-KR"/>
              </w:rPr>
            </w:pPr>
            <w:r>
              <w:rPr>
                <w:rFonts w:eastAsia="Malgun Gothic" w:hint="eastAsia"/>
                <w:lang w:eastAsia="ko-KR"/>
              </w:rPr>
              <w:t>RAN2 agreed to deprioritize the QoE in INACTIVE.</w:t>
            </w:r>
          </w:p>
          <w:p w:rsidR="00014C15" w:rsidRDefault="00B6012C">
            <w:pPr>
              <w:pStyle w:val="Agreement"/>
              <w:tabs>
                <w:tab w:val="clear" w:pos="360"/>
                <w:tab w:val="left" w:pos="1309"/>
              </w:tabs>
              <w:ind w:left="317" w:hanging="317"/>
              <w:rPr>
                <w:lang w:val="en-US"/>
              </w:rPr>
            </w:pPr>
            <w:r>
              <w:rPr>
                <w:lang w:val="en-US"/>
              </w:rPr>
              <w:t xml:space="preserve">Confirm that RAN2 </w:t>
            </w:r>
            <w:r>
              <w:rPr>
                <w:lang w:val="en-US"/>
              </w:rPr>
              <w:t>deprioritizes QoE measurement in RRC_IDLE/RRC_INACTIVE in Rel-17.</w:t>
            </w:r>
          </w:p>
          <w:p w:rsidR="00014C15" w:rsidRDefault="00B6012C">
            <w:pPr>
              <w:rPr>
                <w:rFonts w:eastAsia="Malgun Gothic"/>
                <w:lang w:eastAsia="ko-KR"/>
              </w:rPr>
            </w:pPr>
            <w:r>
              <w:rPr>
                <w:rFonts w:eastAsia="Malgun Gothic"/>
                <w:lang w:eastAsia="ko-KR"/>
              </w:rPr>
              <w:t>S</w:t>
            </w:r>
            <w:r>
              <w:rPr>
                <w:rFonts w:eastAsia="Malgun Gothic" w:hint="eastAsia"/>
                <w:lang w:eastAsia="ko-KR"/>
              </w:rPr>
              <w:t xml:space="preserve">o </w:t>
            </w:r>
            <w:r>
              <w:rPr>
                <w:rFonts w:eastAsia="Malgun Gothic"/>
                <w:lang w:eastAsia="ko-KR"/>
              </w:rPr>
              <w:t>it seems reasonable to release the QoE configuration upon entering RRC_INACTIVE.</w:t>
            </w:r>
          </w:p>
        </w:tc>
      </w:tr>
      <w:tr w:rsidR="00014C15">
        <w:tc>
          <w:tcPr>
            <w:tcW w:w="2405" w:type="dxa"/>
          </w:tcPr>
          <w:p w:rsidR="00014C15" w:rsidRDefault="00B6012C">
            <w:r>
              <w:t>Ericsson</w:t>
            </w:r>
          </w:p>
        </w:tc>
        <w:tc>
          <w:tcPr>
            <w:tcW w:w="1418" w:type="dxa"/>
          </w:tcPr>
          <w:p w:rsidR="00014C15" w:rsidRDefault="00014C15"/>
        </w:tc>
        <w:tc>
          <w:tcPr>
            <w:tcW w:w="5808" w:type="dxa"/>
          </w:tcPr>
          <w:p w:rsidR="00014C15" w:rsidRDefault="00B6012C">
            <w:pPr>
              <w:rPr>
                <w:rFonts w:eastAsia="Malgun Gothic"/>
                <w:lang w:eastAsia="ko-KR"/>
              </w:rPr>
            </w:pPr>
            <w:r>
              <w:rPr>
                <w:rFonts w:eastAsia="Malgun Gothic"/>
                <w:lang w:eastAsia="ko-KR"/>
              </w:rPr>
              <w:t>No strong need.</w:t>
            </w:r>
          </w:p>
        </w:tc>
      </w:tr>
      <w:tr w:rsidR="00014C15">
        <w:tc>
          <w:tcPr>
            <w:tcW w:w="2405" w:type="dxa"/>
          </w:tcPr>
          <w:p w:rsidR="00014C15" w:rsidRDefault="00B6012C">
            <w:pPr>
              <w:rPr>
                <w:lang w:eastAsia="zh-CN"/>
              </w:rPr>
            </w:pPr>
            <w:r>
              <w:rPr>
                <w:rFonts w:hint="eastAsia"/>
                <w:lang w:eastAsia="zh-CN"/>
              </w:rPr>
              <w:t>O</w:t>
            </w:r>
            <w:r>
              <w:rPr>
                <w:lang w:eastAsia="zh-CN"/>
              </w:rPr>
              <w:t>PPO</w:t>
            </w:r>
          </w:p>
        </w:tc>
        <w:tc>
          <w:tcPr>
            <w:tcW w:w="1418" w:type="dxa"/>
          </w:tcPr>
          <w:p w:rsidR="00014C15" w:rsidRDefault="00B6012C">
            <w:pPr>
              <w:rPr>
                <w:lang w:eastAsia="zh-CN"/>
              </w:rPr>
            </w:pPr>
            <w:r>
              <w:rPr>
                <w:rFonts w:hint="eastAsia"/>
                <w:lang w:eastAsia="zh-CN"/>
              </w:rPr>
              <w:t>N</w:t>
            </w:r>
            <w:r>
              <w:rPr>
                <w:lang w:eastAsia="zh-CN"/>
              </w:rPr>
              <w:t>o</w:t>
            </w:r>
          </w:p>
        </w:tc>
        <w:tc>
          <w:tcPr>
            <w:tcW w:w="5808" w:type="dxa"/>
          </w:tcPr>
          <w:p w:rsidR="00014C15" w:rsidRDefault="00B6012C">
            <w:pPr>
              <w:rPr>
                <w:rFonts w:eastAsiaTheme="minorEastAsia"/>
                <w:lang w:eastAsia="zh-CN"/>
              </w:rPr>
            </w:pPr>
            <w:r>
              <w:rPr>
                <w:rFonts w:eastAsiaTheme="minorEastAsia" w:hint="eastAsia"/>
                <w:lang w:eastAsia="zh-CN"/>
              </w:rPr>
              <w:t>N</w:t>
            </w:r>
            <w:r>
              <w:rPr>
                <w:rFonts w:eastAsiaTheme="minorEastAsia"/>
                <w:lang w:eastAsia="zh-CN"/>
              </w:rPr>
              <w:t xml:space="preserve">ot needed. Agree with Huawei that gNB could just release </w:t>
            </w:r>
            <w:r>
              <w:rPr>
                <w:rFonts w:eastAsiaTheme="minorEastAsia"/>
                <w:lang w:eastAsia="zh-CN"/>
              </w:rPr>
              <w:t>configurations if air interface resource is overloaded.</w:t>
            </w:r>
          </w:p>
        </w:tc>
      </w:tr>
      <w:tr w:rsidR="00014C15">
        <w:tc>
          <w:tcPr>
            <w:tcW w:w="2405" w:type="dxa"/>
          </w:tcPr>
          <w:p w:rsidR="00014C15" w:rsidRDefault="00B6012C">
            <w:pPr>
              <w:rPr>
                <w:lang w:eastAsia="zh-CN"/>
              </w:rPr>
            </w:pPr>
            <w:r>
              <w:rPr>
                <w:lang w:eastAsia="zh-CN"/>
              </w:rPr>
              <w:t>vivo</w:t>
            </w:r>
          </w:p>
        </w:tc>
        <w:tc>
          <w:tcPr>
            <w:tcW w:w="1418" w:type="dxa"/>
          </w:tcPr>
          <w:p w:rsidR="00014C15" w:rsidRDefault="00B6012C">
            <w:pPr>
              <w:rPr>
                <w:lang w:eastAsia="zh-CN"/>
              </w:rPr>
            </w:pPr>
            <w:r>
              <w:rPr>
                <w:lang w:eastAsia="zh-CN"/>
              </w:rPr>
              <w:t>No for now</w:t>
            </w:r>
          </w:p>
        </w:tc>
        <w:tc>
          <w:tcPr>
            <w:tcW w:w="5808" w:type="dxa"/>
          </w:tcPr>
          <w:p w:rsidR="00014C15" w:rsidRDefault="00B6012C">
            <w:pPr>
              <w:rPr>
                <w:rFonts w:eastAsiaTheme="minorEastAsia"/>
                <w:lang w:eastAsia="zh-CN"/>
              </w:rPr>
            </w:pPr>
            <w:r>
              <w:rPr>
                <w:rFonts w:eastAsiaTheme="minorEastAsia"/>
                <w:lang w:eastAsia="zh-CN"/>
              </w:rPr>
              <w:t xml:space="preserve">The intention make sense as the target Node can inform the RAN overload and pause the QoE reporting via both </w:t>
            </w:r>
            <w:proofErr w:type="spellStart"/>
            <w:r>
              <w:rPr>
                <w:rFonts w:eastAsiaTheme="minorEastAsia"/>
                <w:lang w:eastAsia="zh-CN"/>
              </w:rPr>
              <w:t>RRCResume</w:t>
            </w:r>
            <w:proofErr w:type="spellEnd"/>
            <w:r>
              <w:rPr>
                <w:rFonts w:eastAsiaTheme="minorEastAsia"/>
                <w:lang w:eastAsia="zh-CN"/>
              </w:rPr>
              <w:t xml:space="preserve"> and RRCReconfiguration.</w:t>
            </w:r>
          </w:p>
          <w:p w:rsidR="00014C15" w:rsidRDefault="00B6012C">
            <w:pPr>
              <w:rPr>
                <w:rFonts w:eastAsiaTheme="minorEastAsia"/>
                <w:lang w:eastAsia="zh-CN"/>
              </w:rPr>
            </w:pPr>
            <w:r>
              <w:rPr>
                <w:rFonts w:eastAsiaTheme="minorEastAsia"/>
                <w:lang w:eastAsia="zh-CN"/>
              </w:rPr>
              <w:t>However, the detailed mechanism of QoE m</w:t>
            </w:r>
            <w:r>
              <w:rPr>
                <w:rFonts w:eastAsiaTheme="minorEastAsia"/>
                <w:lang w:eastAsia="zh-CN"/>
              </w:rPr>
              <w:t>easurement reporting pause in RRC_CONNECTED has not decided yet pending on LS reply from SA4.</w:t>
            </w:r>
          </w:p>
          <w:p w:rsidR="00014C15" w:rsidRDefault="00B6012C">
            <w:pPr>
              <w:rPr>
                <w:rFonts w:eastAsiaTheme="minorEastAsia"/>
                <w:lang w:eastAsia="zh-CN"/>
              </w:rPr>
            </w:pPr>
            <w:r>
              <w:rPr>
                <w:rFonts w:eastAsiaTheme="minorEastAsia"/>
                <w:lang w:eastAsia="zh-CN"/>
              </w:rPr>
              <w:t>Therefore, we prefer to revisit this proposal after the pause mechanism become stable.</w:t>
            </w:r>
          </w:p>
        </w:tc>
      </w:tr>
      <w:tr w:rsidR="00014C15">
        <w:tc>
          <w:tcPr>
            <w:tcW w:w="2405" w:type="dxa"/>
          </w:tcPr>
          <w:p w:rsidR="00014C15" w:rsidRDefault="00B6012C">
            <w:pPr>
              <w:rPr>
                <w:lang w:val="en-US" w:eastAsia="zh-CN"/>
              </w:rPr>
            </w:pPr>
            <w:r>
              <w:rPr>
                <w:lang w:val="en-US"/>
              </w:rPr>
              <w:t>ZTE</w:t>
            </w:r>
          </w:p>
        </w:tc>
        <w:tc>
          <w:tcPr>
            <w:tcW w:w="1418" w:type="dxa"/>
          </w:tcPr>
          <w:p w:rsidR="00014C15" w:rsidRDefault="00B6012C">
            <w:pPr>
              <w:rPr>
                <w:lang w:val="en-US" w:eastAsia="zh-CN"/>
              </w:rPr>
            </w:pPr>
            <w:r>
              <w:rPr>
                <w:lang w:val="en-US" w:eastAsia="zh-CN"/>
              </w:rPr>
              <w:t>No</w:t>
            </w:r>
          </w:p>
        </w:tc>
        <w:tc>
          <w:tcPr>
            <w:tcW w:w="5808" w:type="dxa"/>
          </w:tcPr>
          <w:p w:rsidR="00014C15" w:rsidRDefault="00B6012C">
            <w:pPr>
              <w:rPr>
                <w:rFonts w:eastAsia="Malgun Gothic"/>
                <w:lang w:val="en-US" w:eastAsia="zh-CN"/>
              </w:rPr>
            </w:pPr>
            <w:r>
              <w:rPr>
                <w:rFonts w:eastAsia="Malgun Gothic"/>
                <w:lang w:val="en-US" w:eastAsia="ko-KR"/>
              </w:rPr>
              <w:t>Share the similar view with HW.</w:t>
            </w:r>
          </w:p>
        </w:tc>
      </w:tr>
      <w:tr w:rsidR="00B6012C">
        <w:tc>
          <w:tcPr>
            <w:tcW w:w="2405" w:type="dxa"/>
          </w:tcPr>
          <w:p w:rsidR="00B6012C" w:rsidRDefault="00B6012C">
            <w:pPr>
              <w:rPr>
                <w:rFonts w:hint="eastAsia"/>
                <w:lang w:val="en-US" w:eastAsia="zh-CN"/>
              </w:rPr>
            </w:pPr>
            <w:r>
              <w:rPr>
                <w:rFonts w:hint="eastAsia"/>
                <w:lang w:val="en-US" w:eastAsia="zh-CN"/>
              </w:rPr>
              <w:t>CATT</w:t>
            </w:r>
          </w:p>
        </w:tc>
        <w:tc>
          <w:tcPr>
            <w:tcW w:w="1418" w:type="dxa"/>
          </w:tcPr>
          <w:p w:rsidR="00B6012C" w:rsidRDefault="00B6012C">
            <w:pPr>
              <w:rPr>
                <w:lang w:val="en-US" w:eastAsia="zh-CN"/>
              </w:rPr>
            </w:pPr>
            <w:r>
              <w:rPr>
                <w:rFonts w:hint="eastAsia"/>
                <w:lang w:val="en-US" w:eastAsia="zh-CN"/>
              </w:rPr>
              <w:t>No</w:t>
            </w:r>
            <w:bookmarkStart w:id="0" w:name="_GoBack"/>
            <w:bookmarkEnd w:id="0"/>
          </w:p>
        </w:tc>
        <w:tc>
          <w:tcPr>
            <w:tcW w:w="5808" w:type="dxa"/>
          </w:tcPr>
          <w:p w:rsidR="00B6012C" w:rsidRDefault="00B6012C">
            <w:pPr>
              <w:rPr>
                <w:rFonts w:eastAsia="Malgun Gothic"/>
                <w:lang w:val="en-US" w:eastAsia="ko-KR"/>
              </w:rPr>
            </w:pPr>
          </w:p>
        </w:tc>
      </w:tr>
    </w:tbl>
    <w:p w:rsidR="00014C15" w:rsidRDefault="00014C15"/>
    <w:p w:rsidR="00014C15" w:rsidRDefault="00B6012C">
      <w:pPr>
        <w:pStyle w:val="1"/>
      </w:pPr>
      <w:r>
        <w:t>4</w:t>
      </w:r>
      <w:r>
        <w:tab/>
        <w:t>Summary</w:t>
      </w:r>
    </w:p>
    <w:p w:rsidR="00014C15" w:rsidRDefault="00B6012C">
      <w:r>
        <w:t>TBD</w:t>
      </w:r>
    </w:p>
    <w:p w:rsidR="00014C15" w:rsidRDefault="00014C15"/>
    <w:p w:rsidR="00014C15" w:rsidRDefault="00B6012C">
      <w:pPr>
        <w:pStyle w:val="1"/>
      </w:pPr>
      <w:r>
        <w:t>References</w:t>
      </w:r>
    </w:p>
    <w:p w:rsidR="00014C15" w:rsidRDefault="00B6012C">
      <w:pPr>
        <w:pStyle w:val="ac"/>
        <w:numPr>
          <w:ilvl w:val="0"/>
          <w:numId w:val="10"/>
        </w:numPr>
        <w:ind w:left="426" w:hanging="426"/>
        <w:rPr>
          <w:lang w:val="en-US"/>
        </w:rPr>
      </w:pPr>
      <w:r>
        <w:rPr>
          <w:lang w:val="en-US"/>
        </w:rPr>
        <w:t>R2-2107513</w:t>
      </w:r>
      <w:r>
        <w:rPr>
          <w:lang w:val="en-US"/>
        </w:rPr>
        <w:tab/>
        <w:t>QoE handling in RAN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Nokia, Nokia Shanghai Bell</w:t>
      </w:r>
    </w:p>
    <w:p w:rsidR="00014C15" w:rsidRDefault="00B6012C">
      <w:pPr>
        <w:pStyle w:val="ac"/>
        <w:numPr>
          <w:ilvl w:val="0"/>
          <w:numId w:val="10"/>
        </w:numPr>
        <w:ind w:left="426" w:hanging="426"/>
        <w:rPr>
          <w:lang w:val="en-US"/>
        </w:rPr>
      </w:pPr>
      <w:r>
        <w:rPr>
          <w:lang w:val="en-US"/>
        </w:rPr>
        <w:t>R2-2108110</w:t>
      </w:r>
      <w:r>
        <w:rPr>
          <w:lang w:val="en-US"/>
        </w:rPr>
        <w:tab/>
        <w:t>Mobility Support for NR QoE Management</w:t>
      </w:r>
      <w:r>
        <w:rPr>
          <w:lang w:val="en-US"/>
        </w:rPr>
        <w:tab/>
      </w:r>
      <w:r>
        <w:rPr>
          <w:lang w:val="en-US"/>
        </w:rPr>
        <w:tab/>
      </w:r>
      <w:r>
        <w:rPr>
          <w:lang w:val="en-US"/>
        </w:rPr>
        <w:tab/>
      </w:r>
      <w:r>
        <w:rPr>
          <w:lang w:val="en-US"/>
        </w:rPr>
        <w:tab/>
      </w:r>
      <w:r>
        <w:rPr>
          <w:lang w:val="en-US"/>
        </w:rPr>
        <w:tab/>
      </w:r>
      <w:r>
        <w:rPr>
          <w:lang w:val="en-US"/>
        </w:rPr>
        <w:tab/>
        <w:t>Ericsson</w:t>
      </w:r>
    </w:p>
    <w:p w:rsidR="00014C15" w:rsidRDefault="00B6012C">
      <w:pPr>
        <w:pStyle w:val="ac"/>
        <w:numPr>
          <w:ilvl w:val="0"/>
          <w:numId w:val="10"/>
        </w:numPr>
        <w:ind w:left="426" w:hanging="426"/>
        <w:rPr>
          <w:lang w:val="en-US"/>
        </w:rPr>
      </w:pPr>
      <w:r>
        <w:rPr>
          <w:lang w:val="en-US"/>
        </w:rPr>
        <w:t>R2-2108111</w:t>
      </w:r>
      <w:r>
        <w:rPr>
          <w:lang w:val="en-US"/>
        </w:rPr>
        <w:tab/>
        <w:t>[Draft] Support for Session Start and Session End Indication</w:t>
      </w:r>
      <w:r>
        <w:rPr>
          <w:lang w:val="en-US"/>
        </w:rPr>
        <w:tab/>
        <w:t>Ericsson</w:t>
      </w:r>
    </w:p>
    <w:p w:rsidR="00014C15" w:rsidRDefault="00B6012C">
      <w:pPr>
        <w:pStyle w:val="ac"/>
        <w:numPr>
          <w:ilvl w:val="0"/>
          <w:numId w:val="10"/>
        </w:numPr>
        <w:ind w:left="426" w:hanging="426"/>
        <w:rPr>
          <w:lang w:val="en-US"/>
        </w:rPr>
      </w:pPr>
      <w:r>
        <w:rPr>
          <w:lang w:val="en-US"/>
        </w:rPr>
        <w:t>R2-2108207</w:t>
      </w:r>
      <w:r>
        <w:rPr>
          <w:lang w:val="en-US"/>
        </w:rPr>
        <w:tab/>
        <w:t>QoE handling during UE mobility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Huawei, </w:t>
      </w:r>
      <w:proofErr w:type="spellStart"/>
      <w:r>
        <w:rPr>
          <w:lang w:val="en-US"/>
        </w:rPr>
        <w:t>HiSilicon</w:t>
      </w:r>
      <w:proofErr w:type="spellEnd"/>
    </w:p>
    <w:p w:rsidR="00014C15" w:rsidRDefault="00B6012C">
      <w:pPr>
        <w:pStyle w:val="ac"/>
        <w:numPr>
          <w:ilvl w:val="0"/>
          <w:numId w:val="10"/>
        </w:numPr>
        <w:ind w:left="426" w:hanging="426"/>
        <w:rPr>
          <w:lang w:val="en-US"/>
        </w:rPr>
      </w:pPr>
      <w:r>
        <w:rPr>
          <w:lang w:val="en-US"/>
        </w:rPr>
        <w:t>R2-2108228</w:t>
      </w:r>
      <w:r>
        <w:rPr>
          <w:lang w:val="en-US"/>
        </w:rPr>
        <w:tab/>
        <w:t xml:space="preserve">Discussion on NR </w:t>
      </w:r>
      <w:proofErr w:type="spellStart"/>
      <w:r>
        <w:rPr>
          <w:lang w:val="en-US"/>
        </w:rPr>
        <w:t>QoEcontinuity</w:t>
      </w:r>
      <w:proofErr w:type="spellEnd"/>
      <w:r>
        <w:rPr>
          <w:lang w:val="en-US"/>
        </w:rPr>
        <w:t xml:space="preserve"> in handover</w:t>
      </w:r>
      <w:r>
        <w:rPr>
          <w:lang w:val="en-US"/>
        </w:rPr>
        <w:tab/>
      </w:r>
      <w:r>
        <w:rPr>
          <w:lang w:val="en-US"/>
        </w:rPr>
        <w:tab/>
      </w:r>
      <w:r>
        <w:rPr>
          <w:lang w:val="en-US"/>
        </w:rPr>
        <w:tab/>
      </w:r>
      <w:r>
        <w:rPr>
          <w:lang w:val="en-US"/>
        </w:rPr>
        <w:tab/>
      </w:r>
      <w:r>
        <w:rPr>
          <w:lang w:val="en-US"/>
        </w:rPr>
        <w:tab/>
      </w:r>
      <w:r>
        <w:rPr>
          <w:lang w:val="en-US"/>
        </w:rPr>
        <w:tab/>
        <w:t xml:space="preserve">ZTE Corporation, </w:t>
      </w:r>
      <w:proofErr w:type="spellStart"/>
      <w:r>
        <w:rPr>
          <w:lang w:val="en-US"/>
        </w:rPr>
        <w:t>Sanechips</w:t>
      </w:r>
      <w:proofErr w:type="spellEnd"/>
    </w:p>
    <w:p w:rsidR="00014C15" w:rsidRDefault="00B6012C">
      <w:pPr>
        <w:pStyle w:val="ac"/>
        <w:numPr>
          <w:ilvl w:val="0"/>
          <w:numId w:val="10"/>
        </w:numPr>
        <w:ind w:left="426" w:hanging="426"/>
        <w:rPr>
          <w:lang w:val="en-US"/>
        </w:rPr>
      </w:pPr>
      <w:r>
        <w:rPr>
          <w:lang w:val="en-US"/>
        </w:rPr>
        <w:t>R2-2108595</w:t>
      </w:r>
      <w:r>
        <w:rPr>
          <w:lang w:val="en-US"/>
        </w:rPr>
        <w:tab/>
        <w:t>Discussion on QoE continuity during mobility</w:t>
      </w:r>
      <w:r>
        <w:rPr>
          <w:lang w:val="en-US"/>
        </w:rPr>
        <w:tab/>
      </w:r>
      <w:r>
        <w:rPr>
          <w:lang w:val="en-US"/>
        </w:rPr>
        <w:tab/>
      </w:r>
      <w:r>
        <w:rPr>
          <w:lang w:val="en-US"/>
        </w:rPr>
        <w:tab/>
      </w:r>
      <w:r>
        <w:rPr>
          <w:lang w:val="en-US"/>
        </w:rPr>
        <w:tab/>
      </w:r>
      <w:r>
        <w:rPr>
          <w:lang w:val="en-US"/>
        </w:rPr>
        <w:tab/>
        <w:t>vivo</w:t>
      </w:r>
    </w:p>
    <w:p w:rsidR="00014C15" w:rsidRDefault="00B6012C">
      <w:pPr>
        <w:pStyle w:val="ac"/>
        <w:numPr>
          <w:ilvl w:val="0"/>
          <w:numId w:val="10"/>
        </w:numPr>
        <w:ind w:left="426" w:hanging="426"/>
        <w:rPr>
          <w:lang w:val="en-US"/>
        </w:rPr>
      </w:pPr>
      <w:r>
        <w:rPr>
          <w:lang w:val="en-US"/>
        </w:rPr>
        <w:t>R2-2108514</w:t>
      </w:r>
      <w:r>
        <w:rPr>
          <w:lang w:val="en-US"/>
        </w:rPr>
        <w:tab/>
        <w:t>More considerations on configuration and reporting</w:t>
      </w:r>
      <w:r>
        <w:rPr>
          <w:lang w:val="en-US"/>
        </w:rPr>
        <w:tab/>
      </w:r>
      <w:r>
        <w:rPr>
          <w:lang w:val="en-US"/>
        </w:rPr>
        <w:tab/>
      </w:r>
      <w:r>
        <w:rPr>
          <w:lang w:val="en-US"/>
        </w:rPr>
        <w:tab/>
      </w:r>
      <w:r>
        <w:rPr>
          <w:lang w:val="en-US"/>
        </w:rPr>
        <w:tab/>
        <w:t>CMCC</w:t>
      </w:r>
    </w:p>
    <w:p w:rsidR="00014C15" w:rsidRDefault="00B6012C">
      <w:pPr>
        <w:pStyle w:val="ac"/>
        <w:numPr>
          <w:ilvl w:val="0"/>
          <w:numId w:val="10"/>
        </w:numPr>
        <w:ind w:left="426" w:hanging="426"/>
        <w:rPr>
          <w:lang w:val="en-US"/>
        </w:rPr>
      </w:pPr>
      <w:r>
        <w:rPr>
          <w:lang w:val="en-US"/>
        </w:rPr>
        <w:t>R2-21078</w:t>
      </w:r>
      <w:r>
        <w:rPr>
          <w:lang w:val="en-US"/>
        </w:rPr>
        <w:t>17</w:t>
      </w:r>
      <w:r>
        <w:rPr>
          <w:lang w:val="en-US"/>
        </w:rPr>
        <w:tab/>
        <w:t>Left issues for QoE pause and resume procedure</w:t>
      </w:r>
      <w:r>
        <w:rPr>
          <w:lang w:val="en-US"/>
        </w:rPr>
        <w:tab/>
      </w:r>
      <w:r>
        <w:rPr>
          <w:lang w:val="en-US"/>
        </w:rPr>
        <w:tab/>
      </w:r>
      <w:r>
        <w:rPr>
          <w:lang w:val="en-US"/>
        </w:rPr>
        <w:tab/>
      </w:r>
      <w:r>
        <w:rPr>
          <w:lang w:val="en-US"/>
        </w:rPr>
        <w:tab/>
      </w:r>
      <w:r>
        <w:rPr>
          <w:lang w:val="en-US"/>
        </w:rPr>
        <w:tab/>
        <w:t>Qualcomm Incorporated</w:t>
      </w:r>
    </w:p>
    <w:p w:rsidR="00014C15" w:rsidRDefault="00B6012C">
      <w:pPr>
        <w:pStyle w:val="ac"/>
        <w:numPr>
          <w:ilvl w:val="0"/>
          <w:numId w:val="10"/>
        </w:numPr>
        <w:ind w:left="426" w:hanging="426"/>
        <w:rPr>
          <w:lang w:val="en-US"/>
        </w:rPr>
      </w:pPr>
      <w:r>
        <w:rPr>
          <w:lang w:val="en-US"/>
        </w:rPr>
        <w:t xml:space="preserve">R2-2107381 </w:t>
      </w:r>
      <w:r>
        <w:rPr>
          <w:lang w:val="en-US"/>
        </w:rPr>
        <w:tab/>
        <w:t>Activation and deactivation for QoE collection</w:t>
      </w:r>
      <w:r>
        <w:rPr>
          <w:lang w:val="en-US"/>
        </w:rPr>
        <w:tab/>
      </w:r>
      <w:r>
        <w:rPr>
          <w:lang w:val="en-US"/>
        </w:rPr>
        <w:tab/>
      </w:r>
      <w:r>
        <w:rPr>
          <w:lang w:val="en-US"/>
        </w:rPr>
        <w:tab/>
      </w:r>
      <w:r>
        <w:rPr>
          <w:lang w:val="en-US"/>
        </w:rPr>
        <w:tab/>
      </w:r>
      <w:r>
        <w:rPr>
          <w:lang w:val="en-US"/>
        </w:rPr>
        <w:tab/>
        <w:t>CATT</w:t>
      </w:r>
    </w:p>
    <w:p w:rsidR="00014C15" w:rsidRDefault="00B6012C">
      <w:pPr>
        <w:pStyle w:val="ac"/>
        <w:numPr>
          <w:ilvl w:val="0"/>
          <w:numId w:val="10"/>
        </w:numPr>
        <w:ind w:left="426" w:hanging="426"/>
        <w:rPr>
          <w:lang w:val="en-US"/>
        </w:rPr>
      </w:pPr>
      <w:r>
        <w:rPr>
          <w:lang w:val="en-US"/>
        </w:rPr>
        <w:t>R2-2109040</w:t>
      </w:r>
      <w:r>
        <w:rPr>
          <w:lang w:val="en-US"/>
        </w:rPr>
        <w:tab/>
        <w:t>[Pre115-e][008][QoE] Summary Support for Mobility</w:t>
      </w:r>
      <w:r>
        <w:rPr>
          <w:lang w:val="en-US"/>
        </w:rPr>
        <w:tab/>
      </w:r>
      <w:r>
        <w:rPr>
          <w:lang w:val="en-US"/>
        </w:rPr>
        <w:tab/>
      </w:r>
      <w:r>
        <w:rPr>
          <w:lang w:val="en-US"/>
        </w:rPr>
        <w:tab/>
        <w:t xml:space="preserve">Huawei, </w:t>
      </w:r>
      <w:proofErr w:type="spellStart"/>
      <w:r>
        <w:rPr>
          <w:lang w:val="en-US"/>
        </w:rPr>
        <w:t>HiSilicon</w:t>
      </w:r>
      <w:proofErr w:type="spellEnd"/>
    </w:p>
    <w:p w:rsidR="00014C15" w:rsidRDefault="00B6012C">
      <w:pPr>
        <w:pStyle w:val="ac"/>
        <w:numPr>
          <w:ilvl w:val="0"/>
          <w:numId w:val="10"/>
        </w:numPr>
        <w:ind w:left="426" w:hanging="426"/>
        <w:rPr>
          <w:lang w:val="en-US"/>
        </w:rPr>
      </w:pPr>
      <w:r>
        <w:rPr>
          <w:lang w:val="en-US"/>
        </w:rPr>
        <w:t>R2-2106945</w:t>
      </w:r>
      <w:r>
        <w:rPr>
          <w:lang w:val="en-US"/>
        </w:rPr>
        <w:tab/>
        <w:t>LS on requirement fo</w:t>
      </w:r>
      <w:r>
        <w:rPr>
          <w:lang w:val="en-US"/>
        </w:rPr>
        <w:t>r configuration changes of ongoing QMC sessions (R3-212953; contact: Qualcomm)</w:t>
      </w:r>
    </w:p>
    <w:p w:rsidR="00014C15" w:rsidRDefault="00014C15"/>
    <w:sectPr w:rsidR="00014C15">
      <w:footnotePr>
        <w:numRestart w:val="eachSect"/>
      </w:footnotePr>
      <w:pgSz w:w="11907" w:h="16840"/>
      <w:pgMar w:top="1416" w:right="1133" w:bottom="1133" w:left="1133" w:header="850" w:footer="340" w:gutter="0"/>
      <w:cols w:space="720"/>
      <w:formProt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1493B"/>
    <w:multiLevelType w:val="multilevel"/>
    <w:tmpl w:val="1FD149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1D6F39"/>
    <w:multiLevelType w:val="multilevel"/>
    <w:tmpl w:val="2D1D6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AF61F3"/>
    <w:multiLevelType w:val="multilevel"/>
    <w:tmpl w:val="30AF61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5D435A"/>
    <w:multiLevelType w:val="multilevel"/>
    <w:tmpl w:val="495D4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D14337"/>
    <w:multiLevelType w:val="multilevel"/>
    <w:tmpl w:val="4BD14337"/>
    <w:lvl w:ilvl="0">
      <w:start w:val="6"/>
      <w:numFmt w:val="decimal"/>
      <w:lvlText w:val="%1"/>
      <w:lvlJc w:val="left"/>
      <w:pPr>
        <w:ind w:left="929" w:hanging="360"/>
      </w:pPr>
      <w:rPr>
        <w:rFonts w:hint="default"/>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nsid w:val="77C807E8"/>
    <w:multiLevelType w:val="multilevel"/>
    <w:tmpl w:val="77C807E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5"/>
  </w:num>
  <w:num w:numId="3">
    <w:abstractNumId w:val="9"/>
  </w:num>
  <w:num w:numId="4">
    <w:abstractNumId w:val="6"/>
  </w:num>
  <w:num w:numId="5">
    <w:abstractNumId w:val="2"/>
  </w:num>
  <w:num w:numId="6">
    <w:abstractNumId w:val="0"/>
  </w:num>
  <w:num w:numId="7">
    <w:abstractNumId w:val="3"/>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647"/>
    <w:rsid w:val="000045E4"/>
    <w:rsid w:val="0001175C"/>
    <w:rsid w:val="00014C15"/>
    <w:rsid w:val="00024440"/>
    <w:rsid w:val="000273C1"/>
    <w:rsid w:val="00032255"/>
    <w:rsid w:val="00033397"/>
    <w:rsid w:val="000378D7"/>
    <w:rsid w:val="00040095"/>
    <w:rsid w:val="00040991"/>
    <w:rsid w:val="00045AD3"/>
    <w:rsid w:val="000534AE"/>
    <w:rsid w:val="00055988"/>
    <w:rsid w:val="00060839"/>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F53A4"/>
    <w:rsid w:val="000F73C7"/>
    <w:rsid w:val="00103DD2"/>
    <w:rsid w:val="001119C4"/>
    <w:rsid w:val="00112F1A"/>
    <w:rsid w:val="001325FB"/>
    <w:rsid w:val="00145075"/>
    <w:rsid w:val="00153093"/>
    <w:rsid w:val="00154574"/>
    <w:rsid w:val="001633F5"/>
    <w:rsid w:val="001741A0"/>
    <w:rsid w:val="00175FA0"/>
    <w:rsid w:val="00177609"/>
    <w:rsid w:val="00184A25"/>
    <w:rsid w:val="00185F8E"/>
    <w:rsid w:val="00190AF2"/>
    <w:rsid w:val="00194CD0"/>
    <w:rsid w:val="001A3F7C"/>
    <w:rsid w:val="001B0CBD"/>
    <w:rsid w:val="001B49C9"/>
    <w:rsid w:val="001C4584"/>
    <w:rsid w:val="001C4F79"/>
    <w:rsid w:val="001D43A4"/>
    <w:rsid w:val="001E29A9"/>
    <w:rsid w:val="001E3184"/>
    <w:rsid w:val="001F168B"/>
    <w:rsid w:val="001F7831"/>
    <w:rsid w:val="00204045"/>
    <w:rsid w:val="002040AA"/>
    <w:rsid w:val="0020712B"/>
    <w:rsid w:val="00212C18"/>
    <w:rsid w:val="00212CA3"/>
    <w:rsid w:val="0022252D"/>
    <w:rsid w:val="0022606D"/>
    <w:rsid w:val="00231728"/>
    <w:rsid w:val="0023458E"/>
    <w:rsid w:val="00237AA6"/>
    <w:rsid w:val="002610D8"/>
    <w:rsid w:val="0026764B"/>
    <w:rsid w:val="002747EC"/>
    <w:rsid w:val="00276987"/>
    <w:rsid w:val="00277AA9"/>
    <w:rsid w:val="00280F9C"/>
    <w:rsid w:val="00282EB3"/>
    <w:rsid w:val="00283B5C"/>
    <w:rsid w:val="002855BF"/>
    <w:rsid w:val="00290563"/>
    <w:rsid w:val="00294879"/>
    <w:rsid w:val="002B7211"/>
    <w:rsid w:val="002C1E72"/>
    <w:rsid w:val="002C6D32"/>
    <w:rsid w:val="002D065B"/>
    <w:rsid w:val="002D0B07"/>
    <w:rsid w:val="002D3C6C"/>
    <w:rsid w:val="002D4DB1"/>
    <w:rsid w:val="002E15CE"/>
    <w:rsid w:val="002E5358"/>
    <w:rsid w:val="002E702D"/>
    <w:rsid w:val="002F0D22"/>
    <w:rsid w:val="002F5482"/>
    <w:rsid w:val="002F712E"/>
    <w:rsid w:val="003172DC"/>
    <w:rsid w:val="00317A56"/>
    <w:rsid w:val="003229C4"/>
    <w:rsid w:val="00323783"/>
    <w:rsid w:val="003254DC"/>
    <w:rsid w:val="00325AE3"/>
    <w:rsid w:val="00326069"/>
    <w:rsid w:val="003358C7"/>
    <w:rsid w:val="00341A1F"/>
    <w:rsid w:val="00344BC0"/>
    <w:rsid w:val="003470B0"/>
    <w:rsid w:val="0035462D"/>
    <w:rsid w:val="00357E0E"/>
    <w:rsid w:val="00364B41"/>
    <w:rsid w:val="00364BCA"/>
    <w:rsid w:val="00366CA8"/>
    <w:rsid w:val="003673D2"/>
    <w:rsid w:val="00375728"/>
    <w:rsid w:val="00376523"/>
    <w:rsid w:val="003769CF"/>
    <w:rsid w:val="003814C6"/>
    <w:rsid w:val="00382653"/>
    <w:rsid w:val="00383096"/>
    <w:rsid w:val="003931BE"/>
    <w:rsid w:val="003A41EF"/>
    <w:rsid w:val="003B0C4B"/>
    <w:rsid w:val="003B1280"/>
    <w:rsid w:val="003B37CE"/>
    <w:rsid w:val="003B40AD"/>
    <w:rsid w:val="003B50AC"/>
    <w:rsid w:val="003B5869"/>
    <w:rsid w:val="003C46AD"/>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4B5E"/>
    <w:rsid w:val="00465587"/>
    <w:rsid w:val="0047587B"/>
    <w:rsid w:val="00477104"/>
    <w:rsid w:val="00477455"/>
    <w:rsid w:val="004844F3"/>
    <w:rsid w:val="0048649E"/>
    <w:rsid w:val="004A1F7B"/>
    <w:rsid w:val="004A31A7"/>
    <w:rsid w:val="004A7217"/>
    <w:rsid w:val="004A7AE5"/>
    <w:rsid w:val="004B472E"/>
    <w:rsid w:val="004C1666"/>
    <w:rsid w:val="004C44D2"/>
    <w:rsid w:val="004C6E5D"/>
    <w:rsid w:val="004D3578"/>
    <w:rsid w:val="004D380D"/>
    <w:rsid w:val="004D5216"/>
    <w:rsid w:val="004D5E4B"/>
    <w:rsid w:val="004D5E7C"/>
    <w:rsid w:val="004E0371"/>
    <w:rsid w:val="004E08CA"/>
    <w:rsid w:val="004E1C6E"/>
    <w:rsid w:val="004E213A"/>
    <w:rsid w:val="004E7220"/>
    <w:rsid w:val="004F0277"/>
    <w:rsid w:val="004F517D"/>
    <w:rsid w:val="00503171"/>
    <w:rsid w:val="00506C28"/>
    <w:rsid w:val="00514AD0"/>
    <w:rsid w:val="00516A5E"/>
    <w:rsid w:val="00525A2D"/>
    <w:rsid w:val="0053109A"/>
    <w:rsid w:val="00534DA0"/>
    <w:rsid w:val="00543275"/>
    <w:rsid w:val="00543E6C"/>
    <w:rsid w:val="00565087"/>
    <w:rsid w:val="0056573F"/>
    <w:rsid w:val="0057047A"/>
    <w:rsid w:val="0057621D"/>
    <w:rsid w:val="00580B81"/>
    <w:rsid w:val="005852AD"/>
    <w:rsid w:val="00587DA8"/>
    <w:rsid w:val="00590500"/>
    <w:rsid w:val="005948BC"/>
    <w:rsid w:val="005C204D"/>
    <w:rsid w:val="005C405D"/>
    <w:rsid w:val="005D10B9"/>
    <w:rsid w:val="005D48F1"/>
    <w:rsid w:val="005D76B6"/>
    <w:rsid w:val="005E263F"/>
    <w:rsid w:val="005F1E03"/>
    <w:rsid w:val="005F3D84"/>
    <w:rsid w:val="00600817"/>
    <w:rsid w:val="00611566"/>
    <w:rsid w:val="0061330D"/>
    <w:rsid w:val="0062387E"/>
    <w:rsid w:val="006245AF"/>
    <w:rsid w:val="00646D99"/>
    <w:rsid w:val="00650C2C"/>
    <w:rsid w:val="0065180E"/>
    <w:rsid w:val="00651A5A"/>
    <w:rsid w:val="006522DF"/>
    <w:rsid w:val="00656910"/>
    <w:rsid w:val="006604EF"/>
    <w:rsid w:val="006659B8"/>
    <w:rsid w:val="00666E12"/>
    <w:rsid w:val="006748BC"/>
    <w:rsid w:val="0068086B"/>
    <w:rsid w:val="006858CD"/>
    <w:rsid w:val="0069551D"/>
    <w:rsid w:val="006A1C55"/>
    <w:rsid w:val="006A4400"/>
    <w:rsid w:val="006A69EC"/>
    <w:rsid w:val="006B1559"/>
    <w:rsid w:val="006B4A3C"/>
    <w:rsid w:val="006C2A55"/>
    <w:rsid w:val="006C66D8"/>
    <w:rsid w:val="006D1E24"/>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6A55"/>
    <w:rsid w:val="007400A6"/>
    <w:rsid w:val="00744E76"/>
    <w:rsid w:val="00747B73"/>
    <w:rsid w:val="00753C0F"/>
    <w:rsid w:val="00757D40"/>
    <w:rsid w:val="00781F0F"/>
    <w:rsid w:val="007835C3"/>
    <w:rsid w:val="00785CB5"/>
    <w:rsid w:val="007867AB"/>
    <w:rsid w:val="0078727C"/>
    <w:rsid w:val="0079049D"/>
    <w:rsid w:val="00790502"/>
    <w:rsid w:val="00792903"/>
    <w:rsid w:val="00793DC5"/>
    <w:rsid w:val="007A1779"/>
    <w:rsid w:val="007B18D8"/>
    <w:rsid w:val="007C095F"/>
    <w:rsid w:val="007C2DD0"/>
    <w:rsid w:val="007C47E7"/>
    <w:rsid w:val="007D1730"/>
    <w:rsid w:val="007D5AFB"/>
    <w:rsid w:val="007E0FDC"/>
    <w:rsid w:val="007F0378"/>
    <w:rsid w:val="007F301A"/>
    <w:rsid w:val="007F6032"/>
    <w:rsid w:val="008028A4"/>
    <w:rsid w:val="00813245"/>
    <w:rsid w:val="00834E5B"/>
    <w:rsid w:val="008361D7"/>
    <w:rsid w:val="00842E80"/>
    <w:rsid w:val="00843F25"/>
    <w:rsid w:val="00855D62"/>
    <w:rsid w:val="00856632"/>
    <w:rsid w:val="00857A2E"/>
    <w:rsid w:val="008639C6"/>
    <w:rsid w:val="00864916"/>
    <w:rsid w:val="008653CC"/>
    <w:rsid w:val="008768CA"/>
    <w:rsid w:val="00877EF9"/>
    <w:rsid w:val="00880559"/>
    <w:rsid w:val="0088510A"/>
    <w:rsid w:val="0089073A"/>
    <w:rsid w:val="00891721"/>
    <w:rsid w:val="00891A3F"/>
    <w:rsid w:val="008A620D"/>
    <w:rsid w:val="008B4A91"/>
    <w:rsid w:val="008B5306"/>
    <w:rsid w:val="008B642E"/>
    <w:rsid w:val="008C23C1"/>
    <w:rsid w:val="008D2E4D"/>
    <w:rsid w:val="008D6165"/>
    <w:rsid w:val="008D7871"/>
    <w:rsid w:val="008E19DE"/>
    <w:rsid w:val="008E38A3"/>
    <w:rsid w:val="008E565A"/>
    <w:rsid w:val="008F1984"/>
    <w:rsid w:val="008F2C2E"/>
    <w:rsid w:val="008F396F"/>
    <w:rsid w:val="0090271F"/>
    <w:rsid w:val="00902DB9"/>
    <w:rsid w:val="0090466A"/>
    <w:rsid w:val="009049DA"/>
    <w:rsid w:val="00924BDD"/>
    <w:rsid w:val="009264C3"/>
    <w:rsid w:val="00926524"/>
    <w:rsid w:val="00932472"/>
    <w:rsid w:val="00936071"/>
    <w:rsid w:val="00940212"/>
    <w:rsid w:val="00942EC2"/>
    <w:rsid w:val="00944652"/>
    <w:rsid w:val="00944818"/>
    <w:rsid w:val="00946EB7"/>
    <w:rsid w:val="00951ADA"/>
    <w:rsid w:val="0095436A"/>
    <w:rsid w:val="00961B32"/>
    <w:rsid w:val="00962509"/>
    <w:rsid w:val="009674A3"/>
    <w:rsid w:val="00970DB3"/>
    <w:rsid w:val="00974BB0"/>
    <w:rsid w:val="0097508A"/>
    <w:rsid w:val="009762F4"/>
    <w:rsid w:val="009866AE"/>
    <w:rsid w:val="0099213C"/>
    <w:rsid w:val="00992CCF"/>
    <w:rsid w:val="00997DB5"/>
    <w:rsid w:val="009A0AF3"/>
    <w:rsid w:val="009A30EE"/>
    <w:rsid w:val="009A435E"/>
    <w:rsid w:val="009A4A84"/>
    <w:rsid w:val="009A7391"/>
    <w:rsid w:val="009B07CD"/>
    <w:rsid w:val="009B2A75"/>
    <w:rsid w:val="009B3815"/>
    <w:rsid w:val="009C19E9"/>
    <w:rsid w:val="009C2BC7"/>
    <w:rsid w:val="009D0622"/>
    <w:rsid w:val="009D10CF"/>
    <w:rsid w:val="009D2B93"/>
    <w:rsid w:val="009D30A2"/>
    <w:rsid w:val="009D74A6"/>
    <w:rsid w:val="00A00B47"/>
    <w:rsid w:val="00A03B77"/>
    <w:rsid w:val="00A10F02"/>
    <w:rsid w:val="00A1139B"/>
    <w:rsid w:val="00A1396B"/>
    <w:rsid w:val="00A204CA"/>
    <w:rsid w:val="00A209D6"/>
    <w:rsid w:val="00A229E8"/>
    <w:rsid w:val="00A26FC8"/>
    <w:rsid w:val="00A328D4"/>
    <w:rsid w:val="00A44664"/>
    <w:rsid w:val="00A458A4"/>
    <w:rsid w:val="00A50756"/>
    <w:rsid w:val="00A5319B"/>
    <w:rsid w:val="00A53724"/>
    <w:rsid w:val="00A54B2B"/>
    <w:rsid w:val="00A627A8"/>
    <w:rsid w:val="00A63267"/>
    <w:rsid w:val="00A70DD3"/>
    <w:rsid w:val="00A7172E"/>
    <w:rsid w:val="00A75026"/>
    <w:rsid w:val="00A82346"/>
    <w:rsid w:val="00A95680"/>
    <w:rsid w:val="00A9671C"/>
    <w:rsid w:val="00AA1553"/>
    <w:rsid w:val="00AA2288"/>
    <w:rsid w:val="00AA4215"/>
    <w:rsid w:val="00AA7ED7"/>
    <w:rsid w:val="00AB057E"/>
    <w:rsid w:val="00AB3313"/>
    <w:rsid w:val="00AC03CD"/>
    <w:rsid w:val="00AC39F3"/>
    <w:rsid w:val="00AC5FFD"/>
    <w:rsid w:val="00AD1D6F"/>
    <w:rsid w:val="00AD749A"/>
    <w:rsid w:val="00AD7A58"/>
    <w:rsid w:val="00AF351E"/>
    <w:rsid w:val="00AF3BE8"/>
    <w:rsid w:val="00B045ED"/>
    <w:rsid w:val="00B05380"/>
    <w:rsid w:val="00B05962"/>
    <w:rsid w:val="00B15449"/>
    <w:rsid w:val="00B17457"/>
    <w:rsid w:val="00B27303"/>
    <w:rsid w:val="00B27412"/>
    <w:rsid w:val="00B47FD1"/>
    <w:rsid w:val="00B50271"/>
    <w:rsid w:val="00B50706"/>
    <w:rsid w:val="00B516BB"/>
    <w:rsid w:val="00B54CF9"/>
    <w:rsid w:val="00B6012C"/>
    <w:rsid w:val="00B66FE9"/>
    <w:rsid w:val="00B71767"/>
    <w:rsid w:val="00B77898"/>
    <w:rsid w:val="00B83A0C"/>
    <w:rsid w:val="00B84DB2"/>
    <w:rsid w:val="00B8525B"/>
    <w:rsid w:val="00B90E45"/>
    <w:rsid w:val="00B91EB8"/>
    <w:rsid w:val="00B938B4"/>
    <w:rsid w:val="00B95F73"/>
    <w:rsid w:val="00BC1E4B"/>
    <w:rsid w:val="00BC3555"/>
    <w:rsid w:val="00BD00CC"/>
    <w:rsid w:val="00BD4F79"/>
    <w:rsid w:val="00BF26CD"/>
    <w:rsid w:val="00BF2B91"/>
    <w:rsid w:val="00C0491E"/>
    <w:rsid w:val="00C11CCB"/>
    <w:rsid w:val="00C12B51"/>
    <w:rsid w:val="00C15136"/>
    <w:rsid w:val="00C17804"/>
    <w:rsid w:val="00C2155D"/>
    <w:rsid w:val="00C24650"/>
    <w:rsid w:val="00C25465"/>
    <w:rsid w:val="00C33079"/>
    <w:rsid w:val="00C351F5"/>
    <w:rsid w:val="00C373B5"/>
    <w:rsid w:val="00C43555"/>
    <w:rsid w:val="00C445E2"/>
    <w:rsid w:val="00C45515"/>
    <w:rsid w:val="00C56005"/>
    <w:rsid w:val="00C739F4"/>
    <w:rsid w:val="00C741DA"/>
    <w:rsid w:val="00C75FF8"/>
    <w:rsid w:val="00C83A13"/>
    <w:rsid w:val="00C87760"/>
    <w:rsid w:val="00C9068C"/>
    <w:rsid w:val="00C92967"/>
    <w:rsid w:val="00C93210"/>
    <w:rsid w:val="00C95FCE"/>
    <w:rsid w:val="00C97FCA"/>
    <w:rsid w:val="00CA3D0C"/>
    <w:rsid w:val="00CA654B"/>
    <w:rsid w:val="00CB72B8"/>
    <w:rsid w:val="00CD0D40"/>
    <w:rsid w:val="00CD4C7B"/>
    <w:rsid w:val="00CD6D6B"/>
    <w:rsid w:val="00CE0093"/>
    <w:rsid w:val="00CE67EB"/>
    <w:rsid w:val="00D03D1F"/>
    <w:rsid w:val="00D04EDB"/>
    <w:rsid w:val="00D05816"/>
    <w:rsid w:val="00D07979"/>
    <w:rsid w:val="00D126F7"/>
    <w:rsid w:val="00D17792"/>
    <w:rsid w:val="00D33BE3"/>
    <w:rsid w:val="00D354FC"/>
    <w:rsid w:val="00D35722"/>
    <w:rsid w:val="00D3700A"/>
    <w:rsid w:val="00D3792D"/>
    <w:rsid w:val="00D47281"/>
    <w:rsid w:val="00D528E3"/>
    <w:rsid w:val="00D55E47"/>
    <w:rsid w:val="00D62E19"/>
    <w:rsid w:val="00D65093"/>
    <w:rsid w:val="00D67CD1"/>
    <w:rsid w:val="00D738D6"/>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D6837"/>
    <w:rsid w:val="00DE0338"/>
    <w:rsid w:val="00DE1025"/>
    <w:rsid w:val="00E0527E"/>
    <w:rsid w:val="00E078C7"/>
    <w:rsid w:val="00E16B1B"/>
    <w:rsid w:val="00E23E4E"/>
    <w:rsid w:val="00E37A0C"/>
    <w:rsid w:val="00E414A9"/>
    <w:rsid w:val="00E428A6"/>
    <w:rsid w:val="00E45B78"/>
    <w:rsid w:val="00E46C08"/>
    <w:rsid w:val="00E471CF"/>
    <w:rsid w:val="00E5319F"/>
    <w:rsid w:val="00E57B07"/>
    <w:rsid w:val="00E62835"/>
    <w:rsid w:val="00E66681"/>
    <w:rsid w:val="00E70565"/>
    <w:rsid w:val="00E721C4"/>
    <w:rsid w:val="00E74DF7"/>
    <w:rsid w:val="00E75A60"/>
    <w:rsid w:val="00E77645"/>
    <w:rsid w:val="00E81895"/>
    <w:rsid w:val="00E83697"/>
    <w:rsid w:val="00E86046"/>
    <w:rsid w:val="00E9788D"/>
    <w:rsid w:val="00EA555B"/>
    <w:rsid w:val="00EA65B3"/>
    <w:rsid w:val="00EA66C9"/>
    <w:rsid w:val="00EB030A"/>
    <w:rsid w:val="00EB1D49"/>
    <w:rsid w:val="00EC4A25"/>
    <w:rsid w:val="00EC619D"/>
    <w:rsid w:val="00EE2432"/>
    <w:rsid w:val="00EE3081"/>
    <w:rsid w:val="00EE36C7"/>
    <w:rsid w:val="00EF642D"/>
    <w:rsid w:val="00F025A2"/>
    <w:rsid w:val="00F07388"/>
    <w:rsid w:val="00F112B8"/>
    <w:rsid w:val="00F2026E"/>
    <w:rsid w:val="00F21DA0"/>
    <w:rsid w:val="00F2210A"/>
    <w:rsid w:val="00F250BE"/>
    <w:rsid w:val="00F32991"/>
    <w:rsid w:val="00F37743"/>
    <w:rsid w:val="00F40B7D"/>
    <w:rsid w:val="00F54A3D"/>
    <w:rsid w:val="00F54CB0"/>
    <w:rsid w:val="00F6488A"/>
    <w:rsid w:val="00F653B8"/>
    <w:rsid w:val="00F65AC7"/>
    <w:rsid w:val="00F6648B"/>
    <w:rsid w:val="00F71B89"/>
    <w:rsid w:val="00F7353C"/>
    <w:rsid w:val="00F76F8F"/>
    <w:rsid w:val="00F8250D"/>
    <w:rsid w:val="00F941DF"/>
    <w:rsid w:val="00FA0A4E"/>
    <w:rsid w:val="00FA1266"/>
    <w:rsid w:val="00FA243B"/>
    <w:rsid w:val="00FA2F27"/>
    <w:rsid w:val="00FB36FA"/>
    <w:rsid w:val="00FC1192"/>
    <w:rsid w:val="00FD181E"/>
    <w:rsid w:val="00FD7B48"/>
    <w:rsid w:val="00FE251B"/>
    <w:rsid w:val="5C9318F6"/>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qFormat/>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basedOn w:val="a0"/>
    <w:rPr>
      <w:sz w:val="16"/>
      <w:szCs w:val="16"/>
    </w:rPr>
  </w:style>
  <w:style w:type="character" w:customStyle="1" w:styleId="Char1">
    <w:name w:val="批注框文本 Char"/>
    <w:basedOn w:val="a0"/>
    <w:link w:val="a5"/>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paragraph" w:customStyle="1" w:styleId="Agreement">
    <w:name w:val="Agreement"/>
    <w:basedOn w:val="a"/>
    <w:next w:val="a"/>
    <w:qFormat/>
    <w:pPr>
      <w:numPr>
        <w:numId w:val="1"/>
      </w:numPr>
      <w:tabs>
        <w:tab w:val="clear" w:pos="927"/>
        <w:tab w:val="left" w:pos="360"/>
      </w:tabs>
      <w:spacing w:before="60" w:after="0"/>
      <w:ind w:left="360"/>
    </w:pPr>
    <w:rPr>
      <w:rFonts w:ascii="Arial" w:eastAsia="MS Mincho" w:hAnsi="Arial"/>
      <w:b/>
      <w:szCs w:val="24"/>
      <w:lang w:eastAsia="en-GB"/>
    </w:rPr>
  </w:style>
  <w:style w:type="paragraph" w:styleId="ac">
    <w:name w:val="List Paragraph"/>
    <w:basedOn w:val="a"/>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Char">
    <w:name w:val="标题 1 Char"/>
    <w:basedOn w:val="a0"/>
    <w:link w:val="1"/>
    <w:rPr>
      <w:rFonts w:ascii="Arial" w:hAnsi="Arial"/>
      <w:sz w:val="36"/>
      <w:lang w:eastAsia="en-US"/>
    </w:rPr>
  </w:style>
  <w:style w:type="character" w:customStyle="1" w:styleId="Char0">
    <w:name w:val="批注文字 Char"/>
    <w:basedOn w:val="a0"/>
    <w:link w:val="a4"/>
    <w:rPr>
      <w:lang w:eastAsia="en-US"/>
    </w:rPr>
  </w:style>
  <w:style w:type="character" w:customStyle="1" w:styleId="Char3">
    <w:name w:val="批注主题 Char"/>
    <w:basedOn w:val="Char0"/>
    <w:link w:val="a8"/>
    <w:rPr>
      <w:b/>
      <w:bCs/>
      <w:lang w:eastAsia="en-US"/>
    </w:rPr>
  </w:style>
  <w:style w:type="character" w:customStyle="1" w:styleId="3Char">
    <w:name w:val="标题 3 Char"/>
    <w:basedOn w:val="a0"/>
    <w:link w:val="3"/>
    <w:qFormat/>
    <w:rPr>
      <w:rFonts w:ascii="Arial" w:hAnsi="Arial"/>
      <w:sz w:val="28"/>
      <w:lang w:eastAsia="en-US"/>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a"/>
    <w:link w:val="2LGChar"/>
    <w:qFormat/>
    <w:pPr>
      <w:spacing w:before="40" w:after="0"/>
    </w:pPr>
    <w:rPr>
      <w:rFonts w:ascii="Arial" w:eastAsia="MS Mincho" w:hAnsi="Arial"/>
      <w:i/>
      <w:color w:val="FF0000"/>
      <w:lang w:eastAsia="zh-CN"/>
    </w:rPr>
  </w:style>
  <w:style w:type="character" w:customStyle="1" w:styleId="2LGChar">
    <w:name w:val="2. LG코멘트 Char"/>
    <w:basedOn w:val="a0"/>
    <w:link w:val="2LG"/>
    <w:qFormat/>
    <w:rPr>
      <w:rFonts w:ascii="Arial" w:eastAsia="MS Mincho" w:hAnsi="Arial"/>
      <w:i/>
      <w:color w:val="FF0000"/>
      <w:lang w:eastAsia="zh-CN"/>
    </w:rPr>
  </w:style>
  <w:style w:type="paragraph" w:customStyle="1" w:styleId="Tabletext">
    <w:name w:val="Table_text"/>
    <w:basedOn w:val="a"/>
    <w:rsid w:val="00525A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qFormat/>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basedOn w:val="a0"/>
    <w:rPr>
      <w:sz w:val="16"/>
      <w:szCs w:val="16"/>
    </w:rPr>
  </w:style>
  <w:style w:type="character" w:customStyle="1" w:styleId="Char1">
    <w:name w:val="批注框文本 Char"/>
    <w:basedOn w:val="a0"/>
    <w:link w:val="a5"/>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paragraph" w:customStyle="1" w:styleId="Agreement">
    <w:name w:val="Agreement"/>
    <w:basedOn w:val="a"/>
    <w:next w:val="a"/>
    <w:qFormat/>
    <w:pPr>
      <w:numPr>
        <w:numId w:val="1"/>
      </w:numPr>
      <w:tabs>
        <w:tab w:val="clear" w:pos="927"/>
        <w:tab w:val="left" w:pos="360"/>
      </w:tabs>
      <w:spacing w:before="60" w:after="0"/>
      <w:ind w:left="360"/>
    </w:pPr>
    <w:rPr>
      <w:rFonts w:ascii="Arial" w:eastAsia="MS Mincho" w:hAnsi="Arial"/>
      <w:b/>
      <w:szCs w:val="24"/>
      <w:lang w:eastAsia="en-GB"/>
    </w:rPr>
  </w:style>
  <w:style w:type="paragraph" w:styleId="ac">
    <w:name w:val="List Paragraph"/>
    <w:basedOn w:val="a"/>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Char">
    <w:name w:val="标题 1 Char"/>
    <w:basedOn w:val="a0"/>
    <w:link w:val="1"/>
    <w:rPr>
      <w:rFonts w:ascii="Arial" w:hAnsi="Arial"/>
      <w:sz w:val="36"/>
      <w:lang w:eastAsia="en-US"/>
    </w:rPr>
  </w:style>
  <w:style w:type="character" w:customStyle="1" w:styleId="Char0">
    <w:name w:val="批注文字 Char"/>
    <w:basedOn w:val="a0"/>
    <w:link w:val="a4"/>
    <w:rPr>
      <w:lang w:eastAsia="en-US"/>
    </w:rPr>
  </w:style>
  <w:style w:type="character" w:customStyle="1" w:styleId="Char3">
    <w:name w:val="批注主题 Char"/>
    <w:basedOn w:val="Char0"/>
    <w:link w:val="a8"/>
    <w:rPr>
      <w:b/>
      <w:bCs/>
      <w:lang w:eastAsia="en-US"/>
    </w:rPr>
  </w:style>
  <w:style w:type="character" w:customStyle="1" w:styleId="3Char">
    <w:name w:val="标题 3 Char"/>
    <w:basedOn w:val="a0"/>
    <w:link w:val="3"/>
    <w:qFormat/>
    <w:rPr>
      <w:rFonts w:ascii="Arial" w:hAnsi="Arial"/>
      <w:sz w:val="28"/>
      <w:lang w:eastAsia="en-US"/>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a"/>
    <w:link w:val="2LGChar"/>
    <w:qFormat/>
    <w:pPr>
      <w:spacing w:before="40" w:after="0"/>
    </w:pPr>
    <w:rPr>
      <w:rFonts w:ascii="Arial" w:eastAsia="MS Mincho" w:hAnsi="Arial"/>
      <w:i/>
      <w:color w:val="FF0000"/>
      <w:lang w:eastAsia="zh-CN"/>
    </w:rPr>
  </w:style>
  <w:style w:type="character" w:customStyle="1" w:styleId="2LGChar">
    <w:name w:val="2. LG코멘트 Char"/>
    <w:basedOn w:val="a0"/>
    <w:link w:val="2LG"/>
    <w:qFormat/>
    <w:rPr>
      <w:rFonts w:ascii="Arial" w:eastAsia="MS Mincho" w:hAnsi="Arial"/>
      <w:i/>
      <w:color w:val="FF0000"/>
      <w:lang w:eastAsia="zh-CN"/>
    </w:rPr>
  </w:style>
  <w:style w:type="paragraph" w:customStyle="1" w:styleId="Tabletext">
    <w:name w:val="Table_text"/>
    <w:basedOn w:val="a"/>
    <w:rsid w:val="00525A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1F794E28AEDB34FABD419EA1DC532C8" ma:contentTypeVersion="0" ma:contentTypeDescription="Create a new document." ma:contentTypeScope="" ma:versionID="3c885588a20be043a806790a3f221d1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1D6438-A962-4BA0-957B-16ACBF65B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5.xml><?xml version="1.0" encoding="utf-8"?>
<ds:datastoreItem xmlns:ds="http://schemas.openxmlformats.org/officeDocument/2006/customXml" ds:itemID="{6B3B1C53-C6EA-4D05-AC5F-1A429E72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5471</Words>
  <Characters>31187</Characters>
  <Application>Microsoft Office Word</Application>
  <DocSecurity>0</DocSecurity>
  <Lines>259</Lines>
  <Paragraphs>73</Paragraphs>
  <ScaleCrop>false</ScaleCrop>
  <Company/>
  <LinksUpToDate>false</LinksUpToDate>
  <CharactersWithSpaces>36585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CATT</cp:lastModifiedBy>
  <cp:revision>3</cp:revision>
  <dcterms:created xsi:type="dcterms:W3CDTF">2021-08-20T13:38:00Z</dcterms:created>
  <dcterms:modified xsi:type="dcterms:W3CDTF">2021-08-20T14:35:00Z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0x01010061F794E28AEDB34FABD419EA1DC532C8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ies>
</file>