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[AT115-e][040][eIAB]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[AT115-e][040][eIAB]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The RRCReconfiguration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RRCReconfiguration message.  The condition is set so that a sequential delivery and execution of RRCReconfigurations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The RRCReconfiguration message for TNL migration of the descendant-node IAB-MT is buffered by the descendent-node’s IAB-MT itself, and it is executed only when an indication is received from the parent IAB-DU. The indication of buffering and conditional execution may be included in the RRCReconfiguration. The condition for initiation and propagation of this indication is set so that it causes a sequential execution of RRCReconfigurations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random</w:t>
      </w:r>
      <w:r w:rsidR="00C005ED">
        <w:t xml:space="preserve"> </w:t>
      </w:r>
      <w:r w:rsidR="00F25A0C">
        <w:t xml:space="preserve">access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r w:rsidR="00EF403A">
        <w:rPr>
          <w:b/>
          <w:bCs/>
        </w:rPr>
        <w:t xml:space="preserve">wrt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962B29">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962B29">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far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962B29">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[HFN(20bit),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[HFN, SN]=[0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COUNT1&lt;(COUNT2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050F35">
              <w:tc>
                <w:tcPr>
                  <w:tcW w:w="7515" w:type="dxa"/>
                </w:tcPr>
                <w:p w14:paraId="57353E80" w14:textId="77777777" w:rsidR="000D526B" w:rsidRDefault="000D526B" w:rsidP="00050F35">
                  <w:pPr>
                    <w:pStyle w:val="B1"/>
                    <w:ind w:left="0" w:firstLine="0"/>
                  </w:pPr>
                  <w:r>
                    <w:t>TS38.323</w:t>
                  </w:r>
                </w:p>
                <w:p w14:paraId="30AB8799" w14:textId="77777777" w:rsidR="000D526B" w:rsidRPr="00BD6693" w:rsidRDefault="000D526B" w:rsidP="00050F35">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050F35">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050F35">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050F35">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050F35">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050F35">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962B29">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962B29">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962B29">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Reconfig arrives, while the buffered RRC Reconfig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make a decision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962B29">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and also with Text Proposal 1. </w:t>
            </w:r>
          </w:p>
        </w:tc>
      </w:tr>
      <w:tr w:rsidR="00945F0B" w14:paraId="6F5D97D7" w14:textId="77777777" w:rsidTr="00962B29">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962B29">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r>
              <w:rPr>
                <w:rFonts w:eastAsiaTheme="minorEastAsia"/>
                <w:lang w:val="en-US"/>
              </w:rPr>
              <w:t>gree with the comments from Huawei, CATT, Sony and Interdigital that further discussion is required before we make the decision.</w:t>
            </w:r>
          </w:p>
        </w:tc>
      </w:tr>
      <w:tr w:rsidR="00923567" w14:paraId="72FB6F11" w14:textId="77777777" w:rsidTr="00962B29">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4F1944" w14:paraId="5F7B5C83" w14:textId="77777777" w:rsidTr="00962B29">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r w:rsidR="00855848" w14:paraId="10BA5153" w14:textId="77777777" w:rsidTr="00962B29">
        <w:tc>
          <w:tcPr>
            <w:tcW w:w="1885" w:type="dxa"/>
            <w:hideMark/>
          </w:tcPr>
          <w:p w14:paraId="6FC1C0F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77141E7D"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59E2971F"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RRCReconfiguration msg in the parent node DU due to not receiving RRCReconfigurationComplete msg via target path, and if it wants some RRC command it will send the new RRC msg without buffering indication in F1AP msg, so that DU replaces the withheld RRCreconfiguration with the new received RRC msg, and immediately transmitted to the target IAB MT. Always donor CU knows the situation of pending RRCReconfiguration, i.e., released or not, and based on this, donor can command whatever and whenever it wants. </w:t>
            </w:r>
          </w:p>
          <w:p w14:paraId="64CC67E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
        </w:tc>
      </w:tr>
      <w:tr w:rsidR="00C579DD" w14:paraId="33AEBFF2" w14:textId="77777777" w:rsidTr="00962B29">
        <w:tc>
          <w:tcPr>
            <w:tcW w:w="1885" w:type="dxa"/>
          </w:tcPr>
          <w:p w14:paraId="794D1E23" w14:textId="20ED3F39"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Intel</w:t>
            </w:r>
          </w:p>
        </w:tc>
        <w:tc>
          <w:tcPr>
            <w:tcW w:w="7746" w:type="dxa"/>
          </w:tcPr>
          <w:p w14:paraId="1E49DCE9"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agree there’s no RAN2 impact when IAB-node migration is successful. However, there might be some </w:t>
            </w:r>
            <w:r w:rsidRPr="009A18D2">
              <w:rPr>
                <w:rFonts w:eastAsiaTheme="minorEastAsia"/>
                <w:b/>
                <w:bCs/>
              </w:rPr>
              <w:t>RAN2 impact when IAB-node migration is failed</w:t>
            </w:r>
            <w:r>
              <w:rPr>
                <w:rFonts w:eastAsiaTheme="minorEastAsia"/>
              </w:rPr>
              <w:t>.</w:t>
            </w:r>
          </w:p>
          <w:p w14:paraId="12AC8B66"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p>
          <w:p w14:paraId="006C76BD"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For a UE or IAB-MT, </w:t>
            </w:r>
            <w:r w:rsidRPr="2D757CCA">
              <w:rPr>
                <w:rFonts w:eastAsiaTheme="minorEastAsia"/>
                <w:lang w:val="en-US"/>
              </w:rPr>
              <w:t xml:space="preserve">from RRC protocol point of view, RRC messages </w:t>
            </w:r>
            <w:r>
              <w:rPr>
                <w:rFonts w:eastAsiaTheme="minorEastAsia"/>
                <w:lang w:val="en-US"/>
              </w:rPr>
              <w:t xml:space="preserve">must be received in sequence, </w:t>
            </w:r>
            <w:r w:rsidRPr="2D757CCA">
              <w:rPr>
                <w:rFonts w:eastAsiaTheme="minorEastAsia"/>
                <w:lang w:val="en-US"/>
              </w:rPr>
              <w:t xml:space="preserve">and </w:t>
            </w:r>
            <w:r>
              <w:rPr>
                <w:rFonts w:eastAsiaTheme="minorEastAsia"/>
                <w:lang w:val="en-US"/>
              </w:rPr>
              <w:t xml:space="preserve">PDCP reordering timer for SRB is set as “infinity”. This indicates that </w:t>
            </w:r>
            <w:r w:rsidRPr="2D757CCA">
              <w:rPr>
                <w:rFonts w:eastAsiaTheme="minorEastAsia"/>
                <w:lang w:val="en-US"/>
              </w:rPr>
              <w:t xml:space="preserve">the PDCP in the </w:t>
            </w:r>
            <w:r>
              <w:rPr>
                <w:rFonts w:eastAsiaTheme="minorEastAsia"/>
                <w:lang w:val="en-US"/>
              </w:rPr>
              <w:t>IAB-MT will wait for each RRC message in sequence order</w:t>
            </w:r>
            <w:r w:rsidRPr="2D757CCA">
              <w:rPr>
                <w:rFonts w:eastAsiaTheme="minorEastAsia"/>
                <w:lang w:val="en-US"/>
              </w:rPr>
              <w:t xml:space="preserve"> to perform reordering and deliver to RRC.</w:t>
            </w:r>
            <w:r>
              <w:rPr>
                <w:rFonts w:eastAsiaTheme="minorEastAsia"/>
                <w:lang w:val="en-US"/>
              </w:rPr>
              <w:t xml:space="preserve"> The rest </w:t>
            </w:r>
            <w:r w:rsidRPr="2D757CCA">
              <w:rPr>
                <w:rFonts w:eastAsiaTheme="minorEastAsia"/>
                <w:lang w:val="en-US"/>
              </w:rPr>
              <w:t xml:space="preserve">of the RRC messages </w:t>
            </w:r>
            <w:r>
              <w:rPr>
                <w:rFonts w:eastAsiaTheme="minorEastAsia"/>
                <w:lang w:val="en-US"/>
              </w:rPr>
              <w:t xml:space="preserve">received </w:t>
            </w:r>
            <w:r w:rsidRPr="2D757CCA">
              <w:rPr>
                <w:rFonts w:eastAsiaTheme="minorEastAsia"/>
                <w:lang w:val="en-US"/>
              </w:rPr>
              <w:t xml:space="preserve">after </w:t>
            </w:r>
            <w:r w:rsidRPr="001C254A">
              <w:rPr>
                <w:rFonts w:eastAsiaTheme="minorEastAsia"/>
                <w:i/>
                <w:iCs/>
                <w:lang w:val="en-US"/>
              </w:rPr>
              <w:t>RRCReconfiguration</w:t>
            </w:r>
            <w:r>
              <w:rPr>
                <w:rFonts w:eastAsiaTheme="minorEastAsia"/>
                <w:lang w:val="en-US"/>
              </w:rPr>
              <w:t xml:space="preserve"> message will be buffered </w:t>
            </w:r>
            <w:r w:rsidRPr="2D757CCA">
              <w:rPr>
                <w:rFonts w:eastAsiaTheme="minorEastAsia"/>
                <w:lang w:val="en-US"/>
              </w:rPr>
              <w:t xml:space="preserve">by the PDCP in IAB-MT </w:t>
            </w:r>
            <w:r>
              <w:rPr>
                <w:rFonts w:eastAsiaTheme="minorEastAsia"/>
                <w:lang w:val="en-US"/>
              </w:rPr>
              <w:t xml:space="preserve">and will not be </w:t>
            </w:r>
            <w:r w:rsidRPr="2D757CCA">
              <w:rPr>
                <w:rFonts w:eastAsiaTheme="minorEastAsia"/>
                <w:lang w:val="en-US"/>
              </w:rPr>
              <w:t>delivered to RRC. If the RRC message is discarded by the migrating IAB-node on HO failure, the IAB-MT will not receive this particular RRC message.  There are two issues here to be addressed:</w:t>
            </w:r>
          </w:p>
          <w:p w14:paraId="5C13EA5B"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1) The PDCP layer in the IAB-MT will stall as it will not receive this packet and will wait for this packet before it can deliver the next RRC message to the RRC layers.  </w:t>
            </w:r>
          </w:p>
          <w:p w14:paraId="031279A8" w14:textId="77777777" w:rsidR="00C579DD" w:rsidRPr="00E9548F"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2) The RRC layer in the CU is expecting a response message to this RRCReconfiguration message that is discarded.  The consequences of that on RRC handling in the CU has to be discussed by RAN2.</w:t>
            </w:r>
          </w:p>
          <w:p w14:paraId="76D1E3BE" w14:textId="77777777" w:rsidR="00C579DD" w:rsidRPr="00E9548F" w:rsidRDefault="00C579DD" w:rsidP="00C579DD">
            <w:pPr>
              <w:spacing w:after="0" w:line="240" w:lineRule="auto"/>
              <w:jc w:val="both"/>
              <w:rPr>
                <w:rFonts w:eastAsiaTheme="minorEastAsia"/>
                <w:lang w:val="en-US"/>
              </w:rPr>
            </w:pPr>
          </w:p>
          <w:p w14:paraId="6D1AD554" w14:textId="77777777" w:rsidR="00C579DD" w:rsidRDefault="00C579DD" w:rsidP="00C579DD">
            <w:pPr>
              <w:spacing w:after="0" w:line="240" w:lineRule="auto"/>
              <w:jc w:val="both"/>
              <w:rPr>
                <w:rFonts w:eastAsiaTheme="minorEastAsia"/>
                <w:lang w:val="en-US"/>
              </w:rPr>
            </w:pPr>
            <w:r w:rsidRPr="7033B942">
              <w:rPr>
                <w:rFonts w:eastAsiaTheme="minorEastAsia"/>
                <w:lang w:val="en-US"/>
              </w:rPr>
              <w:t xml:space="preserve">Hence </w:t>
            </w:r>
            <w:r w:rsidRPr="013D0888">
              <w:rPr>
                <w:rFonts w:eastAsiaTheme="minorEastAsia"/>
                <w:lang w:val="en-US"/>
              </w:rPr>
              <w:t>we</w:t>
            </w:r>
            <w:r w:rsidRPr="7033B942">
              <w:rPr>
                <w:rFonts w:eastAsiaTheme="minorEastAsia"/>
                <w:lang w:val="en-US"/>
              </w:rPr>
              <w:t xml:space="preserve"> agree with QC’s observation that the RRC Reconfiguration message should not be discarded. There cannot be a gap in PDCP SN.</w:t>
            </w:r>
          </w:p>
          <w:p w14:paraId="3976D840" w14:textId="77777777" w:rsidR="00C579DD" w:rsidRPr="004E61BF" w:rsidRDefault="00C579DD" w:rsidP="00C579DD">
            <w:pPr>
              <w:spacing w:after="0" w:line="240" w:lineRule="auto"/>
              <w:jc w:val="both"/>
              <w:rPr>
                <w:rFonts w:eastAsiaTheme="minorEastAsia"/>
                <w:lang w:val="en-US"/>
              </w:rPr>
            </w:pPr>
          </w:p>
          <w:p w14:paraId="1F52D5E9" w14:textId="77777777" w:rsidR="00C579DD" w:rsidRDefault="00C579DD" w:rsidP="00C579DD">
            <w:pPr>
              <w:spacing w:after="0" w:line="240" w:lineRule="auto"/>
              <w:jc w:val="both"/>
              <w:rPr>
                <w:rFonts w:eastAsiaTheme="minorEastAsia"/>
                <w:lang w:val="en-US"/>
              </w:rPr>
            </w:pPr>
            <w:r w:rsidRPr="798694D1">
              <w:rPr>
                <w:rFonts w:eastAsiaTheme="minorEastAsia"/>
                <w:lang w:val="en-US"/>
              </w:rPr>
              <w:t xml:space="preserve">On the other hand, if the RRCReconfiguration </w:t>
            </w:r>
            <w:r w:rsidRPr="2A2102F6">
              <w:rPr>
                <w:rFonts w:eastAsiaTheme="minorEastAsia"/>
                <w:lang w:val="en-US"/>
              </w:rPr>
              <w:t>message</w:t>
            </w:r>
            <w:r w:rsidRPr="798694D1">
              <w:rPr>
                <w:rFonts w:eastAsiaTheme="minorEastAsia"/>
                <w:lang w:val="en-US"/>
              </w:rPr>
              <w:t xml:space="preserve"> is delivered and </w:t>
            </w:r>
            <w:r w:rsidRPr="2277D8A0">
              <w:rPr>
                <w:rFonts w:eastAsiaTheme="minorEastAsia"/>
                <w:lang w:val="en-US"/>
              </w:rPr>
              <w:t xml:space="preserve">the IAB-MT </w:t>
            </w:r>
            <w:r w:rsidRPr="44F6AA1F">
              <w:rPr>
                <w:rFonts w:eastAsiaTheme="minorEastAsia"/>
                <w:lang w:val="en-US"/>
              </w:rPr>
              <w:t xml:space="preserve">processes it, it can </w:t>
            </w:r>
            <w:r w:rsidRPr="5DAD8375">
              <w:rPr>
                <w:rFonts w:eastAsiaTheme="minorEastAsia"/>
                <w:lang w:val="en-US"/>
              </w:rPr>
              <w:t xml:space="preserve">result in wrong configuration at the </w:t>
            </w:r>
            <w:r w:rsidRPr="257D51DC">
              <w:rPr>
                <w:rFonts w:eastAsiaTheme="minorEastAsia"/>
                <w:lang w:val="en-US"/>
              </w:rPr>
              <w:t>IAB-MT at least until the next RRCReconfiguration message is received.</w:t>
            </w:r>
          </w:p>
          <w:p w14:paraId="47E50A22"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Hence, we think “how to proceed the </w:t>
            </w:r>
            <w:r w:rsidRPr="009065F5">
              <w:rPr>
                <w:rFonts w:eastAsiaTheme="minorEastAsia"/>
                <w:i/>
                <w:iCs/>
                <w:lang w:val="en-US"/>
              </w:rPr>
              <w:t>RRCReconfiguration</w:t>
            </w:r>
            <w:r>
              <w:rPr>
                <w:rFonts w:eastAsiaTheme="minorEastAsia"/>
                <w:lang w:val="en-US"/>
              </w:rPr>
              <w:t xml:space="preserve"> message when migrating IAB-node HO failure” and “How to ensure IAB-MT configuration is not impacted” </w:t>
            </w:r>
          </w:p>
          <w:p w14:paraId="38C2A6EC"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a </w:t>
            </w:r>
            <w:r w:rsidRPr="00F17114">
              <w:rPr>
                <w:rFonts w:eastAsiaTheme="minorEastAsia"/>
                <w:b/>
                <w:bCs/>
                <w:lang w:val="en-US"/>
              </w:rPr>
              <w:t>RAN2 issue</w:t>
            </w:r>
            <w:r>
              <w:rPr>
                <w:rFonts w:eastAsiaTheme="minorEastAsia"/>
                <w:lang w:val="en-US"/>
              </w:rPr>
              <w:t xml:space="preserve">, as it impacts </w:t>
            </w:r>
            <w:r w:rsidRPr="00F17114">
              <w:rPr>
                <w:rFonts w:eastAsiaTheme="minorEastAsia"/>
                <w:i/>
                <w:iCs/>
                <w:lang w:val="en-US"/>
              </w:rPr>
              <w:t>RRCReconfiguration</w:t>
            </w:r>
            <w:r>
              <w:rPr>
                <w:rFonts w:eastAsiaTheme="minorEastAsia"/>
                <w:lang w:val="en-US"/>
              </w:rPr>
              <w:t xml:space="preserve"> message handling. This need to be further discussed in RAN2 depending on solution details.</w:t>
            </w:r>
          </w:p>
          <w:p w14:paraId="1E8A8D25"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 </w:t>
            </w:r>
          </w:p>
          <w:p w14:paraId="44557D03"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Considering above analysis, we would like to propose to capture following text in the Reply LS to RAN3:</w:t>
            </w:r>
          </w:p>
          <w:p w14:paraId="1E8A1E07" w14:textId="1EA9BB40"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rPr>
              <w:lastRenderedPageBreak/>
              <w:t>“</w:t>
            </w:r>
            <w:r w:rsidRPr="0058497F">
              <w:rPr>
                <w:rFonts w:eastAsiaTheme="minorEastAsia"/>
                <w:b/>
                <w:bCs/>
                <w:lang w:val="en-US"/>
              </w:rPr>
              <w:t xml:space="preserve">RAN2 identifies Solution 1 has no </w:t>
            </w:r>
            <w:r>
              <w:rPr>
                <w:rFonts w:eastAsiaTheme="minorEastAsia"/>
                <w:b/>
                <w:bCs/>
                <w:lang w:val="en-US"/>
              </w:rPr>
              <w:t xml:space="preserve">significant </w:t>
            </w:r>
            <w:r w:rsidRPr="0058497F">
              <w:rPr>
                <w:rFonts w:eastAsiaTheme="minorEastAsia"/>
                <w:b/>
                <w:bCs/>
                <w:lang w:val="en-US"/>
              </w:rPr>
              <w:t xml:space="preserve">impact </w:t>
            </w:r>
            <w:r>
              <w:rPr>
                <w:rFonts w:eastAsiaTheme="minorEastAsia"/>
                <w:b/>
                <w:bCs/>
                <w:lang w:val="en-US"/>
              </w:rPr>
              <w:t>on</w:t>
            </w:r>
            <w:r w:rsidRPr="0058497F">
              <w:rPr>
                <w:rFonts w:eastAsiaTheme="minorEastAsia"/>
                <w:b/>
                <w:bCs/>
                <w:lang w:val="en-US"/>
              </w:rPr>
              <w:t xml:space="preserve"> RAN2 when IAB-node migration is successful.</w:t>
            </w:r>
            <w:r>
              <w:rPr>
                <w:rFonts w:eastAsiaTheme="minorEastAsia"/>
                <w:b/>
                <w:bCs/>
                <w:lang w:val="en-US"/>
              </w:rPr>
              <w:t xml:space="preserve"> RAN2 need to study how to proceed the RRCReconfiguration message and how to ensure IAB-MT </w:t>
            </w:r>
            <w:r w:rsidRPr="257D51DC">
              <w:rPr>
                <w:rFonts w:eastAsiaTheme="minorEastAsia"/>
                <w:b/>
                <w:bCs/>
                <w:lang w:val="en-US"/>
              </w:rPr>
              <w:t xml:space="preserve">configuration </w:t>
            </w:r>
            <w:r>
              <w:rPr>
                <w:rFonts w:eastAsiaTheme="minorEastAsia"/>
                <w:b/>
                <w:bCs/>
                <w:lang w:val="en-US"/>
              </w:rPr>
              <w:t xml:space="preserve">is not impacted when </w:t>
            </w:r>
            <w:r w:rsidRPr="257D51DC">
              <w:rPr>
                <w:rFonts w:eastAsiaTheme="minorEastAsia"/>
                <w:b/>
                <w:bCs/>
                <w:lang w:val="en-US"/>
              </w:rPr>
              <w:t xml:space="preserve">there is a </w:t>
            </w:r>
            <w:r>
              <w:rPr>
                <w:rFonts w:eastAsiaTheme="minorEastAsia"/>
                <w:b/>
                <w:bCs/>
                <w:lang w:val="en-US"/>
              </w:rPr>
              <w:t>migrating IAB-node HO failure</w:t>
            </w:r>
            <w:r w:rsidRPr="0058497F">
              <w:rPr>
                <w:rFonts w:eastAsiaTheme="minorEastAsia"/>
                <w:b/>
                <w:bCs/>
                <w:lang w:val="en-US"/>
              </w:rPr>
              <w:t>”</w:t>
            </w:r>
            <w:r>
              <w:rPr>
                <w:rFonts w:eastAsiaTheme="minorEastAsia"/>
                <w:b/>
                <w:bCs/>
                <w:lang w:val="en-US"/>
              </w:rPr>
              <w:t>.</w:t>
            </w:r>
          </w:p>
        </w:tc>
      </w:tr>
      <w:tr w:rsidR="00354A16" w14:paraId="15EF6122" w14:textId="77777777" w:rsidTr="00962B29">
        <w:tc>
          <w:tcPr>
            <w:tcW w:w="1885" w:type="dxa"/>
          </w:tcPr>
          <w:p w14:paraId="311E94FD" w14:textId="7BD73ED1" w:rsidR="00354A16" w:rsidRDefault="00354A16" w:rsidP="00C579DD">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lastRenderedPageBreak/>
              <w:t>AT&amp;T</w:t>
            </w:r>
          </w:p>
        </w:tc>
        <w:tc>
          <w:tcPr>
            <w:tcW w:w="7746" w:type="dxa"/>
          </w:tcPr>
          <w:p w14:paraId="7D46887F" w14:textId="76CB3924" w:rsidR="00354A16" w:rsidRDefault="00354A16"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Solution 1 has no impact on RAN2. Conditions, such as IAB-node migration failure can be looked at more closely. But as pointed out by some companies these issues are solvable by proper implementation.</w:t>
            </w:r>
          </w:p>
        </w:tc>
      </w:tr>
      <w:tr w:rsidR="00962B29" w14:paraId="3DC0B61E" w14:textId="77777777" w:rsidTr="00962B29">
        <w:tc>
          <w:tcPr>
            <w:tcW w:w="1885" w:type="dxa"/>
          </w:tcPr>
          <w:p w14:paraId="1D62DDF3" w14:textId="4139B098"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eastAsia="en-GB"/>
              </w:rPr>
            </w:pPr>
            <w:r w:rsidRPr="00962B29">
              <w:rPr>
                <w:rStyle w:val="normaltextrun"/>
                <w:rFonts w:eastAsia="Times New Roman"/>
                <w:lang w:eastAsia="en-GB"/>
              </w:rPr>
              <w:t>Nokia, Nokia Shanghai Bell</w:t>
            </w:r>
          </w:p>
        </w:tc>
        <w:tc>
          <w:tcPr>
            <w:tcW w:w="7746" w:type="dxa"/>
          </w:tcPr>
          <w:p w14:paraId="6B93C2CE" w14:textId="3F099859" w:rsidR="00962B29" w:rsidRPr="00962B29" w:rsidRDefault="00962B29" w:rsidP="00962B29">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en-US"/>
              </w:rPr>
              <w:t>W</w:t>
            </w:r>
            <w:r w:rsidRPr="00962B29">
              <w:rPr>
                <w:rStyle w:val="normaltextrun"/>
                <w:sz w:val="20"/>
                <w:szCs w:val="20"/>
                <w:lang w:val="en-US"/>
              </w:rPr>
              <w:t xml:space="preserve">e see </w:t>
            </w:r>
            <w:r>
              <w:rPr>
                <w:rStyle w:val="normaltextrun"/>
                <w:sz w:val="20"/>
                <w:szCs w:val="20"/>
                <w:lang w:val="en-US"/>
              </w:rPr>
              <w:t>the TP1 contradicts with TP3.There are expected some impacts. Thus, we think it is too premature from RAN2 viewpoint to state that Solution 1 has “NO significant” impact. It would be good to understand more details of the Solution 1 and be able to identify the list of potential impacts (as for Solution 2)</w:t>
            </w:r>
            <w:r w:rsidRPr="00962B29">
              <w:rPr>
                <w:rStyle w:val="normaltextrun"/>
                <w:rFonts w:hint="eastAsia"/>
                <w:sz w:val="20"/>
                <w:szCs w:val="20"/>
                <w:lang w:val="en-US"/>
              </w:rPr>
              <w:t>.  </w:t>
            </w:r>
            <w:r>
              <w:rPr>
                <w:rStyle w:val="normaltextrun"/>
                <w:sz w:val="20"/>
                <w:szCs w:val="20"/>
                <w:lang w:val="en-US"/>
              </w:rPr>
              <w:t>There are identified impacts to RAN2 that may not be possible to be handled transparently (e.g. PDCP SN for withheld RRC message</w:t>
            </w:r>
            <w:r w:rsidRPr="00962B29">
              <w:rPr>
                <w:rStyle w:val="normaltextrun"/>
                <w:rFonts w:hint="eastAsia"/>
                <w:sz w:val="20"/>
                <w:szCs w:val="20"/>
                <w:lang w:val="en-US"/>
              </w:rPr>
              <w:t>). </w:t>
            </w:r>
            <w:r w:rsidRPr="00962B29">
              <w:rPr>
                <w:rStyle w:val="normaltextrun"/>
                <w:rFonts w:hint="eastAsia"/>
                <w:lang w:val="en-US"/>
              </w:rPr>
              <w:t> </w:t>
            </w:r>
          </w:p>
          <w:p w14:paraId="74E985D8" w14:textId="77777777"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val="en-US" w:eastAsia="en-GB"/>
              </w:rPr>
            </w:pPr>
          </w:p>
        </w:tc>
      </w:tr>
    </w:tbl>
    <w:p w14:paraId="5FF48EDC" w14:textId="17261DCE" w:rsidR="008419F6"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2C52182B" w14:textId="28A5BE58" w:rsidR="002A4508" w:rsidRPr="005969C8" w:rsidRDefault="002A4508" w:rsidP="00E83D24">
      <w:pPr>
        <w:overflowPunct w:val="0"/>
        <w:autoSpaceDE w:val="0"/>
        <w:autoSpaceDN w:val="0"/>
        <w:adjustRightInd w:val="0"/>
        <w:spacing w:after="0" w:line="240" w:lineRule="auto"/>
        <w:jc w:val="both"/>
        <w:textAlignment w:val="baseline"/>
        <w:rPr>
          <w:rFonts w:eastAsiaTheme="minorEastAsia"/>
          <w:b/>
          <w:bCs/>
          <w:lang w:val="en-US"/>
        </w:rPr>
      </w:pPr>
      <w:r w:rsidRPr="005969C8">
        <w:rPr>
          <w:rFonts w:eastAsiaTheme="minorEastAsia"/>
          <w:b/>
          <w:bCs/>
          <w:lang w:val="en-US"/>
        </w:rPr>
        <w:t>Summary:</w:t>
      </w:r>
    </w:p>
    <w:p w14:paraId="0A260C9B" w14:textId="60AC73BC" w:rsidR="002A4508" w:rsidRDefault="002A4508"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In general, companies </w:t>
      </w:r>
      <w:r w:rsidR="00B358DE">
        <w:rPr>
          <w:rFonts w:eastAsiaTheme="minorEastAsia"/>
          <w:lang w:val="en-US"/>
        </w:rPr>
        <w:t>who are oppose</w:t>
      </w:r>
      <w:r>
        <w:rPr>
          <w:rFonts w:eastAsiaTheme="minorEastAsia"/>
          <w:lang w:val="en-US"/>
        </w:rPr>
        <w:t xml:space="preserve">d to saying “no impact” are </w:t>
      </w:r>
      <w:r w:rsidR="00B358DE">
        <w:rPr>
          <w:rFonts w:eastAsiaTheme="minorEastAsia"/>
          <w:lang w:val="en-US"/>
        </w:rPr>
        <w:t>mostly concerned about</w:t>
      </w:r>
      <w:r>
        <w:rPr>
          <w:rFonts w:eastAsiaTheme="minorEastAsia"/>
          <w:lang w:val="en-US"/>
        </w:rPr>
        <w:t xml:space="preserve"> </w:t>
      </w:r>
      <w:r w:rsidR="00DD48EE">
        <w:rPr>
          <w:rFonts w:eastAsiaTheme="minorEastAsia"/>
          <w:lang w:val="en-US"/>
        </w:rPr>
        <w:t xml:space="preserve">either </w:t>
      </w:r>
      <w:r>
        <w:rPr>
          <w:rFonts w:eastAsiaTheme="minorEastAsia"/>
          <w:lang w:val="en-US"/>
        </w:rPr>
        <w:t xml:space="preserve">the </w:t>
      </w:r>
      <w:r w:rsidR="00DD48EE">
        <w:rPr>
          <w:rFonts w:eastAsiaTheme="minorEastAsia"/>
          <w:lang w:val="en-US"/>
        </w:rPr>
        <w:t xml:space="preserve">migration </w:t>
      </w:r>
      <w:r>
        <w:rPr>
          <w:rFonts w:eastAsiaTheme="minorEastAsia"/>
          <w:lang w:val="en-US"/>
        </w:rPr>
        <w:t>failure case</w:t>
      </w:r>
      <w:r w:rsidR="00DD48EE">
        <w:rPr>
          <w:rFonts w:eastAsiaTheme="minorEastAsia"/>
          <w:lang w:val="en-US"/>
        </w:rPr>
        <w:t xml:space="preserve"> or the case where new RRCReconfiguration is received by parent IAB-DU for child IAB-MT when there is already one RRCReconfiguration withheld for same child IAB-MT at the parent IAB-DU</w:t>
      </w:r>
      <w:r>
        <w:rPr>
          <w:rFonts w:eastAsiaTheme="minorEastAsia"/>
          <w:lang w:val="en-US"/>
        </w:rPr>
        <w:t xml:space="preserve">. </w:t>
      </w:r>
      <w:r w:rsidR="00B358DE">
        <w:rPr>
          <w:rFonts w:eastAsiaTheme="minorEastAsia"/>
          <w:lang w:val="en-US"/>
        </w:rPr>
        <w:t>None of the company contributions or comments have identified RAN2 impact for the success case. TP1 was</w:t>
      </w:r>
      <w:r w:rsidR="00DD48EE">
        <w:rPr>
          <w:rFonts w:eastAsiaTheme="minorEastAsia"/>
          <w:lang w:val="en-US"/>
        </w:rPr>
        <w:t xml:space="preserve"> drafted</w:t>
      </w:r>
      <w:r w:rsidR="00B358DE">
        <w:rPr>
          <w:rFonts w:eastAsiaTheme="minorEastAsia"/>
          <w:lang w:val="en-US"/>
        </w:rPr>
        <w:t xml:space="preserve"> more from the perspective of the success case, while TP3 had tried to capture concerns related to the failure case. The reply LS can say that RAN2 will continue to study the </w:t>
      </w:r>
      <w:r w:rsidR="00011D46">
        <w:rPr>
          <w:rFonts w:eastAsiaTheme="minorEastAsia"/>
          <w:lang w:val="en-US"/>
        </w:rPr>
        <w:t>other cases</w:t>
      </w:r>
      <w:r w:rsidR="00B358DE">
        <w:rPr>
          <w:rFonts w:eastAsiaTheme="minorEastAsia"/>
          <w:lang w:val="en-US"/>
        </w:rPr>
        <w:t xml:space="preserve"> to identify any potential impact to RAN2. However, the reply LS cannot wait until RAN2 finishes discussing and agreeing upon any potential </w:t>
      </w:r>
      <w:r w:rsidR="005969C8">
        <w:rPr>
          <w:rFonts w:eastAsiaTheme="minorEastAsia"/>
          <w:lang w:val="en-US"/>
        </w:rPr>
        <w:t xml:space="preserve">solutions </w:t>
      </w:r>
      <w:r w:rsidR="00B358DE">
        <w:rPr>
          <w:rFonts w:eastAsiaTheme="minorEastAsia"/>
          <w:lang w:val="en-US"/>
        </w:rPr>
        <w:t xml:space="preserve">needed to address the </w:t>
      </w:r>
      <w:r w:rsidR="00011D46">
        <w:rPr>
          <w:rFonts w:eastAsiaTheme="minorEastAsia"/>
          <w:lang w:val="en-US"/>
        </w:rPr>
        <w:t xml:space="preserve">other </w:t>
      </w:r>
      <w:r w:rsidR="00B358DE">
        <w:rPr>
          <w:rFonts w:eastAsiaTheme="minorEastAsia"/>
          <w:lang w:val="en-US"/>
        </w:rPr>
        <w:t>case</w:t>
      </w:r>
      <w:r w:rsidR="00011D46">
        <w:rPr>
          <w:rFonts w:eastAsiaTheme="minorEastAsia"/>
          <w:lang w:val="en-US"/>
        </w:rPr>
        <w:t>s</w:t>
      </w:r>
      <w:r w:rsidR="00B358DE">
        <w:rPr>
          <w:rFonts w:eastAsiaTheme="minorEastAsia"/>
          <w:lang w:val="en-US"/>
        </w:rPr>
        <w:t>. Moderator believes that the current status of discussion needs to be conveyed accurately to RAN3</w:t>
      </w:r>
      <w:r w:rsidR="005969C8">
        <w:rPr>
          <w:rFonts w:eastAsiaTheme="minorEastAsia"/>
          <w:lang w:val="en-US"/>
        </w:rPr>
        <w:t xml:space="preserve">. Per current status, no issues have been identified for success case. For </w:t>
      </w:r>
      <w:r w:rsidR="00011D46">
        <w:rPr>
          <w:rFonts w:eastAsiaTheme="minorEastAsia"/>
          <w:lang w:val="en-US"/>
        </w:rPr>
        <w:t xml:space="preserve">other </w:t>
      </w:r>
      <w:r w:rsidR="005969C8">
        <w:rPr>
          <w:rFonts w:eastAsiaTheme="minorEastAsia"/>
          <w:lang w:val="en-US"/>
        </w:rPr>
        <w:t>case</w:t>
      </w:r>
      <w:r w:rsidR="00011D46">
        <w:rPr>
          <w:rFonts w:eastAsiaTheme="minorEastAsia"/>
          <w:lang w:val="en-US"/>
        </w:rPr>
        <w:t>s</w:t>
      </w:r>
      <w:r w:rsidR="005969C8">
        <w:rPr>
          <w:rFonts w:eastAsiaTheme="minorEastAsia"/>
          <w:lang w:val="en-US"/>
        </w:rPr>
        <w:t xml:space="preserve">, some potential issues have been identified. Some companies believe that such issues can be addressed by implementation, while some companies believe that RAN2 needs to understand more details of Solution 1 before identifying further RAN2 impact. Therefore, RAN2 will continue to discuss </w:t>
      </w:r>
      <w:r w:rsidR="00011D46">
        <w:rPr>
          <w:rFonts w:eastAsiaTheme="minorEastAsia"/>
          <w:lang w:val="en-US"/>
        </w:rPr>
        <w:t>these other</w:t>
      </w:r>
      <w:r w:rsidR="005969C8">
        <w:rPr>
          <w:rFonts w:eastAsiaTheme="minorEastAsia"/>
          <w:lang w:val="en-US"/>
        </w:rPr>
        <w:t xml:space="preserve"> cases.</w:t>
      </w:r>
    </w:p>
    <w:p w14:paraId="210593A8" w14:textId="77777777" w:rsidR="005969C8" w:rsidRDefault="005969C8" w:rsidP="00E83D24">
      <w:pPr>
        <w:overflowPunct w:val="0"/>
        <w:autoSpaceDE w:val="0"/>
        <w:autoSpaceDN w:val="0"/>
        <w:adjustRightInd w:val="0"/>
        <w:spacing w:after="0" w:line="240" w:lineRule="auto"/>
        <w:jc w:val="both"/>
        <w:textAlignment w:val="baseline"/>
        <w:rPr>
          <w:rFonts w:eastAsiaTheme="minorEastAsia"/>
          <w:lang w:val="en-US"/>
        </w:rPr>
      </w:pPr>
    </w:p>
    <w:p w14:paraId="51EA559E" w14:textId="77777777" w:rsidR="002A4508" w:rsidRPr="00E83D24" w:rsidRDefault="002A4508"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Please comment on Text Proposal 2 wrt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962B29">
        <w:tc>
          <w:tcPr>
            <w:tcW w:w="1885" w:type="dxa"/>
          </w:tcPr>
          <w:p w14:paraId="226711E4" w14:textId="77777777" w:rsidR="00B76097" w:rsidRDefault="00B7609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962B29">
        <w:tc>
          <w:tcPr>
            <w:tcW w:w="1885" w:type="dxa"/>
          </w:tcPr>
          <w:p w14:paraId="584B1CB6" w14:textId="0C632806" w:rsidR="00B76097" w:rsidRDefault="00424AB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uawei, HiSilicon</w:t>
            </w:r>
          </w:p>
        </w:tc>
        <w:tc>
          <w:tcPr>
            <w:tcW w:w="7746" w:type="dxa"/>
          </w:tcPr>
          <w:p w14:paraId="54994895" w14:textId="082E3B4F" w:rsidR="00B76097" w:rsidRDefault="005830E6"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962B29">
        <w:tc>
          <w:tcPr>
            <w:tcW w:w="1885" w:type="dxa"/>
          </w:tcPr>
          <w:p w14:paraId="01AF7429" w14:textId="5516D3E9" w:rsidR="00B76097" w:rsidRDefault="0029218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962B2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962B2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962B2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962B2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962B2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962B2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962B29">
        <w:tc>
          <w:tcPr>
            <w:tcW w:w="1885" w:type="dxa"/>
          </w:tcPr>
          <w:p w14:paraId="7EF1BE18" w14:textId="04FBF813" w:rsidR="005B13A4" w:rsidRDefault="005B13A4"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Ericsson</w:t>
            </w:r>
          </w:p>
        </w:tc>
        <w:tc>
          <w:tcPr>
            <w:tcW w:w="7746" w:type="dxa"/>
          </w:tcPr>
          <w:p w14:paraId="1B169422" w14:textId="02212361" w:rsidR="005B13A4" w:rsidRPr="005B13A4" w:rsidRDefault="005B13A4"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962B29">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Pr>
                <w:rFonts w:eastAsiaTheme="minorEastAsia" w:hint="eastAsia"/>
                <w:lang w:val="en-US" w:eastAsia="zh-CN"/>
              </w:rPr>
              <w:t>T</w:t>
            </w:r>
            <w:r>
              <w:rPr>
                <w:rFonts w:eastAsiaTheme="minorEastAsia"/>
                <w:lang w:val="en-US" w:eastAsia="zh-CN"/>
              </w:rPr>
              <w:t>he trigger condition is under discussion in RAN3 now. We can consider this is RAN3 scope.</w:t>
            </w:r>
          </w:p>
        </w:tc>
      </w:tr>
      <w:tr w:rsidR="00855848" w14:paraId="462F43D3" w14:textId="77777777" w:rsidTr="00962B29">
        <w:tc>
          <w:tcPr>
            <w:tcW w:w="1885" w:type="dxa"/>
            <w:hideMark/>
          </w:tcPr>
          <w:p w14:paraId="761B1292"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lastRenderedPageBreak/>
              <w:t xml:space="preserve">Samsung </w:t>
            </w:r>
          </w:p>
        </w:tc>
        <w:tc>
          <w:tcPr>
            <w:tcW w:w="7746" w:type="dxa"/>
            <w:hideMark/>
          </w:tcPr>
          <w:p w14:paraId="07A453CB"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We think the condition to release of the withheld RRCReconfiguration is when the IAB MT collocated with DU withholding RRC Reconfiguration msg has successfully completed the migration to the target path. The motivation of the LS is to give the information of TNL configuration a priori. But still completion of migration could have multiple meaning, i.e., RRC complete or F1 configuration complete or just TNL migration completed etc. So we agree that further discussion is needed, and it needs to involve RAN3 (we are not sure the discussion needs only RAN3 though).</w:t>
            </w:r>
          </w:p>
        </w:tc>
      </w:tr>
      <w:tr w:rsidR="008E3A31" w14:paraId="14A890D8" w14:textId="77777777" w:rsidTr="00962B29">
        <w:tc>
          <w:tcPr>
            <w:tcW w:w="1885" w:type="dxa"/>
          </w:tcPr>
          <w:p w14:paraId="0555CB0C" w14:textId="46D6AD34"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Intel</w:t>
            </w:r>
          </w:p>
        </w:tc>
        <w:tc>
          <w:tcPr>
            <w:tcW w:w="7746" w:type="dxa"/>
          </w:tcPr>
          <w:p w14:paraId="475B4D12" w14:textId="3166DF2F"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“release of withheld RRC Reconfiguration” is </w:t>
            </w:r>
            <w:r w:rsidRPr="257D51DC">
              <w:rPr>
                <w:rFonts w:eastAsiaTheme="minorEastAsia"/>
                <w:lang w:val="en-US" w:eastAsia="zh-CN"/>
              </w:rPr>
              <w:t>confusing.</w:t>
            </w:r>
            <w:r>
              <w:rPr>
                <w:rFonts w:eastAsiaTheme="minorEastAsia"/>
                <w:lang w:val="en-US" w:eastAsia="zh-CN"/>
              </w:rPr>
              <w:t xml:space="preserve"> If this refers to parent IAB-node transfer the withheld </w:t>
            </w:r>
            <w:r w:rsidRPr="000C2008">
              <w:rPr>
                <w:rFonts w:eastAsiaTheme="minorEastAsia"/>
                <w:i/>
                <w:iCs/>
                <w:lang w:val="en-US" w:eastAsia="zh-CN"/>
              </w:rPr>
              <w:t>RRCReconfiguration</w:t>
            </w:r>
            <w:r>
              <w:rPr>
                <w:rFonts w:eastAsiaTheme="minorEastAsia"/>
                <w:lang w:val="en-US" w:eastAsia="zh-CN"/>
              </w:rPr>
              <w:t xml:space="preserve"> message to its child IAB-MT, we </w:t>
            </w:r>
            <w:r w:rsidRPr="257D51DC">
              <w:rPr>
                <w:rFonts w:eastAsiaTheme="minorEastAsia"/>
                <w:lang w:val="en-US" w:eastAsia="zh-CN"/>
              </w:rPr>
              <w:t xml:space="preserve">could </w:t>
            </w:r>
            <w:r>
              <w:rPr>
                <w:rFonts w:eastAsiaTheme="minorEastAsia"/>
                <w:lang w:val="en-US" w:eastAsia="zh-CN"/>
              </w:rPr>
              <w:t>use “forward/send” instead.</w:t>
            </w:r>
          </w:p>
        </w:tc>
      </w:tr>
      <w:tr w:rsidR="00F545FE" w14:paraId="621E7B7C" w14:textId="77777777" w:rsidTr="00962B29">
        <w:tc>
          <w:tcPr>
            <w:tcW w:w="1885" w:type="dxa"/>
          </w:tcPr>
          <w:p w14:paraId="5595A6DF" w14:textId="3B9200AB" w:rsidR="00F545FE" w:rsidRDefault="00F545FE"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AT&amp;T</w:t>
            </w:r>
          </w:p>
        </w:tc>
        <w:tc>
          <w:tcPr>
            <w:tcW w:w="7746" w:type="dxa"/>
          </w:tcPr>
          <w:p w14:paraId="692F9971" w14:textId="3D6B1525" w:rsidR="00F545FE" w:rsidRDefault="00F545FE" w:rsidP="008E3A31">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7E7FE181" w14:textId="77777777" w:rsidTr="00962B29">
        <w:tc>
          <w:tcPr>
            <w:tcW w:w="1885" w:type="dxa"/>
          </w:tcPr>
          <w:p w14:paraId="1890FB03" w14:textId="1EB17619" w:rsidR="00962B29" w:rsidRDefault="00962B29"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Nokia, Nokia Shanghai Bell</w:t>
            </w:r>
          </w:p>
        </w:tc>
        <w:tc>
          <w:tcPr>
            <w:tcW w:w="7746" w:type="dxa"/>
          </w:tcPr>
          <w:p w14:paraId="6FB1D6F5"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think instead of “release of withheld RRC Reconfig” it would be clearer to say “sending the withheld RRC Reconfig to child MT ”. </w:t>
            </w:r>
            <w:r w:rsidRPr="00962B29">
              <w:rPr>
                <w:rFonts w:eastAsiaTheme="minorEastAsia"/>
                <w:sz w:val="22"/>
                <w:szCs w:val="22"/>
                <w:lang w:val="en-US" w:eastAsia="zh-CN"/>
              </w:rPr>
              <w:t> </w:t>
            </w:r>
          </w:p>
          <w:p w14:paraId="14905690"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have some trouble understanding why such triggers are within the scope of RAN3 according to this TP whereas according to TP5 they are within the scope of RAN2. We think the right trigger equally applies to both Solution 1 and 2.</w:t>
            </w:r>
          </w:p>
          <w:p w14:paraId="0CFA6EF8" w14:textId="77777777" w:rsidR="00962B29" w:rsidRDefault="00962B29" w:rsidP="008E3A31">
            <w:pPr>
              <w:overflowPunct w:val="0"/>
              <w:autoSpaceDE w:val="0"/>
              <w:autoSpaceDN w:val="0"/>
              <w:adjustRightInd w:val="0"/>
              <w:spacing w:after="0" w:line="240" w:lineRule="auto"/>
              <w:jc w:val="both"/>
              <w:textAlignment w:val="baseline"/>
              <w:rPr>
                <w:rFonts w:eastAsiaTheme="minorEastAsia"/>
                <w:lang w:val="en-US" w:eastAsia="zh-CN"/>
              </w:rPr>
            </w:pPr>
          </w:p>
        </w:tc>
      </w:tr>
    </w:tbl>
    <w:p w14:paraId="20CF751A" w14:textId="6F7B676D" w:rsidR="00B76097" w:rsidRDefault="00B76097" w:rsidP="00B762DF"/>
    <w:p w14:paraId="6C3BACB8" w14:textId="62A6B415" w:rsidR="00702267" w:rsidRPr="00306194" w:rsidRDefault="00702267" w:rsidP="00B762DF">
      <w:pPr>
        <w:rPr>
          <w:b/>
          <w:bCs/>
        </w:rPr>
      </w:pPr>
      <w:r w:rsidRPr="00306194">
        <w:rPr>
          <w:b/>
          <w:bCs/>
        </w:rPr>
        <w:t>Summary:</w:t>
      </w:r>
    </w:p>
    <w:p w14:paraId="30577A8C" w14:textId="19018CC7" w:rsidR="00702267" w:rsidRDefault="00702267" w:rsidP="00B762DF">
      <w:r>
        <w:t>Company comments indicate concern with the use of the word “release”. As suggested by some companies, it may be better to use the wor</w:t>
      </w:r>
      <w:r w:rsidR="00C93D07">
        <w:t>d</w:t>
      </w:r>
      <w:r>
        <w:t xml:space="preserve"> “forward” instead of “release” to make it clearer. Regarding the part of TP related to </w:t>
      </w:r>
      <w:r w:rsidR="0018181F">
        <w:t xml:space="preserve">trigger conditions for Solution 1 being within the </w:t>
      </w:r>
      <w:r>
        <w:t xml:space="preserve">scope of RAN3, moderator agrees </w:t>
      </w:r>
      <w:r w:rsidR="0018181F">
        <w:t xml:space="preserve">that the TP about trigger conditions should be made more generic and applicable to both solutions because both solutions need some additional discussion about trigger conditions. </w:t>
      </w:r>
    </w:p>
    <w:p w14:paraId="3125546B" w14:textId="77777777" w:rsidR="00306194" w:rsidRDefault="00306194"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Please comment on Text Proposal 3 wrt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962B29">
        <w:tc>
          <w:tcPr>
            <w:tcW w:w="1885" w:type="dxa"/>
          </w:tcPr>
          <w:p w14:paraId="6721B568" w14:textId="77777777" w:rsidR="008525AF" w:rsidRDefault="008525A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339345F" w14:textId="77777777" w:rsidR="008525AF" w:rsidRDefault="008525A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962B29">
        <w:tc>
          <w:tcPr>
            <w:tcW w:w="1885" w:type="dxa"/>
          </w:tcPr>
          <w:p w14:paraId="1202CB40" w14:textId="4E3003F2" w:rsidR="008525AF"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704815CF" w14:textId="7216A64B" w:rsidR="008525AF"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gain, we should not conclude that there is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962B2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962B2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prefer to have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962B2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prepose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Reconfig arrives, while the buffered RRC Reconfig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962B2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962B2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lastRenderedPageBreak/>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962B2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962B29">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962B29">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r w:rsidR="00855848" w14:paraId="22CABFC0" w14:textId="77777777" w:rsidTr="00962B29">
        <w:tc>
          <w:tcPr>
            <w:tcW w:w="1885" w:type="dxa"/>
            <w:hideMark/>
          </w:tcPr>
          <w:p w14:paraId="70930627"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535FF1C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This additional aspects involve the RRC message, so the discussion on sol1 is anyway necessary to involve RAN2. But agree with that once RAN3 fianlized the solution.</w:t>
            </w:r>
          </w:p>
        </w:tc>
      </w:tr>
      <w:tr w:rsidR="003A7CB9" w14:paraId="42A54490" w14:textId="77777777" w:rsidTr="00962B29">
        <w:tc>
          <w:tcPr>
            <w:tcW w:w="1885" w:type="dxa"/>
          </w:tcPr>
          <w:p w14:paraId="49CED57F" w14:textId="6FA3B288"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1EE141C7" w14:textId="760506CF"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We think there’s a RAN2 impact when IAB-node migration is failed, which we may need to indicate to RAN3. See our comment in Q1. </w:t>
            </w:r>
          </w:p>
        </w:tc>
      </w:tr>
      <w:tr w:rsidR="00F545FE" w14:paraId="58CC7078" w14:textId="77777777" w:rsidTr="00962B29">
        <w:tc>
          <w:tcPr>
            <w:tcW w:w="1885" w:type="dxa"/>
          </w:tcPr>
          <w:p w14:paraId="0A5B7FCC" w14:textId="1771B275" w:rsidR="00F545FE" w:rsidRDefault="00F545FE"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73427D43" w14:textId="1E58C9D5" w:rsidR="00F545FE" w:rsidRDefault="00F545FE" w:rsidP="003A7CB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68799C60" w14:textId="77777777" w:rsidTr="00962B29">
        <w:tc>
          <w:tcPr>
            <w:tcW w:w="1885" w:type="dxa"/>
          </w:tcPr>
          <w:p w14:paraId="2E3F2E24" w14:textId="13B824E6" w:rsidR="00962B29" w:rsidRDefault="00962B2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w:t>
            </w:r>
            <w:r>
              <w:rPr>
                <w:rFonts w:eastAsia="Malgun Gothic"/>
                <w:lang w:eastAsia="ko-KR"/>
              </w:rPr>
              <w:t>okia, Nokia Shanghai Bell</w:t>
            </w:r>
          </w:p>
        </w:tc>
        <w:tc>
          <w:tcPr>
            <w:tcW w:w="7746" w:type="dxa"/>
          </w:tcPr>
          <w:p w14:paraId="76AE5F51"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r w:rsidRPr="00962B29">
              <w:rPr>
                <w:rFonts w:eastAsia="Malgun Gothic"/>
                <w:lang w:eastAsia="ko-KR"/>
              </w:rPr>
              <w:t>We think TP3 shouldn</w:t>
            </w:r>
            <w:r w:rsidRPr="00962B29">
              <w:rPr>
                <w:rFonts w:eastAsia="Malgun Gothic" w:hint="eastAsia"/>
                <w:lang w:eastAsia="ko-KR"/>
              </w:rPr>
              <w:t>’</w:t>
            </w:r>
            <w:r w:rsidRPr="00962B29">
              <w:rPr>
                <w:rFonts w:eastAsia="Malgun Gothic"/>
                <w:lang w:eastAsia="ko-KR"/>
              </w:rPr>
              <w:t>t imply RAN2  to potential issues identified and encourage RAN3 to do the down-selection before reaching a conclusion in RAN2 on how significant the impacts are</w:t>
            </w:r>
            <w:r w:rsidRPr="00962B29">
              <w:rPr>
                <w:rFonts w:eastAsia="Malgun Gothic" w:hint="eastAsia"/>
                <w:lang w:eastAsia="ko-KR"/>
              </w:rPr>
              <w:t>.</w:t>
            </w:r>
            <w:r w:rsidRPr="00962B29">
              <w:rPr>
                <w:rFonts w:eastAsia="Malgun Gothic" w:hint="eastAsia"/>
                <w:lang w:eastAsia="ko-KR"/>
              </w:rPr>
              <w:t>”</w:t>
            </w:r>
            <w:r w:rsidRPr="00962B29">
              <w:rPr>
                <w:rFonts w:eastAsia="Malgun Gothic" w:hint="eastAsia"/>
                <w:lang w:eastAsia="ko-KR"/>
              </w:rPr>
              <w:t> </w:t>
            </w:r>
            <w:r w:rsidRPr="00962B29">
              <w:rPr>
                <w:rFonts w:eastAsia="Malgun Gothic"/>
                <w:lang w:eastAsia="ko-KR"/>
              </w:rPr>
              <w:t> contradicts with TP1. Without knowing what the potential additional aspects are,</w:t>
            </w:r>
            <w:r w:rsidRPr="00962B29">
              <w:rPr>
                <w:rFonts w:eastAsia="Malgun Gothic" w:hint="eastAsia"/>
                <w:lang w:eastAsia="ko-KR"/>
              </w:rPr>
              <w:t> </w:t>
            </w:r>
            <w:r w:rsidRPr="00962B29">
              <w:rPr>
                <w:rFonts w:eastAsia="Malgun Gothic"/>
                <w:lang w:eastAsia="ko-KR"/>
              </w:rPr>
              <w:t>its</w:t>
            </w:r>
            <w:r w:rsidRPr="00962B29">
              <w:rPr>
                <w:rFonts w:eastAsia="Malgun Gothic" w:hint="eastAsia"/>
                <w:lang w:eastAsia="ko-KR"/>
              </w:rPr>
              <w:t> </w:t>
            </w:r>
            <w:r w:rsidRPr="00962B29">
              <w:rPr>
                <w:rFonts w:eastAsia="Malgun Gothic"/>
                <w:lang w:eastAsia="ko-KR"/>
              </w:rPr>
              <w:t>either better to wait for RAN3 progress or let RAN2 to analyze.</w:t>
            </w:r>
            <w:r w:rsidRPr="00962B29">
              <w:rPr>
                <w:rFonts w:eastAsia="Malgun Gothic" w:hint="eastAsia"/>
                <w:lang w:eastAsia="ko-KR"/>
              </w:rPr>
              <w:t>  </w:t>
            </w:r>
            <w:r w:rsidRPr="00962B29">
              <w:rPr>
                <w:rFonts w:eastAsia="Malgun Gothic" w:hint="eastAsia"/>
                <w:lang w:val="en-US" w:eastAsia="ko-KR"/>
              </w:rPr>
              <w:t> </w:t>
            </w:r>
          </w:p>
          <w:p w14:paraId="1A8BAF79"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strike/>
                <w:lang w:val="en-US" w:eastAsia="ko-KR"/>
              </w:rPr>
            </w:pPr>
            <w:r w:rsidRPr="00962B29">
              <w:rPr>
                <w:rFonts w:eastAsia="Malgun Gothic"/>
                <w:strike/>
                <w:lang w:val="en-US" w:eastAsia="ko-KR"/>
              </w:rPr>
              <w:t>Since further details of Solution 1 are FFS, it is not clear whether such discussions will identify any further RAN2 impact. However, this can be discussed in RAN2, if needed, once RAN3 has finalized the solution for reduction of service interruption for intra-donor migration. </w:t>
            </w:r>
          </w:p>
          <w:p w14:paraId="48D9D97E"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p>
        </w:tc>
      </w:tr>
    </w:tbl>
    <w:p w14:paraId="75E8637A" w14:textId="13FC1B3B" w:rsidR="00306194" w:rsidRDefault="00306194" w:rsidP="00306194"/>
    <w:p w14:paraId="49AD7183" w14:textId="29C3701C" w:rsidR="00306194" w:rsidRPr="00960034" w:rsidRDefault="00306194" w:rsidP="00306194">
      <w:pPr>
        <w:rPr>
          <w:b/>
          <w:bCs/>
        </w:rPr>
      </w:pPr>
      <w:r w:rsidRPr="00960034">
        <w:rPr>
          <w:b/>
          <w:bCs/>
        </w:rPr>
        <w:t>Summary:</w:t>
      </w:r>
    </w:p>
    <w:p w14:paraId="16E6168F" w14:textId="0BF4E831" w:rsidR="00306194" w:rsidRPr="00306194" w:rsidRDefault="00306194" w:rsidP="00306194">
      <w:r>
        <w:t xml:space="preserve">Please see summary </w:t>
      </w:r>
      <w:r w:rsidR="00960034">
        <w:t xml:space="preserve">for Question 1. As </w:t>
      </w:r>
      <w:r w:rsidR="006B19CA">
        <w:t>discussed</w:t>
      </w:r>
      <w:r w:rsidR="00960034">
        <w:t xml:space="preserve"> there, any potential issues for Solution 1 may be mainly related to</w:t>
      </w:r>
      <w:r w:rsidR="00BD7C6C">
        <w:t xml:space="preserve"> cases other than the success case</w:t>
      </w:r>
      <w:r w:rsidR="004B06AE">
        <w:t>. T</w:t>
      </w:r>
      <w:r w:rsidR="00960034">
        <w:t xml:space="preserve">he </w:t>
      </w:r>
      <w:r w:rsidR="00BD7C6C">
        <w:t>re</w:t>
      </w:r>
      <w:r w:rsidR="00960034">
        <w:t xml:space="preserve">ply LS can </w:t>
      </w:r>
      <w:r w:rsidR="004B06AE">
        <w:t xml:space="preserve">articulate this and state that </w:t>
      </w:r>
      <w:r w:rsidR="00960034">
        <w:t xml:space="preserve">RAN2 </w:t>
      </w:r>
      <w:r w:rsidR="004B06AE">
        <w:t xml:space="preserve">will continue to discuss and </w:t>
      </w:r>
      <w:r w:rsidR="00960034">
        <w:t xml:space="preserve">identify any potential </w:t>
      </w:r>
      <w:r w:rsidR="006B19CA">
        <w:t xml:space="preserve">RAN2 </w:t>
      </w:r>
      <w:r w:rsidR="00960034">
        <w:t>impact</w:t>
      </w:r>
      <w:r w:rsidR="004B06AE">
        <w:t xml:space="preserve"> for </w:t>
      </w:r>
      <w:r w:rsidR="00113310">
        <w:t>such</w:t>
      </w:r>
      <w:r w:rsidR="004B06AE">
        <w:t xml:space="preserve"> case</w:t>
      </w:r>
      <w:r w:rsidR="00113310">
        <w:t>s</w:t>
      </w:r>
      <w:r w:rsidR="00960034">
        <w:t>. Note that based on company contributions and comments in this discussion</w:t>
      </w:r>
      <w:r w:rsidR="00926020">
        <w:t>,</w:t>
      </w:r>
      <w:r w:rsidR="00960034">
        <w:t xml:space="preserve"> </w:t>
      </w:r>
      <w:r w:rsidR="006B19CA">
        <w:t xml:space="preserve">currently </w:t>
      </w:r>
      <w:r w:rsidR="00960034">
        <w:t xml:space="preserve">there does not appear to be consensus within RAN2 about </w:t>
      </w:r>
      <w:r w:rsidR="00353CBD">
        <w:t>whether or not there is RAN2 impact for case</w:t>
      </w:r>
      <w:r w:rsidR="00113310">
        <w:t>s other than the success case</w:t>
      </w:r>
      <w:r w:rsidR="00960034">
        <w:t xml:space="preserve">. </w:t>
      </w:r>
    </w:p>
    <w:p w14:paraId="1C594E38" w14:textId="77777777" w:rsidR="00306194" w:rsidRPr="00306194" w:rsidRDefault="00306194" w:rsidP="00306194"/>
    <w:p w14:paraId="5979F1E0" w14:textId="572D181D" w:rsidR="00166829" w:rsidRDefault="00166829" w:rsidP="00306194">
      <w:pPr>
        <w:pStyle w:val="Heading1"/>
        <w:pBdr>
          <w:top w:val="single" w:sz="12" w:space="0" w:color="auto"/>
        </w:pBdr>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t>Contribution [2] identifie</w:t>
      </w:r>
      <w:r w:rsidR="00D02BC9">
        <w:t>d</w:t>
      </w:r>
      <w:r>
        <w:t xml:space="preserve"> the following RAN</w:t>
      </w:r>
      <w:r w:rsidR="00D02BC9">
        <w:t>2</w:t>
      </w:r>
      <w:r>
        <w:t xml:space="preserve"> impact for Solution 2: i) </w:t>
      </w:r>
      <w:r w:rsidRPr="002C61D5">
        <w:t>In RRC specification, a deactivation indication should be added in RRCReconfiguration for TNL migration</w:t>
      </w:r>
      <w:r>
        <w:t xml:space="preserve">; ii) </w:t>
      </w:r>
      <w:r w:rsidRPr="002C61D5">
        <w:t>In BAP specification, the preconfigured RRCReconfiguration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r w:rsidR="00593D68">
        <w:t xml:space="preserve">i)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t>Contribution [5] identifie</w:t>
      </w:r>
      <w:r w:rsidR="00D02BC9">
        <w:t>d</w:t>
      </w:r>
      <w:r>
        <w:t xml:space="preserve"> the following RAN2 impact for Solution 2</w:t>
      </w:r>
      <w:r w:rsidR="00265816">
        <w:t>:</w:t>
      </w:r>
      <w:r>
        <w:t xml:space="preserve"> </w:t>
      </w:r>
      <w:r w:rsidR="00593D68">
        <w:t xml:space="preserve">i) </w:t>
      </w:r>
      <w:r>
        <w:t>D</w:t>
      </w:r>
      <w:r w:rsidRPr="008F7E70">
        <w:t>efine a new message/indication to indicate the successful RACH procedure of the migrating IAB-node, so that the child IAB-node can execute the stored RRCReconfiguration message</w:t>
      </w:r>
      <w:r w:rsidR="00593D68">
        <w:t xml:space="preserve">; ii) </w:t>
      </w:r>
      <w:r w:rsidRPr="008F7E70">
        <w:t>For IAB node configured with a CHO target, additional DL RRC MESSAGE TRANSFER messages carrying the corresponding conditional RRCReconfiguration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a new indication should be introduced to indicate child MT to execute the buffered RRCReconfiguration message and the detailed signaling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lastRenderedPageBreak/>
        <w:t xml:space="preserve">Contribution [10] </w:t>
      </w:r>
      <w:r w:rsidR="00593D68">
        <w:t>identifie</w:t>
      </w:r>
      <w:r w:rsidR="003D1C2C">
        <w:t>d</w:t>
      </w:r>
      <w:r w:rsidR="00593D68">
        <w:t xml:space="preserve"> the following RAN2 impact for Solution 2</w:t>
      </w:r>
      <w:r w:rsidR="00265816">
        <w:t>:</w:t>
      </w:r>
      <w:r w:rsidR="00593D68">
        <w:t xml:space="preserve"> </w:t>
      </w:r>
      <w:r w:rsidR="00E152FA">
        <w:t xml:space="preserve">i) </w:t>
      </w:r>
      <w:r w:rsidR="00E152FA" w:rsidRPr="00E152FA">
        <w:t>Indication in RRCReconfiguration signal to store the received RRCReconfiguration, or introduction of a new dedicated message for it</w:t>
      </w:r>
      <w:r w:rsidR="00E152FA">
        <w:t>; ii)  I</w:t>
      </w:r>
      <w:r w:rsidR="00E152FA" w:rsidRPr="00E152FA">
        <w:t>ntroduction in TS 38.331 of a new variable where to store the received RRCReconfiguration</w:t>
      </w:r>
      <w:r w:rsidR="00E152FA">
        <w:t xml:space="preserve">; iii) </w:t>
      </w:r>
      <w:r w:rsidR="00E152FA" w:rsidRPr="00E152FA">
        <w:t>Procedures for the child IAB node to discard the stored RRCReconfiguration in case the parent IAB node fails the migration (e.g., new action upon reception of BH RLF indication)</w:t>
      </w:r>
      <w:r w:rsidR="00E152FA">
        <w:t xml:space="preserve">; iv) </w:t>
      </w:r>
      <w:r w:rsidR="00E152FA" w:rsidRPr="00E152FA">
        <w:t>New BAP control PDU (sent by the migrated parent IAB-node DU to the descendant IAB-node MT) for the execution of the buffered RRCReconfiguration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n case CU sends a new RRCReconfiguration message to the child node after the buffered RRCReconfiguration message, the new RRCReconfiguration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ndication added to RRCReconfiguration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Definition of new variable to buffer received RRCReconfiguration</w:t>
      </w:r>
    </w:p>
    <w:p w14:paraId="31CFEE31" w14:textId="0C1CCB9A" w:rsidR="00603400" w:rsidRDefault="00603400" w:rsidP="00603400">
      <w:pPr>
        <w:pStyle w:val="ListParagraph"/>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RRCReconfiguration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sent by the migrated parent IAB-node DU to the descendant IAB-node MT for the execution of the buffered RRCReconfiguration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Please comment on Text Proposal 4 wrt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962B29">
        <w:tc>
          <w:tcPr>
            <w:tcW w:w="1885" w:type="dxa"/>
          </w:tcPr>
          <w:p w14:paraId="01ED09F5" w14:textId="77777777" w:rsidR="002F34EC" w:rsidRDefault="002F34EC"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7DA3A62F" w14:textId="77777777" w:rsidR="002F34EC" w:rsidRDefault="002F34EC"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962B29">
        <w:tc>
          <w:tcPr>
            <w:tcW w:w="1885" w:type="dxa"/>
          </w:tcPr>
          <w:p w14:paraId="3D90F016" w14:textId="070B7E54" w:rsidR="002F34EC" w:rsidRDefault="00A9777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25832383" w14:textId="77777777" w:rsidR="002F34EC" w:rsidRDefault="00A9777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G</w:t>
            </w:r>
            <w:r>
              <w:rPr>
                <w:rFonts w:eastAsiaTheme="minorEastAsia"/>
                <w:lang w:val="en-US" w:eastAsia="zh-CN"/>
              </w:rPr>
              <w:t>enerally the impact analysis should be fine. Not sure if the “</w:t>
            </w:r>
            <w:r w:rsidRPr="00A97779">
              <w:rPr>
                <w:rFonts w:eastAsiaTheme="minorEastAsia"/>
                <w:lang w:val="en-US" w:eastAsia="zh-CN"/>
              </w:rPr>
              <w:t>new variable to buffer received RRCReconfiguration</w:t>
            </w:r>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962B29">
        <w:tc>
          <w:tcPr>
            <w:tcW w:w="1885" w:type="dxa"/>
          </w:tcPr>
          <w:p w14:paraId="49A5D401" w14:textId="5F16500E"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962B29">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suggest to delete “</w:t>
            </w:r>
            <w:r>
              <w:rPr>
                <w:b/>
                <w:bCs/>
              </w:rPr>
              <w:t>potentially new BAP control PDU</w:t>
            </w:r>
            <w:r>
              <w:rPr>
                <w:rFonts w:eastAsiaTheme="minorEastAsia"/>
                <w:lang w:val="en-US"/>
              </w:rPr>
              <w:t>” as RAN2 haven’t had enough discussion on how to indicate this.</w:t>
            </w:r>
          </w:p>
        </w:tc>
      </w:tr>
      <w:tr w:rsidR="001624FC" w14:paraId="37163637" w14:textId="77777777" w:rsidTr="00962B29">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962B29">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lastRenderedPageBreak/>
              <w:t>Buffering</w:t>
            </w:r>
            <w:r>
              <w:rPr>
                <w:b/>
                <w:bCs/>
              </w:rPr>
              <w:t xml:space="preserve"> </w:t>
            </w:r>
            <w:r w:rsidRPr="000E33F4">
              <w:rPr>
                <w:b/>
                <w:bCs/>
                <w:dstrike/>
              </w:rPr>
              <w:t>i</w:t>
            </w:r>
            <w:r w:rsidRPr="000E33F4">
              <w:rPr>
                <w:b/>
                <w:bCs/>
                <w:color w:val="FF0000"/>
              </w:rPr>
              <w:t>I</w:t>
            </w:r>
            <w:r>
              <w:rPr>
                <w:b/>
                <w:bCs/>
              </w:rPr>
              <w:t xml:space="preserve">ndication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r>
              <w:rPr>
                <w:b/>
                <w:bCs/>
              </w:rPr>
              <w:t xml:space="preserve">RRCReconfiguration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Definition of new variable to buffer received RRCReconfiguration</w:t>
            </w:r>
          </w:p>
          <w:p w14:paraId="735AA2F7" w14:textId="77777777" w:rsidR="0001339C" w:rsidRPr="008C5AFD" w:rsidRDefault="0001339C" w:rsidP="0001339C">
            <w:pPr>
              <w:pStyle w:val="ListParagraph"/>
              <w:numPr>
                <w:ilvl w:val="1"/>
                <w:numId w:val="29"/>
              </w:numPr>
              <w:jc w:val="both"/>
              <w:rPr>
                <w:b/>
                <w:bCs/>
              </w:rPr>
            </w:pPr>
            <w:r w:rsidRPr="008C5AFD">
              <w:rPr>
                <w:b/>
                <w:bCs/>
              </w:rPr>
              <w:t>Procedures for the child IAB node to discard the buffered RRCReconfiguration</w:t>
            </w:r>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RRCReconfiguration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RRCReconfiguration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962B29">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lastRenderedPageBreak/>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962B29">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962B29">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the execution of the buffered RRCReconfiguration at the child IAB-node MT</w:t>
            </w:r>
          </w:p>
        </w:tc>
      </w:tr>
      <w:tr w:rsidR="0014439F" w14:paraId="7EDB5B03" w14:textId="77777777" w:rsidTr="00962B29">
        <w:tc>
          <w:tcPr>
            <w:tcW w:w="1885" w:type="dxa"/>
          </w:tcPr>
          <w:p w14:paraId="4CE89154" w14:textId="59665D22" w:rsidR="0014439F" w:rsidRDefault="0014439F"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similar to the </w:t>
            </w:r>
            <w:r w:rsidR="00B5434E" w:rsidRPr="00B5434E">
              <w:rPr>
                <w:rFonts w:eastAsia="Malgun Gothic"/>
                <w:lang w:val="en-US" w:eastAsia="ko-KR"/>
              </w:rPr>
              <w:t>VarConditionalReconfig</w:t>
            </w:r>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be the same. So some ASN.1 work may be needed here.</w:t>
            </w:r>
          </w:p>
        </w:tc>
      </w:tr>
      <w:tr w:rsidR="004F1944" w14:paraId="07DA9146" w14:textId="77777777" w:rsidTr="00962B29">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ListParagraph"/>
              <w:numPr>
                <w:ilvl w:val="0"/>
                <w:numId w:val="29"/>
              </w:numPr>
              <w:jc w:val="both"/>
              <w:rPr>
                <w:b/>
                <w:bCs/>
              </w:rPr>
            </w:pPr>
            <w:r>
              <w:rPr>
                <w:b/>
                <w:bCs/>
              </w:rPr>
              <w:t>Impact to RRC specification (38.331):</w:t>
            </w:r>
          </w:p>
          <w:p w14:paraId="727EDC69" w14:textId="7C87F8C7" w:rsidR="004F1944" w:rsidRPr="00AF1284" w:rsidRDefault="004F1944" w:rsidP="00AF1284">
            <w:pPr>
              <w:pStyle w:val="ListParagraph"/>
              <w:numPr>
                <w:ilvl w:val="1"/>
                <w:numId w:val="29"/>
              </w:numPr>
              <w:jc w:val="both"/>
              <w:rPr>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RRCReconfiguration message for TNL migration </w:t>
            </w:r>
            <w:r w:rsidRPr="00EA609D">
              <w:rPr>
                <w:b/>
                <w:bCs/>
                <w:strike/>
              </w:rPr>
              <w:t>or new dedicated message for such indication</w:t>
            </w:r>
          </w:p>
        </w:tc>
      </w:tr>
      <w:tr w:rsidR="00855848" w14:paraId="4EC34BD8" w14:textId="77777777" w:rsidTr="00962B29">
        <w:tc>
          <w:tcPr>
            <w:tcW w:w="1885" w:type="dxa"/>
            <w:hideMark/>
          </w:tcPr>
          <w:p w14:paraId="546E4FBA"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t xml:space="preserve">Samsung </w:t>
            </w:r>
          </w:p>
        </w:tc>
        <w:tc>
          <w:tcPr>
            <w:tcW w:w="7746" w:type="dxa"/>
            <w:hideMark/>
          </w:tcPr>
          <w:p w14:paraId="26F581EA"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msg,to the child node, that will replace the buffered RRCReconfiguration and immediately applied. If the parent node is failed on migration, there is no chance the parent node to send L1/L2 indication to the child node (assuming the condition for indication is parent node’s successful migration complete). So there is no risk that unintended indication triggers the application of RRCReconfiguration buffered. Actually donor always knows the situation of pending RRCReconfiguration msg, and based on this, it can command any RRC msg whenever it want and let UE apply this by giving without buffering indication. </w:t>
            </w:r>
          </w:p>
          <w:p w14:paraId="3385C4B3"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This is also the same as in solution 1, i.e., DU once buffered RRCmsg will replace this with new received RRC msg if this RRC msg is not configured with buffering indication in F1AP msg. And keeping earlier generated RRCReconfiguration may be useful when failure at the parent node is recovered, donor might want to configure the same content as earlier generated RRCReconfiguation.</w:t>
            </w:r>
          </w:p>
          <w:p w14:paraId="2DD7E6F0"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r w:rsidR="00664432" w14:paraId="12010A07" w14:textId="77777777" w:rsidTr="00962B29">
        <w:tc>
          <w:tcPr>
            <w:tcW w:w="1885" w:type="dxa"/>
          </w:tcPr>
          <w:p w14:paraId="3D79E6EF" w14:textId="0B809527" w:rsidR="00664432" w:rsidRDefault="00876964">
            <w:pPr>
              <w:overflowPunct w:val="0"/>
              <w:autoSpaceDE w:val="0"/>
              <w:autoSpaceDN w:val="0"/>
              <w:adjustRightInd w:val="0"/>
              <w:spacing w:after="0" w:line="240" w:lineRule="auto"/>
              <w:jc w:val="both"/>
              <w:textAlignment w:val="baseline"/>
              <w:rPr>
                <w:rFonts w:ascii="BatangChe" w:eastAsia="BatangChe" w:hAnsi="BatangChe" w:cs="BatangChe"/>
                <w:lang w:val="en-US" w:eastAsia="ko-KR"/>
              </w:rPr>
            </w:pPr>
            <w:r w:rsidRPr="00876964">
              <w:rPr>
                <w:rFonts w:eastAsia="Malgun Gothic"/>
                <w:lang w:val="en-US" w:eastAsia="ko-KR"/>
              </w:rPr>
              <w:t>Intel</w:t>
            </w:r>
          </w:p>
        </w:tc>
        <w:tc>
          <w:tcPr>
            <w:tcW w:w="7746" w:type="dxa"/>
          </w:tcPr>
          <w:p w14:paraId="089D34D8" w14:textId="392E4FE5" w:rsidR="00664432" w:rsidRDefault="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AA1C0F" w14:paraId="64E7F4CE" w14:textId="77777777" w:rsidTr="00962B29">
        <w:tc>
          <w:tcPr>
            <w:tcW w:w="1885" w:type="dxa"/>
          </w:tcPr>
          <w:p w14:paraId="43B3EBFF" w14:textId="7DDCA074" w:rsidR="00AA1C0F" w:rsidRPr="00876964"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68717D7C" w14:textId="5F1B6C82" w:rsidR="00AA1C0F"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962B29" w14:paraId="4150642D" w14:textId="77777777" w:rsidTr="00962B29">
        <w:tc>
          <w:tcPr>
            <w:tcW w:w="1885" w:type="dxa"/>
          </w:tcPr>
          <w:p w14:paraId="0E54F8F1" w14:textId="5022C9CF" w:rsidR="00962B29" w:rsidRDefault="00962B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w:t>
            </w:r>
            <w:r>
              <w:rPr>
                <w:rFonts w:eastAsia="Malgun Gothic"/>
                <w:lang w:eastAsia="ko-KR"/>
              </w:rPr>
              <w:t>okia, Nokia Shanghai Bell</w:t>
            </w:r>
          </w:p>
        </w:tc>
        <w:tc>
          <w:tcPr>
            <w:tcW w:w="7746" w:type="dxa"/>
          </w:tcPr>
          <w:p w14:paraId="5346AE94" w14:textId="77777777" w:rsidR="00962B29" w:rsidRDefault="00962B29">
            <w:pPr>
              <w:overflowPunct w:val="0"/>
              <w:autoSpaceDE w:val="0"/>
              <w:autoSpaceDN w:val="0"/>
              <w:adjustRightInd w:val="0"/>
              <w:spacing w:after="0" w:line="240" w:lineRule="auto"/>
              <w:jc w:val="both"/>
              <w:textAlignment w:val="baseline"/>
              <w:rPr>
                <w:rStyle w:val="normaltextrun"/>
                <w:color w:val="000000"/>
                <w:shd w:val="clear" w:color="auto" w:fill="FFFFFF"/>
                <w:lang w:val="en-US"/>
              </w:rPr>
            </w:pPr>
            <w:r>
              <w:rPr>
                <w:rStyle w:val="normaltextrun"/>
                <w:color w:val="000000"/>
                <w:shd w:val="clear" w:color="auto" w:fill="FFFFFF"/>
                <w:lang w:val="en-US"/>
              </w:rPr>
              <w:t>New variable can be matter of detailed modelling</w:t>
            </w:r>
            <w:r>
              <w:rPr>
                <w:rStyle w:val="normaltextrun"/>
                <w:rFonts w:ascii="SimSun" w:hAnsi="SimSun" w:hint="eastAsia"/>
                <w:color w:val="000000"/>
                <w:shd w:val="clear" w:color="auto" w:fill="FFFFFF"/>
                <w:lang w:val="en-US"/>
              </w:rPr>
              <w:t>. </w:t>
            </w:r>
            <w:r>
              <w:rPr>
                <w:rStyle w:val="normaltextrun"/>
                <w:color w:val="000000"/>
                <w:shd w:val="clear" w:color="auto" w:fill="FFFFFF"/>
                <w:lang w:val="en-US"/>
              </w:rPr>
              <w:t>At this stage we can identify the change  more generally that ASN.1 amendment are needed for buffered RRC Reconfiguration.</w:t>
            </w:r>
          </w:p>
          <w:p w14:paraId="3C58D557" w14:textId="670B4909" w:rsidR="00962B29" w:rsidRDefault="00962B29">
            <w:pPr>
              <w:overflowPunct w:val="0"/>
              <w:autoSpaceDE w:val="0"/>
              <w:autoSpaceDN w:val="0"/>
              <w:adjustRightInd w:val="0"/>
              <w:spacing w:after="0" w:line="240" w:lineRule="auto"/>
              <w:jc w:val="both"/>
              <w:textAlignment w:val="baseline"/>
              <w:rPr>
                <w:color w:val="000000"/>
                <w:lang w:eastAsia="ko-KR"/>
              </w:rPr>
            </w:pPr>
            <w:r>
              <w:rPr>
                <w:color w:val="000000"/>
                <w:lang w:eastAsia="ko-KR"/>
              </w:rPr>
              <w:t>But we note additional point may be worth to mention:</w:t>
            </w:r>
          </w:p>
          <w:p w14:paraId="6CDEFB02" w14:textId="7DE4FF4E" w:rsidR="00962B29" w:rsidRPr="00962B29" w:rsidRDefault="00962B29" w:rsidP="00962B29">
            <w:pPr>
              <w:pStyle w:val="ListParagraph"/>
              <w:numPr>
                <w:ilvl w:val="0"/>
                <w:numId w:val="30"/>
              </w:num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Potential security issues related to RRC Reconfiguration execution based  on (unprotected) BAP indication</w:t>
            </w:r>
          </w:p>
        </w:tc>
      </w:tr>
    </w:tbl>
    <w:p w14:paraId="40385092" w14:textId="748BBBF1"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2FB5F501" w14:textId="2FBD8305" w:rsidR="00791846" w:rsidRPr="008B5E32" w:rsidRDefault="00791846" w:rsidP="002F34EC">
      <w:pPr>
        <w:overflowPunct w:val="0"/>
        <w:autoSpaceDE w:val="0"/>
        <w:autoSpaceDN w:val="0"/>
        <w:adjustRightInd w:val="0"/>
        <w:spacing w:after="0" w:line="240" w:lineRule="auto"/>
        <w:jc w:val="both"/>
        <w:textAlignment w:val="baseline"/>
        <w:rPr>
          <w:rFonts w:eastAsiaTheme="minorEastAsia"/>
          <w:b/>
          <w:bCs/>
          <w:lang w:val="en-US"/>
        </w:rPr>
      </w:pPr>
      <w:r w:rsidRPr="008B5E32">
        <w:rPr>
          <w:rFonts w:eastAsiaTheme="minorEastAsia"/>
          <w:b/>
          <w:bCs/>
          <w:lang w:val="en-US"/>
        </w:rPr>
        <w:t>Summary:</w:t>
      </w:r>
    </w:p>
    <w:p w14:paraId="14583501" w14:textId="5BAB9AA4" w:rsidR="00791846" w:rsidRDefault="00791846" w:rsidP="002F34EC">
      <w:pPr>
        <w:overflowPunct w:val="0"/>
        <w:autoSpaceDE w:val="0"/>
        <w:autoSpaceDN w:val="0"/>
        <w:adjustRightInd w:val="0"/>
        <w:spacing w:after="0" w:line="240" w:lineRule="auto"/>
        <w:jc w:val="both"/>
        <w:textAlignment w:val="baseline"/>
        <w:rPr>
          <w:rFonts w:eastAsiaTheme="minorEastAsia"/>
          <w:lang w:val="en-US"/>
        </w:rPr>
      </w:pPr>
    </w:p>
    <w:p w14:paraId="61586B67" w14:textId="5A1B6292" w:rsidR="00791846" w:rsidRDefault="008B5E32"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Draft reply LS will take into consider</w:t>
      </w:r>
      <w:r w:rsidR="00FE0287">
        <w:rPr>
          <w:rFonts w:eastAsiaTheme="minorEastAsia"/>
          <w:lang w:val="en-US"/>
        </w:rPr>
        <w:t>ation</w:t>
      </w:r>
      <w:r>
        <w:rPr>
          <w:rFonts w:eastAsiaTheme="minorEastAsia"/>
          <w:lang w:val="en-US"/>
        </w:rPr>
        <w:t xml:space="preserve"> company comments</w:t>
      </w:r>
      <w:r w:rsidR="00791846">
        <w:rPr>
          <w:rFonts w:eastAsiaTheme="minorEastAsia"/>
          <w:lang w:val="en-US"/>
        </w:rPr>
        <w:t xml:space="preserve">. Companies can comment further on the posted draft reply LS. </w:t>
      </w:r>
    </w:p>
    <w:p w14:paraId="7C4AC66F" w14:textId="6A6B07B5" w:rsidR="00791846" w:rsidRDefault="00791846" w:rsidP="002F34EC">
      <w:pPr>
        <w:overflowPunct w:val="0"/>
        <w:autoSpaceDE w:val="0"/>
        <w:autoSpaceDN w:val="0"/>
        <w:adjustRightInd w:val="0"/>
        <w:spacing w:after="0" w:line="240" w:lineRule="auto"/>
        <w:jc w:val="both"/>
        <w:textAlignment w:val="baseline"/>
        <w:rPr>
          <w:rFonts w:eastAsiaTheme="minorEastAsia"/>
          <w:lang w:val="en-US"/>
        </w:rPr>
      </w:pPr>
    </w:p>
    <w:p w14:paraId="27138D83" w14:textId="34289D80" w:rsidR="008B5E32" w:rsidRDefault="008B5E32" w:rsidP="002F34EC">
      <w:pPr>
        <w:overflowPunct w:val="0"/>
        <w:autoSpaceDE w:val="0"/>
        <w:autoSpaceDN w:val="0"/>
        <w:adjustRightInd w:val="0"/>
        <w:spacing w:after="0" w:line="240" w:lineRule="auto"/>
        <w:jc w:val="both"/>
        <w:textAlignment w:val="baseline"/>
        <w:rPr>
          <w:rFonts w:eastAsiaTheme="minorEastAsia"/>
          <w:lang w:val="en-US"/>
        </w:rPr>
      </w:pPr>
    </w:p>
    <w:p w14:paraId="152F1936" w14:textId="77777777" w:rsidR="008B5E32" w:rsidRDefault="008B5E32"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wrt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962B29">
        <w:tc>
          <w:tcPr>
            <w:tcW w:w="1885" w:type="dxa"/>
          </w:tcPr>
          <w:p w14:paraId="5927D812" w14:textId="77777777" w:rsidR="00005999" w:rsidRDefault="0000599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962B29">
        <w:tc>
          <w:tcPr>
            <w:tcW w:w="1885" w:type="dxa"/>
          </w:tcPr>
          <w:p w14:paraId="609F10BF" w14:textId="44EE83C5" w:rsidR="00005999"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5152659F" w14:textId="49AC30C9" w:rsidR="00005999"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962B29">
        <w:tc>
          <w:tcPr>
            <w:tcW w:w="1885" w:type="dxa"/>
          </w:tcPr>
          <w:p w14:paraId="7604A1F9" w14:textId="4DA893AC"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962B29">
        <w:tc>
          <w:tcPr>
            <w:tcW w:w="1885" w:type="dxa"/>
          </w:tcPr>
          <w:p w14:paraId="4324451D" w14:textId="042296FE"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962B29">
        <w:tc>
          <w:tcPr>
            <w:tcW w:w="1885" w:type="dxa"/>
          </w:tcPr>
          <w:p w14:paraId="4EA5AA23" w14:textId="478CA191" w:rsidR="00CC4211" w:rsidRDefault="00CC4211"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962B29">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We don’t understand this proposal. The RRC Reconfiguration is buffered by the IAB-MT. The execution of this RRC Reconfiguration is triggered by the L1/L2 signaling messages. What is it that needs to be discussed?</w:t>
            </w:r>
          </w:p>
        </w:tc>
      </w:tr>
      <w:tr w:rsidR="00D03A9E" w14:paraId="47A61640" w14:textId="77777777" w:rsidTr="00962B29">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We have similar question with Huawei, InterDigital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962B29">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962B29">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962B29">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962B29">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r w:rsidR="00855848" w14:paraId="36E488DD" w14:textId="77777777" w:rsidTr="00962B29">
        <w:tc>
          <w:tcPr>
            <w:tcW w:w="1885" w:type="dxa"/>
            <w:hideMark/>
          </w:tcPr>
          <w:p w14:paraId="1737B3B2" w14:textId="77777777" w:rsidR="00855848" w:rsidRDefault="00855848">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EF56305"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r w:rsidR="00876964" w14:paraId="76D7DF5C" w14:textId="77777777" w:rsidTr="00962B29">
        <w:tc>
          <w:tcPr>
            <w:tcW w:w="1885" w:type="dxa"/>
          </w:tcPr>
          <w:p w14:paraId="0408ADDF" w14:textId="5D1D58CC"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5C02EA00" w14:textId="400CEF89" w:rsidR="00876964" w:rsidRPr="00962B29" w:rsidRDefault="00876964" w:rsidP="00876964">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Further clarification is needed for “release of buffered RRC Reconfiguration”, does it mean UE will discard the buffered RRC Reconfiguration message?</w:t>
            </w:r>
          </w:p>
        </w:tc>
      </w:tr>
      <w:tr w:rsidR="00AA1C0F" w14:paraId="0413FA87" w14:textId="77777777" w:rsidTr="00962B29">
        <w:tc>
          <w:tcPr>
            <w:tcW w:w="1885" w:type="dxa"/>
          </w:tcPr>
          <w:p w14:paraId="3AEB0E2A" w14:textId="4184F1F5" w:rsidR="00AA1C0F" w:rsidRDefault="00962B29"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Nokia, Nokia Shanghai Bell</w:t>
            </w:r>
          </w:p>
        </w:tc>
        <w:tc>
          <w:tcPr>
            <w:tcW w:w="7746" w:type="dxa"/>
          </w:tcPr>
          <w:p w14:paraId="668B2B96" w14:textId="781E3B7C" w:rsidR="00AA1C0F" w:rsidRDefault="00962B29" w:rsidP="00876964">
            <w:pPr>
              <w:overflowPunct w:val="0"/>
              <w:autoSpaceDE w:val="0"/>
              <w:autoSpaceDN w:val="0"/>
              <w:adjustRightInd w:val="0"/>
              <w:spacing w:after="0" w:line="240" w:lineRule="auto"/>
              <w:jc w:val="both"/>
              <w:textAlignment w:val="baseline"/>
              <w:rPr>
                <w:rFonts w:eastAsiaTheme="minorEastAsia"/>
                <w:lang w:eastAsia="zh-CN"/>
              </w:rPr>
            </w:pPr>
            <w:r w:rsidRPr="00962B29">
              <w:rPr>
                <w:rFonts w:eastAsiaTheme="minorEastAsia"/>
                <w:lang w:eastAsia="zh-CN"/>
              </w:rPr>
              <w:t>We think instead of “release of buffered RRC Reconfig at descendant MT” it would be clearer to say “sending of execution indication to child MT</w:t>
            </w:r>
            <w:r w:rsidRPr="00962B29">
              <w:rPr>
                <w:rFonts w:eastAsiaTheme="minorEastAsia" w:hint="eastAsia"/>
                <w:lang w:eastAsia="zh-CN"/>
              </w:rPr>
              <w:t>”</w:t>
            </w:r>
            <w:r w:rsidRPr="00962B29">
              <w:rPr>
                <w:rFonts w:eastAsiaTheme="minorEastAsia" w:hint="eastAsia"/>
                <w:lang w:eastAsia="zh-CN"/>
              </w:rPr>
              <w:t>. </w:t>
            </w:r>
            <w:r w:rsidRPr="00962B29">
              <w:rPr>
                <w:rFonts w:eastAsiaTheme="minorEastAsia"/>
                <w:lang w:eastAsia="zh-CN"/>
              </w:rPr>
              <w:t>Contrary to this TP, we think the trigger condition needs to be discussed before selecting either of Solutions 1 and 2 since it determines whether, if any, reduction of service interruption is achievable. </w:t>
            </w:r>
          </w:p>
        </w:tc>
      </w:tr>
    </w:tbl>
    <w:p w14:paraId="13E6CEA6" w14:textId="051B4811" w:rsidR="00005999" w:rsidRDefault="00855848" w:rsidP="00855848">
      <w:pPr>
        <w:tabs>
          <w:tab w:val="left" w:pos="588"/>
        </w:tabs>
      </w:pPr>
      <w:r>
        <w:tab/>
      </w:r>
    </w:p>
    <w:p w14:paraId="02A85C57" w14:textId="4B8DECDA" w:rsidR="008B5E32" w:rsidRPr="00050F35" w:rsidRDefault="008B5E32" w:rsidP="00855848">
      <w:pPr>
        <w:tabs>
          <w:tab w:val="left" w:pos="588"/>
        </w:tabs>
        <w:rPr>
          <w:b/>
          <w:bCs/>
        </w:rPr>
      </w:pPr>
      <w:r w:rsidRPr="00050F35">
        <w:rPr>
          <w:b/>
          <w:bCs/>
        </w:rPr>
        <w:t>Summary:</w:t>
      </w:r>
    </w:p>
    <w:p w14:paraId="1EC432CD" w14:textId="242A15A5" w:rsidR="008B5E32" w:rsidRDefault="008B5E32" w:rsidP="00855848">
      <w:pPr>
        <w:tabs>
          <w:tab w:val="left" w:pos="588"/>
        </w:tabs>
      </w:pPr>
      <w:r>
        <w:t xml:space="preserve">Moderator agrees that the term “execution” is probably more appropriate to use instead of “release” for Solution 2. Furthermore, as stated in summary for Question 2, trigger conditions need to be discussed for both Solutions 1 and 2. Draft reply LS will attempt to reflect this. Companies can comment on posted draft Reply LS. </w:t>
      </w:r>
    </w:p>
    <w:p w14:paraId="7D8D19A7" w14:textId="77777777" w:rsidR="00050F35" w:rsidRDefault="00050F35" w:rsidP="00855848">
      <w:pPr>
        <w:tabs>
          <w:tab w:val="left" w:pos="588"/>
        </w:tabs>
      </w:pPr>
    </w:p>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wrt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962B29">
        <w:tc>
          <w:tcPr>
            <w:tcW w:w="1885" w:type="dxa"/>
          </w:tcPr>
          <w:p w14:paraId="37718624" w14:textId="77777777" w:rsidR="000D470B" w:rsidRDefault="000D470B"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962B29">
        <w:tc>
          <w:tcPr>
            <w:tcW w:w="1885" w:type="dxa"/>
          </w:tcPr>
          <w:p w14:paraId="4FF72D7E" w14:textId="471A8028" w:rsidR="000D470B"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Similar to solution 1, we need to discuss these issues first, and see if there are real impacts to RAN2/RAN3. Not useful to just inform RAN3 that there may be additional impacts to be discussed</w:t>
            </w:r>
          </w:p>
        </w:tc>
      </w:tr>
      <w:tr w:rsidR="00292189" w14:paraId="7AD439AE" w14:textId="77777777" w:rsidTr="00962B29">
        <w:tc>
          <w:tcPr>
            <w:tcW w:w="1885" w:type="dxa"/>
          </w:tcPr>
          <w:p w14:paraId="252DE1A6" w14:textId="515CAD90"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962B29">
        <w:tc>
          <w:tcPr>
            <w:tcW w:w="1885" w:type="dxa"/>
          </w:tcPr>
          <w:p w14:paraId="3AB5B36F" w14:textId="0E0D9303"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962B29">
        <w:tc>
          <w:tcPr>
            <w:tcW w:w="1885" w:type="dxa"/>
          </w:tcPr>
          <w:p w14:paraId="1619E8FB" w14:textId="4D93C71D"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Interdigital</w:t>
            </w:r>
          </w:p>
        </w:tc>
        <w:tc>
          <w:tcPr>
            <w:tcW w:w="7746" w:type="dxa"/>
          </w:tcPr>
          <w:p w14:paraId="6699D214" w14:textId="1C4AC156"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962B29">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962B29">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signalling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962B29">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962B29">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962B29">
        <w:tc>
          <w:tcPr>
            <w:tcW w:w="1885" w:type="dxa"/>
          </w:tcPr>
          <w:p w14:paraId="79E6D6DE" w14:textId="1FEB2E5A" w:rsidR="00755022" w:rsidRDefault="00755022"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962B29">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855848" w14:paraId="54E814A9" w14:textId="77777777" w:rsidTr="00962B29">
        <w:tc>
          <w:tcPr>
            <w:tcW w:w="1885" w:type="dxa"/>
            <w:hideMark/>
          </w:tcPr>
          <w:p w14:paraId="7F5F906E"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1034CEA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We also have the similar view that such details are necessary on RAN3’s table. And we think this buffered RRCReconfiguration behavior is independent with the CHO. CHO has corresponding condition and that is associated to the measurement configuration, while this has dedicated indication from parent node. Because of this, as Ericsson said, buffered RRCReconfiguratoin and CHO will have different signaling structure, and different variable.</w:t>
            </w:r>
          </w:p>
        </w:tc>
      </w:tr>
      <w:tr w:rsidR="00460505" w14:paraId="7E1E1793" w14:textId="77777777" w:rsidTr="00962B29">
        <w:tc>
          <w:tcPr>
            <w:tcW w:w="1885" w:type="dxa"/>
          </w:tcPr>
          <w:p w14:paraId="044BC81C" w14:textId="22AEE4C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2A8B604A"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think at least “the case of IAB-node migration failure” has RAN2 impact, as RAN2 need to define under which condition IAB-MT can ignore the </w:t>
            </w:r>
            <w:r w:rsidRPr="2D757CCA">
              <w:rPr>
                <w:rFonts w:eastAsiaTheme="minorEastAsia"/>
                <w:lang w:val="en-US"/>
              </w:rPr>
              <w:t xml:space="preserve">configuration in the </w:t>
            </w:r>
            <w:r>
              <w:rPr>
                <w:rFonts w:eastAsiaTheme="minorEastAsia"/>
                <w:lang w:val="en-US"/>
              </w:rPr>
              <w:t xml:space="preserve">received </w:t>
            </w:r>
            <w:r w:rsidRPr="0043370C">
              <w:rPr>
                <w:rFonts w:eastAsiaTheme="minorEastAsia"/>
                <w:i/>
                <w:iCs/>
                <w:lang w:val="en-US"/>
              </w:rPr>
              <w:t>RRCReconfiguration</w:t>
            </w:r>
            <w:r>
              <w:rPr>
                <w:rFonts w:eastAsiaTheme="minorEastAsia"/>
                <w:lang w:val="en-US"/>
              </w:rPr>
              <w:t xml:space="preserve"> message. We propose to update Text Proposal 5 into:</w:t>
            </w:r>
          </w:p>
          <w:p w14:paraId="3FF9C0FD"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t>
            </w:r>
          </w:p>
          <w:p w14:paraId="6B6D7609"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sidRPr="0024190C">
              <w:rPr>
                <w:b/>
                <w:bCs/>
              </w:rPr>
              <w:t xml:space="preserve">RAN2 observes that trigger conditions for </w:t>
            </w:r>
            <w:ins w:id="1" w:author="Intel-Ziyi" w:date="2021-08-20T23:05:00Z">
              <w:r w:rsidRPr="0F911C0A">
                <w:rPr>
                  <w:b/>
                  <w:bCs/>
                </w:rPr>
                <w:t xml:space="preserve">processing </w:t>
              </w:r>
            </w:ins>
            <w:del w:id="2" w:author="Intel-Ziyi" w:date="2021-08-20T23:05:00Z">
              <w:r w:rsidDel="00FB7587">
                <w:rPr>
                  <w:b/>
                  <w:bCs/>
                </w:rPr>
                <w:delText xml:space="preserve">release of </w:delText>
              </w:r>
            </w:del>
            <w:r w:rsidRPr="0024190C">
              <w:rPr>
                <w:b/>
                <w:bCs/>
              </w:rPr>
              <w:t xml:space="preserve">RRC Reconfiguration at </w:t>
            </w:r>
            <w:r>
              <w:rPr>
                <w:b/>
                <w:bCs/>
              </w:rPr>
              <w:t>descendent IAB-MT</w:t>
            </w:r>
            <w:r w:rsidRPr="0024190C">
              <w:rPr>
                <w:b/>
                <w:bCs/>
              </w:rPr>
              <w:t xml:space="preserve"> </w:t>
            </w:r>
            <w:ins w:id="3" w:author="Intel-Ziyi" w:date="2021-08-20T23:05:00Z">
              <w:r>
                <w:rPr>
                  <w:b/>
                  <w:bCs/>
                </w:rPr>
                <w:t xml:space="preserve">and how to handle buffered </w:t>
              </w:r>
              <w:r w:rsidRPr="00BA4540">
                <w:rPr>
                  <w:b/>
                  <w:bCs/>
                  <w:i/>
                  <w:iCs/>
                </w:rPr>
                <w:t>RRCReconfiguration</w:t>
              </w:r>
              <w:r>
                <w:rPr>
                  <w:b/>
                  <w:bCs/>
                </w:rPr>
                <w:t xml:space="preserve"> when IAB-node migration is failed </w:t>
              </w:r>
            </w:ins>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2, and such discussion can be had once RAN3 decides on the solution for reduction of service interruption for intra-donor IAB-node migration</w:t>
            </w:r>
          </w:p>
          <w:p w14:paraId="6A4898E2" w14:textId="7777777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p>
        </w:tc>
      </w:tr>
      <w:tr w:rsidR="00AA1C0F" w14:paraId="004633F5" w14:textId="77777777" w:rsidTr="00962B29">
        <w:tc>
          <w:tcPr>
            <w:tcW w:w="1885" w:type="dxa"/>
          </w:tcPr>
          <w:p w14:paraId="709A8834" w14:textId="2F10B517" w:rsidR="00AA1C0F" w:rsidRPr="00962B29"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lang w:val="en-US"/>
              </w:rPr>
              <w:t>Nokia, Nokia Shanghai Bell</w:t>
            </w:r>
          </w:p>
        </w:tc>
        <w:tc>
          <w:tcPr>
            <w:tcW w:w="7746" w:type="dxa"/>
          </w:tcPr>
          <w:p w14:paraId="73683856" w14:textId="469C312F" w:rsidR="00AA1C0F"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rPr>
              <w:t> In any case, we think it shouldn’t be stated in the LS that RAN3 can finalize the solution before reaching a conclusion in RAN2 on how significant the impacts are.</w:t>
            </w:r>
          </w:p>
        </w:tc>
      </w:tr>
    </w:tbl>
    <w:p w14:paraId="7A79A6C9" w14:textId="77777777" w:rsidR="000D470B" w:rsidRPr="00477289" w:rsidRDefault="000D470B" w:rsidP="000D470B">
      <w:pPr>
        <w:pStyle w:val="EmailDiscussion"/>
        <w:numPr>
          <w:ilvl w:val="0"/>
          <w:numId w:val="0"/>
        </w:numPr>
        <w:spacing w:line="240" w:lineRule="auto"/>
        <w:ind w:left="1619"/>
        <w:rPr>
          <w:lang w:val="en-GB"/>
        </w:rPr>
      </w:pPr>
    </w:p>
    <w:p w14:paraId="79BCBCEA" w14:textId="7415DC62" w:rsidR="00412FA5" w:rsidRPr="006A4392" w:rsidRDefault="00050F35" w:rsidP="001A278B">
      <w:pPr>
        <w:rPr>
          <w:b/>
          <w:bCs/>
        </w:rPr>
      </w:pPr>
      <w:r w:rsidRPr="006A4392">
        <w:rPr>
          <w:b/>
          <w:bCs/>
        </w:rPr>
        <w:t>Summary:</w:t>
      </w:r>
    </w:p>
    <w:p w14:paraId="05B492D1" w14:textId="64F80C7A" w:rsidR="00050F35" w:rsidRDefault="00050F35" w:rsidP="001A278B">
      <w:r>
        <w:t>Some companies questioned the need to inform RAN3 of such details</w:t>
      </w:r>
      <w:r w:rsidR="00670D6C">
        <w:t xml:space="preserve"> and stated the need to continue discussion of issues. Moderator suggests at least stating succinctly that RAN2 is continuing to discuss to identify further RAN2 impact. </w:t>
      </w:r>
    </w:p>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4DA602B" w:rsidR="00073F88" w:rsidRDefault="00FC42FD">
      <w:r>
        <w:t xml:space="preserve">Company comments will be taken into consideration in the </w:t>
      </w:r>
      <w:bookmarkStart w:id="4" w:name="_GoBack"/>
      <w:bookmarkEnd w:id="4"/>
      <w:r>
        <w:t xml:space="preserve">draft Reply LS. </w:t>
      </w:r>
      <w:r>
        <w:t>Companies are invited to comment on posted draft Reply LS.</w:t>
      </w:r>
    </w:p>
    <w:p w14:paraId="3B471AB0" w14:textId="77777777" w:rsidR="000E18BA" w:rsidRDefault="000E18BA">
      <w:pPr>
        <w:rPr>
          <w:u w:val="single"/>
        </w:rPr>
      </w:pPr>
      <w:bookmarkStart w:id="5" w:name="_Hlk63108774"/>
    </w:p>
    <w:bookmarkEnd w:id="5"/>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6"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lastRenderedPageBreak/>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Huawei, HiSilico</w:t>
      </w:r>
      <w:r>
        <w:t>n</w:t>
      </w:r>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Topology adaptation and RLF handling in eIAB networks</w:t>
      </w:r>
      <w:r>
        <w:t xml:space="preserve">, </w:t>
      </w:r>
      <w:r w:rsidRPr="002A0BF6">
        <w:t>Apple</w:t>
      </w:r>
    </w:p>
    <w:p w14:paraId="7C7B228A" w14:textId="4A4F296C" w:rsidR="002A0BF6" w:rsidRDefault="00823895" w:rsidP="00F866A3">
      <w:pPr>
        <w:pStyle w:val="B1"/>
        <w:numPr>
          <w:ilvl w:val="0"/>
          <w:numId w:val="18"/>
        </w:numPr>
      </w:pPr>
      <w:r w:rsidRPr="00823895">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ZTE, Sanechips</w:t>
      </w:r>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6"/>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60019" w14:textId="77777777" w:rsidR="00B22EDB" w:rsidRDefault="00B22EDB" w:rsidP="009D212F">
      <w:pPr>
        <w:spacing w:after="0" w:line="240" w:lineRule="auto"/>
      </w:pPr>
      <w:r>
        <w:separator/>
      </w:r>
    </w:p>
  </w:endnote>
  <w:endnote w:type="continuationSeparator" w:id="0">
    <w:p w14:paraId="35488138" w14:textId="77777777" w:rsidR="00B22EDB" w:rsidRDefault="00B22EDB"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5081" w14:textId="77777777" w:rsidR="00050F35" w:rsidRDefault="00050F35">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050F35" w:rsidRPr="009D212F" w:rsidRDefault="00050F35"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IZ4WmEdAwAAOAYAAA4AAAAAAAAA&#10;AAAAAAAALgIAAGRycy9lMm9Eb2MueG1sUEsBAi0AFAAGAAgAAAAhAPLR7nPeAAAACwEAAA8AAAAA&#10;AAAAAAAAAAAAdwUAAGRycy9kb3ducmV2LnhtbFBLBQYAAAAABAAEAPMAAACCBgAAAAA=&#10;" o:allowincell="f" filled="f" stroked="f" strokeweight=".5pt">
              <v:textbox inset="20pt,0,,0">
                <w:txbxContent>
                  <w:p w14:paraId="7ADC06FE" w14:textId="3E4B5B4A" w:rsidR="00050F35" w:rsidRPr="009D212F" w:rsidRDefault="00050F35"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6717" w14:textId="77777777" w:rsidR="00B22EDB" w:rsidRDefault="00B22EDB" w:rsidP="009D212F">
      <w:pPr>
        <w:spacing w:after="0" w:line="240" w:lineRule="auto"/>
      </w:pPr>
      <w:r>
        <w:separator/>
      </w:r>
    </w:p>
  </w:footnote>
  <w:footnote w:type="continuationSeparator" w:id="0">
    <w:p w14:paraId="6D7AB624" w14:textId="77777777" w:rsidR="00B22EDB" w:rsidRDefault="00B22EDB"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86AD5"/>
    <w:multiLevelType w:val="hybridMultilevel"/>
    <w:tmpl w:val="2EBE8DCC"/>
    <w:lvl w:ilvl="0" w:tplc="9F1EC8F6">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27"/>
  </w:num>
  <w:num w:numId="4">
    <w:abstractNumId w:val="1"/>
  </w:num>
  <w:num w:numId="5">
    <w:abstractNumId w:val="17"/>
  </w:num>
  <w:num w:numId="6">
    <w:abstractNumId w:val="0"/>
  </w:num>
  <w:num w:numId="7">
    <w:abstractNumId w:val="20"/>
  </w:num>
  <w:num w:numId="8">
    <w:abstractNumId w:val="25"/>
  </w:num>
  <w:num w:numId="9">
    <w:abstractNumId w:val="6"/>
  </w:num>
  <w:num w:numId="10">
    <w:abstractNumId w:val="24"/>
  </w:num>
  <w:num w:numId="11">
    <w:abstractNumId w:val="23"/>
  </w:num>
  <w:num w:numId="12">
    <w:abstractNumId w:val="10"/>
  </w:num>
  <w:num w:numId="13">
    <w:abstractNumId w:val="4"/>
  </w:num>
  <w:num w:numId="14">
    <w:abstractNumId w:val="7"/>
  </w:num>
  <w:num w:numId="15">
    <w:abstractNumId w:val="12"/>
  </w:num>
  <w:num w:numId="16">
    <w:abstractNumId w:val="8"/>
  </w:num>
  <w:num w:numId="17">
    <w:abstractNumId w:val="15"/>
  </w:num>
  <w:num w:numId="18">
    <w:abstractNumId w:val="19"/>
  </w:num>
  <w:num w:numId="19">
    <w:abstractNumId w:val="28"/>
  </w:num>
  <w:num w:numId="20">
    <w:abstractNumId w:val="5"/>
  </w:num>
  <w:num w:numId="21">
    <w:abstractNumId w:val="9"/>
  </w:num>
  <w:num w:numId="22">
    <w:abstractNumId w:val="3"/>
  </w:num>
  <w:num w:numId="23">
    <w:abstractNumId w:val="2"/>
  </w:num>
  <w:num w:numId="24">
    <w:abstractNumId w:val="16"/>
  </w:num>
  <w:num w:numId="25">
    <w:abstractNumId w:val="22"/>
  </w:num>
  <w:num w:numId="26">
    <w:abstractNumId w:val="18"/>
  </w:num>
  <w:num w:numId="27">
    <w:abstractNumId w:val="21"/>
  </w:num>
  <w:num w:numId="28">
    <w:abstractNumId w:val="13"/>
  </w:num>
  <w:num w:numId="29">
    <w:abstractNumId w:val="26"/>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1D4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0F35"/>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310"/>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181F"/>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D5DE7"/>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3CE0"/>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4508"/>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06194"/>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3CBD"/>
    <w:rsid w:val="0035462D"/>
    <w:rsid w:val="00354A16"/>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A7CB9"/>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0505"/>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06AE"/>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1AA"/>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9C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530D"/>
    <w:rsid w:val="005C7246"/>
    <w:rsid w:val="005C7604"/>
    <w:rsid w:val="005D0C98"/>
    <w:rsid w:val="005D172E"/>
    <w:rsid w:val="005D23DB"/>
    <w:rsid w:val="005D27F0"/>
    <w:rsid w:val="005D4449"/>
    <w:rsid w:val="005D6BDE"/>
    <w:rsid w:val="005E0911"/>
    <w:rsid w:val="005E1253"/>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432"/>
    <w:rsid w:val="00664BB0"/>
    <w:rsid w:val="00666682"/>
    <w:rsid w:val="00666B25"/>
    <w:rsid w:val="00666B70"/>
    <w:rsid w:val="00670D6C"/>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937BD"/>
    <w:rsid w:val="006A0A81"/>
    <w:rsid w:val="006A0EE5"/>
    <w:rsid w:val="006A3BF5"/>
    <w:rsid w:val="006A4392"/>
    <w:rsid w:val="006A66E4"/>
    <w:rsid w:val="006B0263"/>
    <w:rsid w:val="006B0B05"/>
    <w:rsid w:val="006B0F12"/>
    <w:rsid w:val="006B19CA"/>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2267"/>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1846"/>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848"/>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6964"/>
    <w:rsid w:val="00877EF9"/>
    <w:rsid w:val="00880559"/>
    <w:rsid w:val="008820A5"/>
    <w:rsid w:val="00882EC0"/>
    <w:rsid w:val="008845A0"/>
    <w:rsid w:val="00884D14"/>
    <w:rsid w:val="008862F6"/>
    <w:rsid w:val="00887BDA"/>
    <w:rsid w:val="00887E99"/>
    <w:rsid w:val="00890514"/>
    <w:rsid w:val="00893056"/>
    <w:rsid w:val="00894011"/>
    <w:rsid w:val="008951A6"/>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5E32"/>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3A31"/>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020"/>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034"/>
    <w:rsid w:val="0096031C"/>
    <w:rsid w:val="0096078A"/>
    <w:rsid w:val="00961591"/>
    <w:rsid w:val="00961B32"/>
    <w:rsid w:val="00962485"/>
    <w:rsid w:val="00962509"/>
    <w:rsid w:val="00962B2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0087"/>
    <w:rsid w:val="0099212D"/>
    <w:rsid w:val="00992E37"/>
    <w:rsid w:val="00993336"/>
    <w:rsid w:val="00993E61"/>
    <w:rsid w:val="0099577E"/>
    <w:rsid w:val="00996527"/>
    <w:rsid w:val="009A011C"/>
    <w:rsid w:val="009A0AF3"/>
    <w:rsid w:val="009A18D2"/>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1F8"/>
    <w:rsid w:val="00A22DA3"/>
    <w:rsid w:val="00A22F20"/>
    <w:rsid w:val="00A23CFB"/>
    <w:rsid w:val="00A26B4D"/>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1C0F"/>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2EDB"/>
    <w:rsid w:val="00B23E15"/>
    <w:rsid w:val="00B24854"/>
    <w:rsid w:val="00B2541C"/>
    <w:rsid w:val="00B27053"/>
    <w:rsid w:val="00B27303"/>
    <w:rsid w:val="00B27387"/>
    <w:rsid w:val="00B2780C"/>
    <w:rsid w:val="00B27A6B"/>
    <w:rsid w:val="00B33839"/>
    <w:rsid w:val="00B358DE"/>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C6C"/>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30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9DD"/>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D0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D48EE"/>
    <w:rsid w:val="00DE2094"/>
    <w:rsid w:val="00DE236D"/>
    <w:rsid w:val="00DE25D2"/>
    <w:rsid w:val="00DE5BD4"/>
    <w:rsid w:val="00DE6858"/>
    <w:rsid w:val="00DE7571"/>
    <w:rsid w:val="00DF3C73"/>
    <w:rsid w:val="00DF4444"/>
    <w:rsid w:val="00DF5C16"/>
    <w:rsid w:val="00DF5EA5"/>
    <w:rsid w:val="00DF7018"/>
    <w:rsid w:val="00E00107"/>
    <w:rsid w:val="00E01D3A"/>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5FE"/>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587"/>
    <w:rsid w:val="00FB779D"/>
    <w:rsid w:val="00FB79C4"/>
    <w:rsid w:val="00FC079C"/>
    <w:rsid w:val="00FC0970"/>
    <w:rsid w:val="00FC1192"/>
    <w:rsid w:val="00FC3FFB"/>
    <w:rsid w:val="00FC42FD"/>
    <w:rsid w:val="00FC5E5E"/>
    <w:rsid w:val="00FC5F74"/>
    <w:rsid w:val="00FC76EF"/>
    <w:rsid w:val="00FD0C13"/>
    <w:rsid w:val="00FD35CE"/>
    <w:rsid w:val="00FD3950"/>
    <w:rsid w:val="00FD3B78"/>
    <w:rsid w:val="00FD5221"/>
    <w:rsid w:val="00FD644B"/>
    <w:rsid w:val="00FD72B4"/>
    <w:rsid w:val="00FD79B3"/>
    <w:rsid w:val="00FE0287"/>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aragraph">
    <w:name w:val="paragraph"/>
    <w:basedOn w:val="Normal"/>
    <w:rsid w:val="00962B29"/>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962B29"/>
  </w:style>
  <w:style w:type="character" w:customStyle="1" w:styleId="eop">
    <w:name w:val="eop"/>
    <w:basedOn w:val="DefaultParagraphFont"/>
    <w:rsid w:val="0096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6758">
      <w:bodyDiv w:val="1"/>
      <w:marLeft w:val="0"/>
      <w:marRight w:val="0"/>
      <w:marTop w:val="0"/>
      <w:marBottom w:val="0"/>
      <w:divBdr>
        <w:top w:val="none" w:sz="0" w:space="0" w:color="auto"/>
        <w:left w:val="none" w:sz="0" w:space="0" w:color="auto"/>
        <w:bottom w:val="none" w:sz="0" w:space="0" w:color="auto"/>
        <w:right w:val="none" w:sz="0" w:space="0" w:color="auto"/>
      </w:divBdr>
    </w:div>
    <w:div w:id="393309963">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722631667">
      <w:bodyDiv w:val="1"/>
      <w:marLeft w:val="0"/>
      <w:marRight w:val="0"/>
      <w:marTop w:val="0"/>
      <w:marBottom w:val="0"/>
      <w:divBdr>
        <w:top w:val="none" w:sz="0" w:space="0" w:color="auto"/>
        <w:left w:val="none" w:sz="0" w:space="0" w:color="auto"/>
        <w:bottom w:val="none" w:sz="0" w:space="0" w:color="auto"/>
        <w:right w:val="none" w:sz="0" w:space="0" w:color="auto"/>
      </w:divBdr>
      <w:divsChild>
        <w:div w:id="1321931052">
          <w:marLeft w:val="0"/>
          <w:marRight w:val="0"/>
          <w:marTop w:val="0"/>
          <w:marBottom w:val="0"/>
          <w:divBdr>
            <w:top w:val="none" w:sz="0" w:space="0" w:color="auto"/>
            <w:left w:val="none" w:sz="0" w:space="0" w:color="auto"/>
            <w:bottom w:val="none" w:sz="0" w:space="0" w:color="auto"/>
            <w:right w:val="none" w:sz="0" w:space="0" w:color="auto"/>
          </w:divBdr>
        </w:div>
        <w:div w:id="1386223268">
          <w:marLeft w:val="0"/>
          <w:marRight w:val="0"/>
          <w:marTop w:val="0"/>
          <w:marBottom w:val="0"/>
          <w:divBdr>
            <w:top w:val="none" w:sz="0" w:space="0" w:color="auto"/>
            <w:left w:val="none" w:sz="0" w:space="0" w:color="auto"/>
            <w:bottom w:val="none" w:sz="0" w:space="0" w:color="auto"/>
            <w:right w:val="none" w:sz="0" w:space="0" w:color="auto"/>
          </w:divBdr>
        </w:div>
      </w:divsChild>
    </w:div>
    <w:div w:id="878395884">
      <w:bodyDiv w:val="1"/>
      <w:marLeft w:val="0"/>
      <w:marRight w:val="0"/>
      <w:marTop w:val="0"/>
      <w:marBottom w:val="0"/>
      <w:divBdr>
        <w:top w:val="none" w:sz="0" w:space="0" w:color="auto"/>
        <w:left w:val="none" w:sz="0" w:space="0" w:color="auto"/>
        <w:bottom w:val="none" w:sz="0" w:space="0" w:color="auto"/>
        <w:right w:val="none" w:sz="0" w:space="0" w:color="auto"/>
      </w:divBdr>
      <w:divsChild>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sChild>
    </w:div>
    <w:div w:id="1205020567">
      <w:bodyDiv w:val="1"/>
      <w:marLeft w:val="0"/>
      <w:marRight w:val="0"/>
      <w:marTop w:val="0"/>
      <w:marBottom w:val="0"/>
      <w:divBdr>
        <w:top w:val="none" w:sz="0" w:space="0" w:color="auto"/>
        <w:left w:val="none" w:sz="0" w:space="0" w:color="auto"/>
        <w:bottom w:val="none" w:sz="0" w:space="0" w:color="auto"/>
        <w:right w:val="none" w:sz="0" w:space="0" w:color="auto"/>
      </w:divBdr>
    </w:div>
    <w:div w:id="1489320549">
      <w:bodyDiv w:val="1"/>
      <w:marLeft w:val="0"/>
      <w:marRight w:val="0"/>
      <w:marTop w:val="0"/>
      <w:marBottom w:val="0"/>
      <w:divBdr>
        <w:top w:val="none" w:sz="0" w:space="0" w:color="auto"/>
        <w:left w:val="none" w:sz="0" w:space="0" w:color="auto"/>
        <w:bottom w:val="none" w:sz="0" w:space="0" w:color="auto"/>
        <w:right w:val="none" w:sz="0" w:space="0" w:color="auto"/>
      </w:divBdr>
    </w:div>
    <w:div w:id="1545678907">
      <w:bodyDiv w:val="1"/>
      <w:marLeft w:val="0"/>
      <w:marRight w:val="0"/>
      <w:marTop w:val="0"/>
      <w:marBottom w:val="0"/>
      <w:divBdr>
        <w:top w:val="none" w:sz="0" w:space="0" w:color="auto"/>
        <w:left w:val="none" w:sz="0" w:space="0" w:color="auto"/>
        <w:bottom w:val="none" w:sz="0" w:space="0" w:color="auto"/>
        <w:right w:val="none" w:sz="0" w:space="0" w:color="auto"/>
      </w:divBdr>
      <w:divsChild>
        <w:div w:id="935018292">
          <w:marLeft w:val="0"/>
          <w:marRight w:val="0"/>
          <w:marTop w:val="0"/>
          <w:marBottom w:val="0"/>
          <w:divBdr>
            <w:top w:val="none" w:sz="0" w:space="0" w:color="auto"/>
            <w:left w:val="none" w:sz="0" w:space="0" w:color="auto"/>
            <w:bottom w:val="none" w:sz="0" w:space="0" w:color="auto"/>
            <w:right w:val="none" w:sz="0" w:space="0" w:color="auto"/>
          </w:divBdr>
        </w:div>
        <w:div w:id="1451851674">
          <w:marLeft w:val="0"/>
          <w:marRight w:val="0"/>
          <w:marTop w:val="0"/>
          <w:marBottom w:val="0"/>
          <w:divBdr>
            <w:top w:val="none" w:sz="0" w:space="0" w:color="auto"/>
            <w:left w:val="none" w:sz="0" w:space="0" w:color="auto"/>
            <w:bottom w:val="none" w:sz="0" w:space="0" w:color="auto"/>
            <w:right w:val="none" w:sz="0" w:space="0" w:color="auto"/>
          </w:divBdr>
        </w:div>
      </w:divsChild>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 w:id="20539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BE973D80-70B5-43FA-8AF7-48173F3D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78</TotalTime>
  <Pages>12</Pages>
  <Words>6151</Words>
  <Characters>35066</Characters>
  <Application>Microsoft Office Word</Application>
  <DocSecurity>0</DocSecurity>
  <Lines>292</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Milap Majmundar (AT&amp;T)</cp:lastModifiedBy>
  <cp:revision>20</cp:revision>
  <dcterms:created xsi:type="dcterms:W3CDTF">2021-08-20T22:34:00Z</dcterms:created>
  <dcterms:modified xsi:type="dcterms:W3CDTF">2021-08-20T23:50:00Z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