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4EE7D25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10" w:history="1">
        <w:r w:rsidR="0045269D">
          <w:rPr>
            <w:rStyle w:val="Hyperlink"/>
            <w:bCs/>
            <w:noProof w:val="0"/>
            <w:sz w:val="24"/>
            <w:szCs w:val="24"/>
          </w:rPr>
          <w:t>R2-210xxxx</w:t>
        </w:r>
      </w:hyperlink>
    </w:p>
    <w:p w14:paraId="11776FA6" w14:textId="345E7DCD"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AT115-e][029][NR16]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[AT115-e][029][NR16]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11" w:history="1">
        <w:r w:rsidR="0045269D">
          <w:rPr>
            <w:rStyle w:val="Hyperlink"/>
          </w:rPr>
          <w:t>R2-2107935</w:t>
        </w:r>
      </w:hyperlink>
      <w:r>
        <w:t xml:space="preserve"> – 7947, </w:t>
      </w:r>
      <w:hyperlink r:id="rId12" w:history="1">
        <w:r w:rsidR="0045269D">
          <w:rPr>
            <w:rStyle w:val="Hyperlink"/>
          </w:rPr>
          <w:t>R2-2108287</w:t>
        </w:r>
      </w:hyperlink>
      <w:r>
        <w:t xml:space="preserve">, </w:t>
      </w:r>
      <w:hyperlink r:id="rId13" w:history="1">
        <w:r w:rsidR="0045269D">
          <w:rPr>
            <w:rStyle w:val="Hyperlink"/>
          </w:rPr>
          <w:t>R2-2108756</w:t>
        </w:r>
      </w:hyperlink>
      <w:r>
        <w:t>,</w:t>
      </w:r>
      <w:r w:rsidRPr="006F712E">
        <w:t xml:space="preserve"> </w:t>
      </w:r>
      <w:hyperlink r:id="rId14" w:history="1">
        <w:r w:rsidR="0045269D">
          <w:rPr>
            <w:rStyle w:val="Hyperlink"/>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cporresponds to the following;:</w:t>
      </w:r>
    </w:p>
    <w:p w14:paraId="748D6A09" w14:textId="77777777" w:rsidR="00725AE1" w:rsidRPr="00725AE1" w:rsidRDefault="00725AE1" w:rsidP="00725AE1">
      <w:pPr>
        <w:pStyle w:val="ListParagraph"/>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Deadline for comments Thursday Aug 19 1200 UTC</w:t>
      </w:r>
      <w:r w:rsidRPr="00725AE1">
        <w:rPr>
          <w:i/>
          <w:iCs/>
        </w:rPr>
        <w:t xml:space="preserve"> to settle scope what is agreeable etc</w:t>
      </w:r>
    </w:p>
    <w:p w14:paraId="7029BEFF" w14:textId="77777777" w:rsidR="00725AE1" w:rsidRPr="00725AE1" w:rsidRDefault="00725AE1" w:rsidP="00725AE1">
      <w:pPr>
        <w:pStyle w:val="ListParagraph"/>
        <w:numPr>
          <w:ilvl w:val="0"/>
          <w:numId w:val="12"/>
        </w:numPr>
        <w:rPr>
          <w:i/>
          <w:iCs/>
        </w:rPr>
      </w:pPr>
      <w:r w:rsidRPr="00725AE1">
        <w:rPr>
          <w:i/>
          <w:iCs/>
        </w:rPr>
        <w:t xml:space="preserve">A Final round with </w:t>
      </w:r>
      <w:r w:rsidRPr="00725AE1">
        <w:rPr>
          <w:b/>
          <w:i/>
          <w:iCs/>
        </w:rPr>
        <w:t xml:space="preserve">Final deadline Thursday Aug 26 1200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RAN4 focuses on the necessary updates to RAN4 requirements and leave signaling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RAN2 focuses on signaling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This discussion is handled in phases, with phase 1 intended to understand the potential solutions, and phase 2 to understand additional details. After that, rappporteur provides proposal on how to progress with the issue and whether online comeback is needed.</w:t>
      </w:r>
    </w:p>
    <w:p w14:paraId="04AD7078" w14:textId="3AAB8BB4" w:rsidR="00B54CD0" w:rsidRPr="00B54CD0" w:rsidRDefault="00B54CD0" w:rsidP="00B54CD0">
      <w:pPr>
        <w:pStyle w:val="ListParagraph"/>
        <w:numPr>
          <w:ilvl w:val="0"/>
          <w:numId w:val="13"/>
        </w:numPr>
      </w:pPr>
      <w:r>
        <w:t xml:space="preserve">Phase 1 starts at </w:t>
      </w:r>
      <w:r w:rsidRPr="00E961AB">
        <w:rPr>
          <w:b/>
          <w:bCs/>
          <w:i/>
          <w:iCs/>
        </w:rPr>
        <w:t>Monday Aug 16 1630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ListParagraph"/>
        <w:numPr>
          <w:ilvl w:val="0"/>
          <w:numId w:val="13"/>
        </w:numPr>
      </w:pPr>
      <w:r>
        <w:t xml:space="preserve">Phase 2 starts at </w:t>
      </w:r>
      <w:r>
        <w:rPr>
          <w:b/>
          <w:i/>
          <w:iCs/>
        </w:rPr>
        <w:t>Wednesday</w:t>
      </w:r>
      <w:r w:rsidRPr="00725AE1">
        <w:rPr>
          <w:b/>
          <w:i/>
          <w:iCs/>
        </w:rPr>
        <w:t xml:space="preserve"> Aug 1</w:t>
      </w:r>
      <w:r>
        <w:rPr>
          <w:b/>
          <w:i/>
          <w:iCs/>
        </w:rPr>
        <w:t>8</w:t>
      </w:r>
      <w:r w:rsidRPr="00725AE1">
        <w:rPr>
          <w:b/>
          <w:i/>
          <w:iCs/>
        </w:rPr>
        <w:t xml:space="preserve"> 1</w:t>
      </w:r>
      <w:r>
        <w:rPr>
          <w:b/>
          <w:i/>
          <w:iCs/>
        </w:rPr>
        <w:t>2</w:t>
      </w:r>
      <w:r w:rsidRPr="00725AE1">
        <w:rPr>
          <w:b/>
          <w:i/>
          <w:iCs/>
        </w:rPr>
        <w:t>00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9B084BE" w:rsidR="001C1AFE" w:rsidRDefault="002F6870" w:rsidP="000D4B0F">
            <w:pPr>
              <w:pStyle w:val="TAC"/>
              <w:spacing w:before="20" w:after="20"/>
              <w:ind w:left="57" w:right="57"/>
              <w:jc w:val="left"/>
              <w:rPr>
                <w:lang w:eastAsia="ja-JP"/>
              </w:rPr>
            </w:pPr>
            <w:ins w:id="0" w:author="DENSO CORPORATION" w:date="2021-08-17T11:18:00Z">
              <w:r>
                <w:rPr>
                  <w:rFonts w:hint="eastAsia"/>
                  <w:lang w:eastAsia="ja-JP"/>
                </w:rPr>
                <w:t>DENSO</w:t>
              </w:r>
            </w:ins>
          </w:p>
        </w:tc>
        <w:tc>
          <w:tcPr>
            <w:tcW w:w="3118" w:type="dxa"/>
            <w:tcBorders>
              <w:top w:val="single" w:sz="4" w:space="0" w:color="auto"/>
              <w:left w:val="single" w:sz="4" w:space="0" w:color="auto"/>
              <w:bottom w:val="single" w:sz="4" w:space="0" w:color="auto"/>
              <w:right w:val="single" w:sz="4" w:space="0" w:color="auto"/>
            </w:tcBorders>
          </w:tcPr>
          <w:p w14:paraId="55CF8A21" w14:textId="27C2C587" w:rsidR="001C1AFE" w:rsidRDefault="002F6870" w:rsidP="000D4B0F">
            <w:pPr>
              <w:pStyle w:val="TAC"/>
              <w:spacing w:before="20" w:after="20"/>
              <w:ind w:left="57" w:right="57"/>
              <w:jc w:val="left"/>
              <w:rPr>
                <w:lang w:eastAsia="ja-JP"/>
              </w:rPr>
            </w:pPr>
            <w:ins w:id="1" w:author="DENSO CORPORATION" w:date="2021-08-17T11:18:00Z">
              <w:r>
                <w:rPr>
                  <w:rFonts w:hint="eastAsia"/>
                  <w:lang w:eastAsia="ja-JP"/>
                </w:rPr>
                <w:t>Hideaki Takahashi</w:t>
              </w:r>
            </w:ins>
          </w:p>
        </w:tc>
        <w:tc>
          <w:tcPr>
            <w:tcW w:w="4391" w:type="dxa"/>
            <w:tcBorders>
              <w:top w:val="single" w:sz="4" w:space="0" w:color="auto"/>
              <w:left w:val="single" w:sz="4" w:space="0" w:color="auto"/>
              <w:bottom w:val="single" w:sz="4" w:space="0" w:color="auto"/>
              <w:right w:val="single" w:sz="4" w:space="0" w:color="auto"/>
            </w:tcBorders>
          </w:tcPr>
          <w:p w14:paraId="15F2F2C7" w14:textId="62056649" w:rsidR="001C1AFE" w:rsidRDefault="002F6870" w:rsidP="000D4B0F">
            <w:pPr>
              <w:pStyle w:val="TAC"/>
              <w:spacing w:before="20" w:after="20"/>
              <w:ind w:left="57" w:right="57"/>
              <w:jc w:val="left"/>
              <w:rPr>
                <w:lang w:eastAsia="ja-JP"/>
              </w:rPr>
            </w:pPr>
            <w:ins w:id="2" w:author="DENSO CORPORATION" w:date="2021-08-17T11:18:00Z">
              <w:r>
                <w:rPr>
                  <w:rFonts w:hint="eastAsia"/>
                  <w:lang w:eastAsia="ja-JP"/>
                </w:rPr>
                <w:t>hideaki.takahashi.j6e@jp.denso.com</w:t>
              </w:r>
            </w:ins>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353D23A"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01302BD9"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9814B6C"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742FD7" w:rsidR="001C1AFE" w:rsidRDefault="00665C73"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CE56821" w14:textId="2B4EE69D" w:rsidR="001C1AFE" w:rsidRDefault="00665C73"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67D89C71" w14:textId="7A674189" w:rsidR="001C1AFE" w:rsidRDefault="00665C73"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C15DA5A" w:rsidR="001C1AFE" w:rsidRDefault="001B70A3" w:rsidP="000D4B0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3E9C60F" w14:textId="12F35F02" w:rsidR="001C1AFE" w:rsidRDefault="001B70A3" w:rsidP="000D4B0F">
            <w:pPr>
              <w:pStyle w:val="TAC"/>
              <w:spacing w:before="20" w:after="20"/>
              <w:ind w:left="57" w:right="57"/>
              <w:jc w:val="left"/>
              <w:rPr>
                <w:lang w:eastAsia="zh-CN"/>
              </w:rPr>
            </w:pPr>
            <w:r>
              <w:rPr>
                <w:lang w:eastAsia="zh-CN"/>
              </w:rPr>
              <w:t>Don Zelmer</w:t>
            </w:r>
          </w:p>
        </w:tc>
        <w:tc>
          <w:tcPr>
            <w:tcW w:w="4391" w:type="dxa"/>
            <w:tcBorders>
              <w:top w:val="single" w:sz="4" w:space="0" w:color="auto"/>
              <w:left w:val="single" w:sz="4" w:space="0" w:color="auto"/>
              <w:bottom w:val="single" w:sz="4" w:space="0" w:color="auto"/>
              <w:right w:val="single" w:sz="4" w:space="0" w:color="auto"/>
            </w:tcBorders>
          </w:tcPr>
          <w:p w14:paraId="4A600A36" w14:textId="71341FE2" w:rsidR="001C1AFE" w:rsidRDefault="001B70A3" w:rsidP="000D4B0F">
            <w:pPr>
              <w:pStyle w:val="TAC"/>
              <w:spacing w:before="20" w:after="20"/>
              <w:ind w:left="57" w:right="57"/>
              <w:jc w:val="left"/>
              <w:rPr>
                <w:lang w:eastAsia="zh-CN"/>
              </w:rPr>
            </w:pPr>
            <w:r>
              <w:rPr>
                <w:lang w:eastAsia="zh-CN"/>
              </w:rPr>
              <w:t>dz1069@att.com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86D5D26" w:rsidR="001C1AFE" w:rsidRDefault="002C4EB2"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24423901" w:rsidR="001C1AFE" w:rsidRDefault="002C4EB2"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129AF9D1" w:rsidR="001C1AFE" w:rsidRDefault="002C4EB2" w:rsidP="000D4B0F">
            <w:pPr>
              <w:pStyle w:val="TAC"/>
              <w:spacing w:before="20" w:after="20"/>
              <w:ind w:left="57" w:right="57"/>
              <w:jc w:val="left"/>
              <w:rPr>
                <w:lang w:eastAsia="zh-CN"/>
              </w:rPr>
            </w:pPr>
            <w:r>
              <w:rPr>
                <w:lang w:eastAsia="zh-CN"/>
              </w:rPr>
              <w:t>naveen.palle@apple.com</w:t>
            </w: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E4F4E2" w:rsidR="001C1AFE" w:rsidRDefault="007A78E7" w:rsidP="000D4B0F">
            <w:pPr>
              <w:pStyle w:val="TAC"/>
              <w:spacing w:before="20" w:after="20"/>
              <w:ind w:left="57"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0476D45A" w14:textId="01A8A193" w:rsidR="001C1AFE" w:rsidRDefault="007A78E7" w:rsidP="000D4B0F">
            <w:pPr>
              <w:pStyle w:val="TAC"/>
              <w:spacing w:before="20" w:after="20"/>
              <w:ind w:left="57" w:right="57"/>
              <w:jc w:val="left"/>
              <w:rPr>
                <w:lang w:eastAsia="zh-CN"/>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5DBD35F8" w14:textId="60E2DCAC" w:rsidR="001C1AFE" w:rsidRDefault="007A78E7" w:rsidP="000D4B0F">
            <w:pPr>
              <w:pStyle w:val="TAC"/>
              <w:spacing w:before="20" w:after="20"/>
              <w:ind w:left="57" w:right="57"/>
              <w:jc w:val="left"/>
              <w:rPr>
                <w:lang w:eastAsia="zh-CN"/>
              </w:rPr>
            </w:pPr>
            <w:r>
              <w:rPr>
                <w:lang w:eastAsia="zh-CN"/>
              </w:rPr>
              <w:t>reza.hedayat@charter.com</w:t>
            </w: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66880A4B" w:rsidR="001C1AFE" w:rsidRDefault="007036E6" w:rsidP="000D4B0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B0D2553" w14:textId="2CFA574D" w:rsidR="001C1AFE" w:rsidRDefault="007036E6" w:rsidP="000D4B0F">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225DCB7A" w14:textId="4FF82E89" w:rsidR="001C1AFE" w:rsidRDefault="007036E6" w:rsidP="000D4B0F">
            <w:pPr>
              <w:pStyle w:val="TAC"/>
              <w:spacing w:before="20" w:after="20"/>
              <w:ind w:left="57" w:right="57"/>
              <w:jc w:val="left"/>
              <w:rPr>
                <w:lang w:eastAsia="zh-CN"/>
              </w:rPr>
            </w:pPr>
            <w:r>
              <w:rPr>
                <w:lang w:eastAsia="zh-CN"/>
              </w:rPr>
              <w:t>Youn.hyoung.heo@intel.com</w:t>
            </w: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1ACE3A28" w:rsidR="001C1AFE" w:rsidRDefault="00FB5463"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9073F2D" w14:textId="56684F54" w:rsidR="001C1AFE" w:rsidRDefault="00FB5463" w:rsidP="000D4B0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60F563F" w14:textId="2536D28A" w:rsidR="001C1AFE" w:rsidRDefault="00FB5463" w:rsidP="000D4B0F">
            <w:pPr>
              <w:pStyle w:val="TAC"/>
              <w:spacing w:before="20" w:after="20"/>
              <w:ind w:left="57" w:right="57"/>
              <w:jc w:val="left"/>
              <w:rPr>
                <w:lang w:eastAsia="zh-CN"/>
              </w:rPr>
            </w:pPr>
            <w:r>
              <w:rPr>
                <w:lang w:eastAsia="zh-CN"/>
              </w:rPr>
              <w:t>chun-fan.tsai@mediatek.com</w:t>
            </w: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48D4257F" w14:textId="1BBB7F0F" w:rsidR="00725AE1" w:rsidRDefault="00725AE1" w:rsidP="00725AE1">
      <w:pPr>
        <w:pStyle w:val="Heading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5" w:history="1">
        <w:r w:rsidR="0045269D" w:rsidRPr="0045269D">
          <w:rPr>
            <w:rStyle w:val="Hyperlink"/>
          </w:rPr>
          <w:t>R2-2107935</w:t>
        </w:r>
      </w:hyperlink>
      <w:r w:rsidR="0045269D">
        <w:t xml:space="preserve">, </w:t>
      </w:r>
      <w:hyperlink r:id="rId16" w:history="1">
        <w:r w:rsidR="0045269D" w:rsidRPr="0045269D">
          <w:rPr>
            <w:rStyle w:val="Hyperlink"/>
          </w:rPr>
          <w:t>R2-2108287</w:t>
        </w:r>
      </w:hyperlink>
      <w:r w:rsidR="0045269D">
        <w:t xml:space="preserve">, </w:t>
      </w:r>
      <w:hyperlink r:id="rId17" w:history="1">
        <w:r w:rsidR="0045269D" w:rsidRPr="0045269D">
          <w:rPr>
            <w:rStyle w:val="Hyperlink"/>
          </w:rPr>
          <w:t>R2-2108756</w:t>
        </w:r>
      </w:hyperlink>
      <w:r w:rsidR="0045269D">
        <w:t xml:space="preserve"> and </w:t>
      </w:r>
      <w:hyperlink r:id="rId18" w:history="1">
        <w:r w:rsidR="0045269D" w:rsidRPr="0045269D">
          <w:rPr>
            <w:rStyle w:val="Hyperlink"/>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19" w:history="1">
        <w:r w:rsidR="0045269D" w:rsidRPr="0045269D">
          <w:rPr>
            <w:rStyle w:val="Hyperlink"/>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ListParagraph"/>
        <w:numPr>
          <w:ilvl w:val="0"/>
          <w:numId w:val="9"/>
        </w:numPr>
      </w:pPr>
      <w:r>
        <w:t>New capability signalling (</w:t>
      </w:r>
      <w:r w:rsidR="00162743">
        <w:t xml:space="preserve">with </w:t>
      </w:r>
      <w:r>
        <w:t>e.g. per-UE granularity)</w:t>
      </w:r>
      <w:r w:rsidR="00725AE1">
        <w:t xml:space="preserve"> (see e.g. </w:t>
      </w:r>
      <w:hyperlink r:id="rId20" w:history="1">
        <w:r w:rsidR="00725AE1" w:rsidRPr="0045269D">
          <w:rPr>
            <w:rStyle w:val="Hyperlink"/>
          </w:rPr>
          <w:t>R2-2107935</w:t>
        </w:r>
      </w:hyperlink>
      <w:r w:rsidR="00725AE1">
        <w:rPr>
          <w:rStyle w:val="Hyperlink"/>
        </w:rPr>
        <w:t>)</w:t>
      </w:r>
    </w:p>
    <w:p w14:paraId="430DAE47" w14:textId="2248FFBF" w:rsidR="0045269D" w:rsidRDefault="0045269D" w:rsidP="0045269D">
      <w:pPr>
        <w:pStyle w:val="ListParagraph"/>
        <w:numPr>
          <w:ilvl w:val="0"/>
          <w:numId w:val="9"/>
        </w:numPr>
      </w:pPr>
      <w:r>
        <w:t xml:space="preserve">Reusing existing per-band </w:t>
      </w:r>
      <w:r w:rsidRPr="0045269D">
        <w:rPr>
          <w:i/>
          <w:iCs/>
        </w:rPr>
        <w:t>modifiedMPR</w:t>
      </w:r>
      <w:r>
        <w:t xml:space="preserve"> capability signalling</w:t>
      </w:r>
      <w:r w:rsidR="00725AE1">
        <w:t xml:space="preserve"> (see e.g. </w:t>
      </w:r>
      <w:hyperlink r:id="rId21" w:history="1">
        <w:r w:rsidR="00725AE1" w:rsidRPr="0045269D">
          <w:rPr>
            <w:rStyle w:val="Hyperlink"/>
          </w:rPr>
          <w:t>R2-2108332</w:t>
        </w:r>
      </w:hyperlink>
      <w:r w:rsidR="00725AE1">
        <w:rPr>
          <w:rStyle w:val="Hyperlink"/>
        </w:rPr>
        <w:t>)</w:t>
      </w:r>
    </w:p>
    <w:p w14:paraId="74BD2541" w14:textId="49BAA4C5" w:rsidR="00162743" w:rsidRDefault="00162743" w:rsidP="00162743">
      <w:pPr>
        <w:pStyle w:val="ListParagraph"/>
        <w:numPr>
          <w:ilvl w:val="0"/>
          <w:numId w:val="9"/>
        </w:numPr>
      </w:pPr>
      <w:r>
        <w:t>Defining new per-band capability signalling similar to modifiedMPR that allows to modifications to frequency bands</w:t>
      </w:r>
      <w:r w:rsidR="00725AE1">
        <w:t xml:space="preserve"> (see e.g. </w:t>
      </w:r>
      <w:hyperlink r:id="rId22" w:history="1">
        <w:r w:rsidR="00725AE1" w:rsidRPr="0045269D">
          <w:rPr>
            <w:rStyle w:val="Hyperlink"/>
          </w:rPr>
          <w:t>R2-2108332</w:t>
        </w:r>
      </w:hyperlink>
      <w:r w:rsidR="00725AE1">
        <w:rPr>
          <w:rStyle w:val="Hyperlink"/>
        </w:rPr>
        <w:t>)</w:t>
      </w:r>
    </w:p>
    <w:p w14:paraId="6068BC48" w14:textId="442EFB08" w:rsidR="0045269D" w:rsidRDefault="0045269D" w:rsidP="0045269D">
      <w:pPr>
        <w:pStyle w:val="ListParagraph"/>
        <w:numPr>
          <w:ilvl w:val="0"/>
          <w:numId w:val="9"/>
        </w:numPr>
      </w:pPr>
      <w:r>
        <w:t>Defining a new frequency band</w:t>
      </w:r>
      <w:r w:rsidR="00162743">
        <w:t xml:space="preserve"> (with a new band number) </w:t>
      </w:r>
      <w:r w:rsidR="00725AE1">
        <w:t xml:space="preserve">(see e.g. </w:t>
      </w:r>
      <w:hyperlink r:id="rId23" w:history="1">
        <w:r w:rsidR="00725AE1" w:rsidRPr="0045269D">
          <w:rPr>
            <w:rStyle w:val="Hyperlink"/>
          </w:rPr>
          <w:t>R2-2108287</w:t>
        </w:r>
      </w:hyperlink>
      <w:r w:rsidR="00725AE1">
        <w:rPr>
          <w:rStyle w:val="Hyperlink"/>
        </w:rPr>
        <w:t>)</w:t>
      </w:r>
    </w:p>
    <w:p w14:paraId="61B8BF3F" w14:textId="1E84CCA6" w:rsidR="001B3545" w:rsidRDefault="00162743" w:rsidP="00A209D6">
      <w:r>
        <w:t>Some contributions (</w:t>
      </w:r>
      <w:hyperlink r:id="rId24" w:history="1">
        <w:r w:rsidRPr="0045269D">
          <w:rPr>
            <w:rStyle w:val="Hyperlink"/>
          </w:rPr>
          <w:t>R2-2107935</w:t>
        </w:r>
      </w:hyperlink>
      <w:r>
        <w:t xml:space="preserve">, </w:t>
      </w:r>
      <w:hyperlink r:id="rId25" w:history="1">
        <w:r w:rsidRPr="0045269D">
          <w:rPr>
            <w:rStyle w:val="Hyperlink"/>
          </w:rPr>
          <w:t>R2-2108287</w:t>
        </w:r>
      </w:hyperlink>
      <w:r>
        <w:t xml:space="preserve">) also note that the signalling would be needed not only for NR CA/DC cases but also for LTE to support EN-DC deployments utilizing n77 in the US. Finally, </w:t>
      </w:r>
      <w:hyperlink r:id="rId26" w:history="1">
        <w:r w:rsidRPr="0045269D">
          <w:rPr>
            <w:rStyle w:val="Hyperlink"/>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ListParagraph"/>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 xml:space="preserve">Acceptable solutions (i.e.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rsidRPr="00357CDA"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FFA61CD" w:rsidR="003775A5" w:rsidRDefault="007C3975" w:rsidP="00C35F09">
            <w:pPr>
              <w:pStyle w:val="TAC"/>
              <w:spacing w:before="20" w:after="20"/>
              <w:ind w:left="57" w:right="57"/>
              <w:jc w:val="left"/>
              <w:rPr>
                <w:lang w:eastAsia="ja-JP"/>
              </w:rPr>
            </w:pPr>
            <w:ins w:id="3" w:author="DENSO CORPORATION" w:date="2021-08-17T10:49:00Z">
              <w:r>
                <w:rPr>
                  <w:rFonts w:hint="eastAsia"/>
                  <w:lang w:eastAsia="ja-JP"/>
                </w:rPr>
                <w:t>DENSO</w:t>
              </w:r>
            </w:ins>
          </w:p>
        </w:tc>
        <w:tc>
          <w:tcPr>
            <w:tcW w:w="1561" w:type="dxa"/>
            <w:tcBorders>
              <w:top w:val="single" w:sz="4" w:space="0" w:color="auto"/>
              <w:left w:val="single" w:sz="4" w:space="0" w:color="auto"/>
              <w:bottom w:val="single" w:sz="4" w:space="0" w:color="auto"/>
              <w:right w:val="single" w:sz="4" w:space="0" w:color="auto"/>
            </w:tcBorders>
          </w:tcPr>
          <w:p w14:paraId="34950C64" w14:textId="46B5ECC9" w:rsidR="003775A5" w:rsidRDefault="007C3975" w:rsidP="00C35F09">
            <w:pPr>
              <w:pStyle w:val="TAC"/>
              <w:spacing w:before="20" w:after="20"/>
              <w:ind w:left="57" w:right="57"/>
              <w:jc w:val="left"/>
              <w:rPr>
                <w:lang w:eastAsia="ja-JP"/>
              </w:rPr>
            </w:pPr>
            <w:ins w:id="4" w:author="DENSO CORPORATION" w:date="2021-08-17T10:49:00Z">
              <w:r>
                <w:rPr>
                  <w:rFonts w:hint="eastAsia"/>
                  <w:lang w:eastAsia="ja-JP"/>
                </w:rPr>
                <w:t>1</w:t>
              </w:r>
            </w:ins>
            <w:ins w:id="5" w:author="DENSO CORPORATION" w:date="2021-08-17T10:50:00Z">
              <w:r>
                <w:rPr>
                  <w:lang w:eastAsia="ja-JP"/>
                </w:rPr>
                <w:t>)</w:t>
              </w:r>
            </w:ins>
            <w:ins w:id="6" w:author="DENSO CORPORATION" w:date="2021-08-17T10:49:00Z">
              <w:r>
                <w:rPr>
                  <w:rFonts w:hint="eastAsia"/>
                  <w:lang w:eastAsia="ja-JP"/>
                </w:rPr>
                <w:t xml:space="preserve"> and 3</w:t>
              </w:r>
            </w:ins>
            <w:ins w:id="7" w:author="DENSO CORPORATION" w:date="2021-08-17T10:50:00Z">
              <w:r>
                <w:rPr>
                  <w:lang w:eastAsia="ja-JP"/>
                </w:rPr>
                <w:t>)</w:t>
              </w:r>
            </w:ins>
          </w:p>
        </w:tc>
        <w:tc>
          <w:tcPr>
            <w:tcW w:w="6375" w:type="dxa"/>
            <w:tcBorders>
              <w:top w:val="single" w:sz="4" w:space="0" w:color="auto"/>
              <w:left w:val="single" w:sz="4" w:space="0" w:color="auto"/>
              <w:bottom w:val="single" w:sz="4" w:space="0" w:color="auto"/>
              <w:right w:val="single" w:sz="4" w:space="0" w:color="auto"/>
            </w:tcBorders>
          </w:tcPr>
          <w:p w14:paraId="0FCF06C6" w14:textId="3C08D6D9" w:rsidR="003775A5" w:rsidRDefault="007C3975" w:rsidP="008206F9">
            <w:pPr>
              <w:pStyle w:val="TAC"/>
              <w:spacing w:before="20" w:after="20"/>
              <w:ind w:left="57" w:right="57"/>
              <w:jc w:val="left"/>
              <w:rPr>
                <w:ins w:id="8" w:author="DENSO CORPORATION" w:date="2021-08-17T10:58:00Z"/>
                <w:lang w:eastAsia="ja-JP"/>
              </w:rPr>
            </w:pPr>
            <w:ins w:id="9" w:author="DENSO CORPORATION" w:date="2021-08-17T10:50:00Z">
              <w:r>
                <w:rPr>
                  <w:rFonts w:hint="eastAsia"/>
                  <w:lang w:eastAsia="ja-JP"/>
                </w:rPr>
                <w:t xml:space="preserve">On 2), </w:t>
              </w:r>
            </w:ins>
            <w:ins w:id="10" w:author="DENSO CORPORATION" w:date="2021-08-17T10:51:00Z">
              <w:r>
                <w:rPr>
                  <w:lang w:eastAsia="ja-JP"/>
                </w:rPr>
                <w:t xml:space="preserve">the existing </w:t>
              </w:r>
              <w:r w:rsidRPr="0018671D">
                <w:rPr>
                  <w:i/>
                  <w:lang w:eastAsia="ja-JP"/>
                </w:rPr>
                <w:t>modifiedMPR-Behaviour</w:t>
              </w:r>
              <w:r>
                <w:rPr>
                  <w:lang w:eastAsia="ja-JP"/>
                </w:rPr>
                <w:t xml:space="preserve"> is defined to enable the UE to indicate support of the modified (A-)MPR as the field name gives. </w:t>
              </w:r>
            </w:ins>
            <w:ins w:id="11" w:author="DENSO CORPORATION" w:date="2021-08-17T10:53:00Z">
              <w:r>
                <w:rPr>
                  <w:lang w:eastAsia="ja-JP"/>
                </w:rPr>
                <w:t xml:space="preserve">It is not defined to indicate the supported </w:t>
              </w:r>
              <w:r w:rsidR="00357CDA">
                <w:rPr>
                  <w:lang w:eastAsia="ja-JP"/>
                </w:rPr>
                <w:t>operating band range. The advantage of 2) was thought that the solution does not require ASN.1 update (as well as 36/38.306)</w:t>
              </w:r>
            </w:ins>
            <w:ins w:id="12" w:author="DENSO CORPORATION" w:date="2021-08-17T10:56:00Z">
              <w:r w:rsidR="00357CDA">
                <w:rPr>
                  <w:lang w:eastAsia="ja-JP"/>
                </w:rPr>
                <w:t xml:space="preserve">. However, given that the eNB has to know the modified operating band range, as pointed out by Nokia and Ericsson, ASN.1 update cannot be avoided. </w:t>
              </w:r>
            </w:ins>
            <w:ins w:id="13" w:author="DENSO CORPORATION" w:date="2021-08-17T10:57:00Z">
              <w:r w:rsidR="00357CDA">
                <w:rPr>
                  <w:lang w:eastAsia="ja-JP"/>
                </w:rPr>
                <w:t xml:space="preserve">In that sense, </w:t>
              </w:r>
            </w:ins>
            <w:ins w:id="14" w:author="DENSO CORPORATION" w:date="2021-08-17T10:58:00Z">
              <w:r w:rsidR="00357CDA">
                <w:rPr>
                  <w:lang w:eastAsia="ja-JP"/>
                </w:rPr>
                <w:t>2) also requires ASN.1 update</w:t>
              </w:r>
            </w:ins>
            <w:ins w:id="15" w:author="DENSO CORPORATION" w:date="2021-08-17T11:12:00Z">
              <w:r w:rsidR="00B064BD">
                <w:rPr>
                  <w:lang w:eastAsia="ja-JP"/>
                </w:rPr>
                <w:t xml:space="preserve"> anyway</w:t>
              </w:r>
            </w:ins>
            <w:ins w:id="16" w:author="DENSO CORPORATION" w:date="2021-08-17T10:58:00Z">
              <w:r w:rsidR="00B064BD">
                <w:rPr>
                  <w:lang w:eastAsia="ja-JP"/>
                </w:rPr>
                <w:t>, as well as 1) and 3)</w:t>
              </w:r>
              <w:r w:rsidR="00357CDA">
                <w:rPr>
                  <w:lang w:eastAsia="ja-JP"/>
                </w:rPr>
                <w:t>.</w:t>
              </w:r>
            </w:ins>
          </w:p>
          <w:p w14:paraId="7DBD0A26" w14:textId="77777777" w:rsidR="00357CDA" w:rsidRDefault="00357CDA" w:rsidP="008206F9">
            <w:pPr>
              <w:pStyle w:val="TAC"/>
              <w:spacing w:before="20" w:after="20"/>
              <w:ind w:left="57" w:right="57"/>
              <w:jc w:val="left"/>
              <w:rPr>
                <w:ins w:id="17" w:author="DENSO CORPORATION" w:date="2021-08-17T10:59:00Z"/>
                <w:lang w:eastAsia="ja-JP"/>
              </w:rPr>
            </w:pPr>
          </w:p>
          <w:p w14:paraId="7754BF92" w14:textId="5FC1D580" w:rsidR="00357CDA" w:rsidRDefault="00357CDA" w:rsidP="008206F9">
            <w:pPr>
              <w:pStyle w:val="TAC"/>
              <w:spacing w:before="20" w:after="20"/>
              <w:ind w:left="57" w:right="57"/>
              <w:jc w:val="left"/>
              <w:rPr>
                <w:ins w:id="18" w:author="DENSO CORPORATION" w:date="2021-08-17T10:59:00Z"/>
                <w:lang w:eastAsia="ja-JP"/>
              </w:rPr>
            </w:pPr>
            <w:ins w:id="19" w:author="DENSO CORPORATION" w:date="2021-08-17T10:59:00Z">
              <w:r>
                <w:rPr>
                  <w:rFonts w:hint="eastAsia"/>
                  <w:lang w:eastAsia="ja-JP"/>
                </w:rPr>
                <w:t xml:space="preserve">In addition, </w:t>
              </w:r>
              <w:r w:rsidR="002C6DD4">
                <w:rPr>
                  <w:lang w:eastAsia="ja-JP"/>
                </w:rPr>
                <w:t>necessity</w:t>
              </w:r>
              <w:r w:rsidR="00B064BD">
                <w:rPr>
                  <w:lang w:eastAsia="ja-JP"/>
                </w:rPr>
                <w:t xml:space="preserve"> of </w:t>
              </w:r>
            </w:ins>
            <w:ins w:id="20" w:author="DENSO CORPORATION" w:date="2021-08-17T11:31:00Z">
              <w:r w:rsidR="002C6DD4">
                <w:rPr>
                  <w:lang w:eastAsia="ja-JP"/>
                </w:rPr>
                <w:t xml:space="preserve">a </w:t>
              </w:r>
            </w:ins>
            <w:ins w:id="21" w:author="DENSO CORPORATION" w:date="2021-08-17T10:59:00Z">
              <w:r w:rsidR="00B064BD">
                <w:rPr>
                  <w:lang w:eastAsia="ja-JP"/>
                </w:rPr>
                <w:t xml:space="preserve">new NS-value </w:t>
              </w:r>
              <w:r>
                <w:rPr>
                  <w:lang w:eastAsia="ja-JP"/>
                </w:rPr>
                <w:t xml:space="preserve">for </w:t>
              </w:r>
            </w:ins>
            <w:ins w:id="22" w:author="DENSO CORPORATION" w:date="2021-08-17T11:00:00Z">
              <w:r>
                <w:rPr>
                  <w:lang w:eastAsia="ja-JP"/>
                </w:rPr>
                <w:t>the n77 extension</w:t>
              </w:r>
            </w:ins>
            <w:ins w:id="23" w:author="DENSO CORPORATION" w:date="2021-08-17T11:05:00Z">
              <w:r w:rsidR="00B064BD">
                <w:rPr>
                  <w:lang w:eastAsia="ja-JP"/>
                </w:rPr>
                <w:t xml:space="preserve"> </w:t>
              </w:r>
            </w:ins>
            <w:ins w:id="24" w:author="DENSO CORPORATION" w:date="2021-08-17T11:24:00Z">
              <w:r w:rsidR="00090ECD">
                <w:rPr>
                  <w:lang w:eastAsia="ja-JP"/>
                </w:rPr>
                <w:t>has to be analysed carefully</w:t>
              </w:r>
            </w:ins>
            <w:ins w:id="25" w:author="DENSO CORPORATION" w:date="2021-08-17T11:00:00Z">
              <w:r>
                <w:rPr>
                  <w:lang w:eastAsia="ja-JP"/>
                </w:rPr>
                <w:t xml:space="preserve">. The legacy UE capable of accessing </w:t>
              </w:r>
            </w:ins>
            <w:ins w:id="26" w:author="DENSO CORPORATION" w:date="2021-08-17T11:01:00Z">
              <w:r>
                <w:rPr>
                  <w:lang w:eastAsia="ja-JP"/>
                </w:rPr>
                <w:t xml:space="preserve">3700 to 3980 MHz in US </w:t>
              </w:r>
            </w:ins>
            <w:ins w:id="27" w:author="DENSO CORPORATION" w:date="2021-08-17T11:28:00Z">
              <w:r w:rsidR="00090ECD">
                <w:rPr>
                  <w:lang w:eastAsia="ja-JP"/>
                </w:rPr>
                <w:t>might</w:t>
              </w:r>
            </w:ins>
            <w:ins w:id="28" w:author="DENSO CORPORATION" w:date="2021-08-17T11:24:00Z">
              <w:r w:rsidR="00090ECD">
                <w:rPr>
                  <w:lang w:eastAsia="ja-JP"/>
                </w:rPr>
                <w:t xml:space="preserve"> </w:t>
              </w:r>
            </w:ins>
            <w:ins w:id="29" w:author="DENSO CORPORATION" w:date="2021-08-17T11:01:00Z">
              <w:r w:rsidR="00090ECD">
                <w:rPr>
                  <w:lang w:eastAsia="ja-JP"/>
                </w:rPr>
                <w:t>search</w:t>
              </w:r>
              <w:r>
                <w:rPr>
                  <w:lang w:eastAsia="ja-JP"/>
                </w:rPr>
                <w:t xml:space="preserve"> SSBs within 3700 to 3980 MHz</w:t>
              </w:r>
            </w:ins>
            <w:ins w:id="30" w:author="DENSO CORPORATION" w:date="2021-08-17T11:25:00Z">
              <w:r w:rsidR="00090ECD">
                <w:rPr>
                  <w:lang w:eastAsia="ja-JP"/>
                </w:rPr>
                <w:t xml:space="preserve"> by implementation</w:t>
              </w:r>
            </w:ins>
            <w:ins w:id="31" w:author="DENSO CORPORATION" w:date="2021-08-17T11:01:00Z">
              <w:r>
                <w:rPr>
                  <w:lang w:eastAsia="ja-JP"/>
                </w:rPr>
                <w:t xml:space="preserve">. </w:t>
              </w:r>
            </w:ins>
            <w:ins w:id="32" w:author="DENSO CORPORATION" w:date="2021-08-17T11:25:00Z">
              <w:r w:rsidR="00090ECD">
                <w:rPr>
                  <w:lang w:eastAsia="ja-JP"/>
                </w:rPr>
                <w:t>Such a</w:t>
              </w:r>
            </w:ins>
            <w:ins w:id="33" w:author="DENSO CORPORATION" w:date="2021-08-17T11:02:00Z">
              <w:r>
                <w:rPr>
                  <w:lang w:eastAsia="ja-JP"/>
                </w:rPr>
                <w:t xml:space="preserve"> </w:t>
              </w:r>
            </w:ins>
            <w:ins w:id="34" w:author="DENSO CORPORATION" w:date="2021-08-17T11:06:00Z">
              <w:r w:rsidR="00B064BD">
                <w:rPr>
                  <w:lang w:eastAsia="ja-JP"/>
                </w:rPr>
                <w:t xml:space="preserve">legacy </w:t>
              </w:r>
            </w:ins>
            <w:ins w:id="35" w:author="DENSO CORPORATION" w:date="2021-08-17T11:02:00Z">
              <w:r>
                <w:rPr>
                  <w:lang w:eastAsia="ja-JP"/>
                </w:rPr>
                <w:t xml:space="preserve">UE will not acquire SIB1 in </w:t>
              </w:r>
            </w:ins>
            <w:ins w:id="36" w:author="DENSO CORPORATION" w:date="2021-08-17T11:03:00Z">
              <w:r>
                <w:rPr>
                  <w:lang w:eastAsia="ja-JP"/>
                </w:rPr>
                <w:t>the extended range (3450 – 3550 MHz)</w:t>
              </w:r>
            </w:ins>
            <w:ins w:id="37" w:author="DENSO CORPORATION" w:date="2021-08-17T11:27:00Z">
              <w:r w:rsidR="00090ECD">
                <w:rPr>
                  <w:lang w:eastAsia="ja-JP"/>
                </w:rPr>
                <w:t>, even though the new NS-value is present in SIB1</w:t>
              </w:r>
            </w:ins>
            <w:ins w:id="38" w:author="DENSO CORPORATION" w:date="2021-08-17T11:04:00Z">
              <w:r w:rsidR="002C6DD4">
                <w:rPr>
                  <w:lang w:eastAsia="ja-JP"/>
                </w:rPr>
                <w:t>.</w:t>
              </w:r>
              <w:r w:rsidR="00B064BD">
                <w:rPr>
                  <w:lang w:eastAsia="ja-JP"/>
                </w:rPr>
                <w:t xml:space="preserve"> </w:t>
              </w:r>
            </w:ins>
            <w:ins w:id="39" w:author="DENSO CORPORATION" w:date="2021-08-17T11:32:00Z">
              <w:r w:rsidR="002C6DD4">
                <w:rPr>
                  <w:lang w:eastAsia="ja-JP"/>
                </w:rPr>
                <w:t>This is because</w:t>
              </w:r>
            </w:ins>
            <w:ins w:id="40" w:author="DENSO CORPORATION" w:date="2021-08-17T11:04:00Z">
              <w:r w:rsidR="00B064BD">
                <w:rPr>
                  <w:lang w:eastAsia="ja-JP"/>
                </w:rPr>
                <w:t xml:space="preserve"> the UE </w:t>
              </w:r>
            </w:ins>
            <w:ins w:id="41" w:author="DENSO CORPORATION" w:date="2021-08-17T11:05:00Z">
              <w:r w:rsidR="00B064BD">
                <w:rPr>
                  <w:lang w:eastAsia="ja-JP"/>
                </w:rPr>
                <w:t>will not try to search SSBs within 3450 – 3550 MHz, anyway.</w:t>
              </w:r>
            </w:ins>
            <w:ins w:id="42" w:author="DENSO CORPORATION" w:date="2021-08-17T11:28:00Z">
              <w:r w:rsidR="00090ECD">
                <w:rPr>
                  <w:lang w:eastAsia="ja-JP"/>
                </w:rPr>
                <w:t xml:space="preserve"> F</w:t>
              </w:r>
            </w:ins>
            <w:ins w:id="43" w:author="DENSO CORPORATION" w:date="2021-08-17T11:29:00Z">
              <w:r w:rsidR="00090ECD">
                <w:rPr>
                  <w:lang w:eastAsia="ja-JP"/>
                </w:rPr>
                <w:t>urther analysis is deemed as necessary to check how the legacy UE behaves.</w:t>
              </w:r>
            </w:ins>
          </w:p>
          <w:p w14:paraId="1B8CEB99" w14:textId="77777777" w:rsidR="00357CDA" w:rsidRDefault="00357CDA" w:rsidP="008206F9">
            <w:pPr>
              <w:pStyle w:val="TAC"/>
              <w:spacing w:before="20" w:after="20"/>
              <w:ind w:left="57" w:right="57"/>
              <w:jc w:val="left"/>
              <w:rPr>
                <w:ins w:id="44" w:author="DENSO CORPORATION" w:date="2021-08-17T11:06:00Z"/>
                <w:lang w:eastAsia="ja-JP"/>
              </w:rPr>
            </w:pPr>
          </w:p>
          <w:p w14:paraId="075B5E9C" w14:textId="77777777" w:rsidR="00B064BD" w:rsidRDefault="00B064BD" w:rsidP="008206F9">
            <w:pPr>
              <w:pStyle w:val="TAC"/>
              <w:spacing w:before="20" w:after="20"/>
              <w:ind w:left="57" w:right="57"/>
              <w:jc w:val="left"/>
              <w:rPr>
                <w:ins w:id="45" w:author="DENSO CORPORATION" w:date="2021-08-17T11:10:00Z"/>
                <w:lang w:eastAsia="ja-JP"/>
              </w:rPr>
            </w:pPr>
            <w:ins w:id="46" w:author="DENSO CORPORATION" w:date="2021-08-17T11:06:00Z">
              <w:r>
                <w:rPr>
                  <w:rFonts w:hint="eastAsia"/>
                  <w:lang w:eastAsia="ja-JP"/>
                </w:rPr>
                <w:t xml:space="preserve">On 4), if it were the solution, the different frequency band than n77 would have to be defined for 3700 to 3980 from the beginning. </w:t>
              </w:r>
            </w:ins>
            <w:ins w:id="47" w:author="DENSO CORPORATION" w:date="2021-08-17T11:08:00Z">
              <w:r>
                <w:rPr>
                  <w:lang w:eastAsia="ja-JP"/>
                </w:rPr>
                <w:t xml:space="preserve">There seemed to be some background why n77 was defined with such a region </w:t>
              </w:r>
            </w:ins>
            <w:ins w:id="48" w:author="DENSO CORPORATION" w:date="2021-08-17T11:10:00Z">
              <w:r>
                <w:rPr>
                  <w:lang w:eastAsia="ja-JP"/>
                </w:rPr>
                <w:t>specific</w:t>
              </w:r>
            </w:ins>
            <w:ins w:id="49" w:author="DENSO CORPORATION" w:date="2021-08-17T11:08:00Z">
              <w:r>
                <w:rPr>
                  <w:lang w:eastAsia="ja-JP"/>
                </w:rPr>
                <w:t xml:space="preserve"> </w:t>
              </w:r>
            </w:ins>
            <w:ins w:id="50" w:author="DENSO CORPORATION" w:date="2021-08-17T11:10:00Z">
              <w:r>
                <w:rPr>
                  <w:lang w:eastAsia="ja-JP"/>
                </w:rPr>
                <w:t>restriction.</w:t>
              </w:r>
            </w:ins>
          </w:p>
          <w:p w14:paraId="2D31ED88" w14:textId="77777777" w:rsidR="00B064BD" w:rsidRDefault="00B064BD" w:rsidP="008206F9">
            <w:pPr>
              <w:pStyle w:val="TAC"/>
              <w:spacing w:before="20" w:after="20"/>
              <w:ind w:left="57" w:right="57"/>
              <w:jc w:val="left"/>
              <w:rPr>
                <w:ins w:id="51" w:author="DENSO CORPORATION" w:date="2021-08-17T11:10:00Z"/>
                <w:lang w:eastAsia="ja-JP"/>
              </w:rPr>
            </w:pPr>
          </w:p>
          <w:p w14:paraId="550930D1" w14:textId="1A8B11C8" w:rsidR="00B064BD" w:rsidRDefault="00B064BD" w:rsidP="008206F9">
            <w:pPr>
              <w:pStyle w:val="TAC"/>
              <w:spacing w:before="20" w:after="20"/>
              <w:ind w:left="57" w:right="57"/>
              <w:jc w:val="left"/>
              <w:rPr>
                <w:lang w:eastAsia="ja-JP"/>
              </w:rPr>
            </w:pPr>
            <w:ins w:id="52" w:author="DENSO CORPORATION" w:date="2021-08-17T11:10:00Z">
              <w:r>
                <w:rPr>
                  <w:lang w:eastAsia="ja-JP"/>
                </w:rPr>
                <w:t xml:space="preserve">The choice of 1) and 3) depends on whether the similar case will happen to the other band or even in n77 in future. </w:t>
              </w:r>
            </w:ins>
            <w:ins w:id="53" w:author="DENSO CORPORATION" w:date="2021-08-17T11:15:00Z">
              <w:r w:rsidR="00144934">
                <w:rPr>
                  <w:lang w:eastAsia="ja-JP"/>
                </w:rPr>
                <w:t xml:space="preserve">If everyone is </w:t>
              </w:r>
            </w:ins>
            <w:ins w:id="54" w:author="DENSO CORPORATION" w:date="2021-08-17T11:16:00Z">
              <w:r w:rsidR="00144934">
                <w:rPr>
                  <w:lang w:eastAsia="ja-JP"/>
                </w:rPr>
                <w:t xml:space="preserve">firmly </w:t>
              </w:r>
            </w:ins>
            <w:ins w:id="55" w:author="DENSO CORPORATION" w:date="2021-08-17T11:15:00Z">
              <w:r w:rsidR="00144934">
                <w:rPr>
                  <w:lang w:eastAsia="ja-JP"/>
                </w:rPr>
                <w:t xml:space="preserve">confident that </w:t>
              </w:r>
            </w:ins>
            <w:ins w:id="56" w:author="DENSO CORPORATION" w:date="2021-08-17T11:16:00Z">
              <w:r w:rsidR="00144934">
                <w:rPr>
                  <w:lang w:eastAsia="ja-JP"/>
                </w:rPr>
                <w:t xml:space="preserve">it will never happen in future, </w:t>
              </w:r>
            </w:ins>
            <w:ins w:id="57" w:author="DENSO CORPORATION" w:date="2021-08-17T11:17:00Z">
              <w:r w:rsidR="00144934">
                <w:rPr>
                  <w:lang w:eastAsia="ja-JP"/>
                </w:rPr>
                <w:t>1) is sufficient. If not, 3) can be considered for future proofing with the minimum bit length (e.g. 1 or 2 bits).</w:t>
              </w:r>
            </w:ins>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EDC2D34"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561" w:type="dxa"/>
            <w:tcBorders>
              <w:top w:val="single" w:sz="4" w:space="0" w:color="auto"/>
              <w:left w:val="single" w:sz="4" w:space="0" w:color="auto"/>
              <w:bottom w:val="single" w:sz="4" w:space="0" w:color="auto"/>
              <w:right w:val="single" w:sz="4" w:space="0" w:color="auto"/>
            </w:tcBorders>
          </w:tcPr>
          <w:p w14:paraId="50A02ACA" w14:textId="02F97838"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 new band indicator</w:t>
            </w:r>
            <w:r w:rsidR="002409AE">
              <w:rPr>
                <w:rFonts w:eastAsia="SimSun"/>
                <w:lang w:eastAsia="zh-CN"/>
              </w:rPr>
              <w:t>,</w:t>
            </w:r>
            <w:r>
              <w:rPr>
                <w:rFonts w:eastAsia="SimSun"/>
                <w:lang w:eastAsia="zh-CN"/>
              </w:rPr>
              <w:t xml:space="preserve"> or new Ns value</w:t>
            </w:r>
            <w:r w:rsidR="002409AE">
              <w:rPr>
                <w:rFonts w:eastAsia="SimSun"/>
                <w:lang w:eastAsia="zh-CN"/>
              </w:rPr>
              <w:t xml:space="preserve"> </w:t>
            </w:r>
            <w:r w:rsidR="002409AE" w:rsidRPr="002409AE">
              <w:rPr>
                <w:rFonts w:eastAsia="SimSun"/>
                <w:lang w:eastAsia="zh-CN"/>
              </w:rPr>
              <w:t>+</w:t>
            </w:r>
            <w:r w:rsidR="002409AE">
              <w:rPr>
                <w:rFonts w:eastAsia="SimSun"/>
                <w:lang w:eastAsia="zh-CN"/>
              </w:rPr>
              <w:t xml:space="preserve"> new </w:t>
            </w:r>
            <w:r w:rsidR="002409AE" w:rsidRPr="002409AE">
              <w:rPr>
                <w:rFonts w:eastAsia="SimSun"/>
                <w:lang w:eastAsia="zh-CN"/>
              </w:rPr>
              <w:t>capability indication</w:t>
            </w:r>
          </w:p>
        </w:tc>
        <w:tc>
          <w:tcPr>
            <w:tcW w:w="6375" w:type="dxa"/>
            <w:tcBorders>
              <w:top w:val="single" w:sz="4" w:space="0" w:color="auto"/>
              <w:left w:val="single" w:sz="4" w:space="0" w:color="auto"/>
              <w:bottom w:val="single" w:sz="4" w:space="0" w:color="auto"/>
              <w:right w:val="single" w:sz="4" w:space="0" w:color="auto"/>
            </w:tcBorders>
          </w:tcPr>
          <w:p w14:paraId="1562BA53" w14:textId="77777777" w:rsidR="00C16BA9" w:rsidRDefault="000B347B" w:rsidP="00C16BA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the key point here is how to deal with idle mode foreign UEs. If the foreign UEs supporting n77 cannot be ensured to also support DoD bands, to ensure the inter-operability we should have some way to bar these UEs when the cell is actually using DoD bands. The clean way is to define a new band, the legacy UEs cannot identify the band number and thus would not camp on these cells. Another alternative is to define a new Ns value, if the legacy UEs cannot understand the new value, it will also bar this cell. </w:t>
            </w:r>
          </w:p>
          <w:p w14:paraId="2B966C2A" w14:textId="1BA3A80A" w:rsidR="003775A5" w:rsidRPr="000B347B" w:rsidRDefault="000B347B" w:rsidP="00C16BA9">
            <w:pPr>
              <w:pStyle w:val="TAC"/>
              <w:spacing w:before="20" w:after="20"/>
              <w:ind w:left="57" w:right="57"/>
              <w:jc w:val="left"/>
              <w:rPr>
                <w:rFonts w:eastAsia="SimSun"/>
                <w:lang w:eastAsia="zh-CN"/>
              </w:rPr>
            </w:pPr>
            <w:r>
              <w:rPr>
                <w:rFonts w:eastAsia="SimSun"/>
                <w:lang w:eastAsia="zh-CN"/>
              </w:rPr>
              <w:t xml:space="preserve">For connected mode, the </w:t>
            </w:r>
            <w:r w:rsidR="007F7B43">
              <w:rPr>
                <w:rFonts w:eastAsia="SimSun"/>
                <w:lang w:eastAsia="zh-CN"/>
              </w:rPr>
              <w:t xml:space="preserve">new </w:t>
            </w:r>
            <w:r>
              <w:rPr>
                <w:rFonts w:eastAsia="SimSun"/>
                <w:lang w:eastAsia="zh-CN"/>
              </w:rPr>
              <w:t>UE capability can anyway</w:t>
            </w:r>
            <w:r w:rsidR="00C16BA9">
              <w:rPr>
                <w:rFonts w:eastAsia="SimSun"/>
                <w:lang w:eastAsia="zh-CN"/>
              </w:rPr>
              <w:t xml:space="preserve"> </w:t>
            </w:r>
            <w:r>
              <w:rPr>
                <w:rFonts w:eastAsia="SimSun"/>
                <w:lang w:eastAsia="zh-CN"/>
              </w:rPr>
              <w:t>indicate the support of this new band</w:t>
            </w:r>
            <w:r w:rsidR="00C16BA9">
              <w:rPr>
                <w:rFonts w:eastAsia="SimSun"/>
                <w:lang w:eastAsia="zh-CN"/>
              </w:rPr>
              <w:t xml:space="preserve"> irrespective whether to extend the signalling or to reuse the current signalling</w:t>
            </w:r>
            <w:r>
              <w:rPr>
                <w:rFonts w:eastAsia="SimSun"/>
                <w:lang w:eastAsia="zh-CN"/>
              </w:rPr>
              <w:t>, and t</w:t>
            </w:r>
            <w:r w:rsidR="00C16BA9">
              <w:rPr>
                <w:rFonts w:eastAsia="SimSun"/>
                <w:lang w:eastAsia="zh-CN"/>
              </w:rPr>
              <w:t>he inter-operability can be supported easily</w:t>
            </w:r>
            <w:r>
              <w:rPr>
                <w:rFonts w:eastAsia="SimSun"/>
                <w:lang w:eastAsia="zh-CN"/>
              </w:rPr>
              <w:t>.</w:t>
            </w:r>
            <w:r w:rsidR="00C16BA9">
              <w:rPr>
                <w:rFonts w:eastAsia="SimSun"/>
                <w:lang w:eastAsia="zh-CN"/>
              </w:rPr>
              <w:t xml:space="preserve"> </w:t>
            </w: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46229C9" w:rsidR="003775A5" w:rsidRDefault="00665C73"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1561" w:type="dxa"/>
            <w:tcBorders>
              <w:top w:val="single" w:sz="4" w:space="0" w:color="auto"/>
              <w:left w:val="single" w:sz="4" w:space="0" w:color="auto"/>
              <w:bottom w:val="single" w:sz="4" w:space="0" w:color="auto"/>
              <w:right w:val="single" w:sz="4" w:space="0" w:color="auto"/>
            </w:tcBorders>
          </w:tcPr>
          <w:p w14:paraId="5B926751" w14:textId="14EFDCFC" w:rsidR="003775A5" w:rsidRDefault="00665C73" w:rsidP="00C35F09">
            <w:pPr>
              <w:pStyle w:val="TAC"/>
              <w:spacing w:before="20" w:after="20"/>
              <w:ind w:left="57" w:right="57"/>
              <w:jc w:val="left"/>
              <w:rPr>
                <w:lang w:eastAsia="ja-JP"/>
              </w:rPr>
            </w:pPr>
            <w:r>
              <w:rPr>
                <w:lang w:eastAsia="ja-JP"/>
              </w:rPr>
              <w:t>2)</w:t>
            </w:r>
          </w:p>
        </w:tc>
        <w:tc>
          <w:tcPr>
            <w:tcW w:w="6375" w:type="dxa"/>
            <w:tcBorders>
              <w:top w:val="single" w:sz="4" w:space="0" w:color="auto"/>
              <w:left w:val="single" w:sz="4" w:space="0" w:color="auto"/>
              <w:bottom w:val="single" w:sz="4" w:space="0" w:color="auto"/>
              <w:right w:val="single" w:sz="4" w:space="0" w:color="auto"/>
            </w:tcBorders>
          </w:tcPr>
          <w:p w14:paraId="74850B37" w14:textId="77777777" w:rsidR="003775A5" w:rsidRDefault="00665C73" w:rsidP="008206F9">
            <w:pPr>
              <w:pStyle w:val="TAC"/>
              <w:spacing w:before="20" w:after="20"/>
              <w:ind w:left="57" w:right="57"/>
              <w:jc w:val="left"/>
              <w:rPr>
                <w:lang w:eastAsia="ja-JP"/>
              </w:rPr>
            </w:pPr>
            <w:r>
              <w:rPr>
                <w:rFonts w:hint="eastAsia"/>
                <w:lang w:eastAsia="ja-JP"/>
              </w:rPr>
              <w:t>I</w:t>
            </w:r>
            <w:r>
              <w:rPr>
                <w:lang w:eastAsia="ja-JP"/>
              </w:rPr>
              <w:t>n general we prefer a solution which does not require ASN.1 change, due to immediate need of supporting the new requirement for n77.</w:t>
            </w:r>
          </w:p>
          <w:p w14:paraId="1A92711C" w14:textId="238D053C" w:rsidR="00665C73" w:rsidRDefault="00665C73" w:rsidP="008206F9">
            <w:pPr>
              <w:pStyle w:val="TAC"/>
              <w:spacing w:before="20" w:after="20"/>
              <w:ind w:left="57" w:right="57"/>
              <w:jc w:val="left"/>
              <w:rPr>
                <w:lang w:eastAsia="ja-JP"/>
              </w:rPr>
            </w:pPr>
            <w:r>
              <w:rPr>
                <w:rFonts w:hint="eastAsia"/>
                <w:lang w:eastAsia="ja-JP"/>
              </w:rPr>
              <w:t>4</w:t>
            </w:r>
            <w:r>
              <w:rPr>
                <w:lang w:eastAsia="ja-JP"/>
              </w:rPr>
              <w:t>) is another way to do it, but we think it will involve more logistics from the UE implementation perspective, e.g. changing the band combination capabilities, testing UE capability filter logic and so on.</w:t>
            </w: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11847A99" w:rsidR="003775A5" w:rsidRDefault="005460F0" w:rsidP="00C35F09">
            <w:pPr>
              <w:pStyle w:val="TAC"/>
              <w:spacing w:before="20" w:after="20"/>
              <w:ind w:left="57" w:right="57"/>
              <w:jc w:val="left"/>
              <w:rPr>
                <w:lang w:eastAsia="zh-CN"/>
              </w:rPr>
            </w:pPr>
            <w:r>
              <w:rPr>
                <w:lang w:eastAsia="zh-CN"/>
              </w:rPr>
              <w:t>Nokia, Nokia Shanghai Bell</w:t>
            </w:r>
          </w:p>
        </w:tc>
        <w:tc>
          <w:tcPr>
            <w:tcW w:w="1561" w:type="dxa"/>
            <w:tcBorders>
              <w:top w:val="single" w:sz="4" w:space="0" w:color="auto"/>
              <w:left w:val="single" w:sz="4" w:space="0" w:color="auto"/>
              <w:bottom w:val="single" w:sz="4" w:space="0" w:color="auto"/>
              <w:right w:val="single" w:sz="4" w:space="0" w:color="auto"/>
            </w:tcBorders>
          </w:tcPr>
          <w:p w14:paraId="61B75CEE" w14:textId="0C512DAF" w:rsidR="003775A5" w:rsidRDefault="005460F0" w:rsidP="00C35F09">
            <w:pPr>
              <w:pStyle w:val="TAC"/>
              <w:spacing w:before="20" w:after="20"/>
              <w:ind w:left="57" w:right="57"/>
              <w:jc w:val="left"/>
              <w:rPr>
                <w:lang w:eastAsia="zh-CN"/>
              </w:rPr>
            </w:pPr>
            <w:r>
              <w:rPr>
                <w:lang w:eastAsia="zh-CN"/>
              </w:rPr>
              <w:t xml:space="preserve">Prefer 1), can accept 2) &amp; 3) with LTE signalling </w:t>
            </w:r>
            <w:r w:rsidR="00FF3953">
              <w:rPr>
                <w:lang w:eastAsia="zh-CN"/>
              </w:rPr>
              <w:t xml:space="preserve">as well as </w:t>
            </w:r>
            <w:r>
              <w:rPr>
                <w:lang w:eastAsia="zh-CN"/>
              </w:rPr>
              <w:t>4) if RAN4 agrees</w:t>
            </w:r>
          </w:p>
        </w:tc>
        <w:tc>
          <w:tcPr>
            <w:tcW w:w="6375" w:type="dxa"/>
            <w:tcBorders>
              <w:top w:val="single" w:sz="4" w:space="0" w:color="auto"/>
              <w:left w:val="single" w:sz="4" w:space="0" w:color="auto"/>
              <w:bottom w:val="single" w:sz="4" w:space="0" w:color="auto"/>
              <w:right w:val="single" w:sz="4" w:space="0" w:color="auto"/>
            </w:tcBorders>
          </w:tcPr>
          <w:p w14:paraId="35FC1211" w14:textId="5C5EA4F4" w:rsidR="005460F0" w:rsidRDefault="005460F0" w:rsidP="008206F9">
            <w:pPr>
              <w:pStyle w:val="TAC"/>
              <w:spacing w:before="20" w:after="20"/>
              <w:ind w:left="57" w:right="57"/>
              <w:jc w:val="left"/>
              <w:rPr>
                <w:lang w:eastAsia="zh-CN"/>
              </w:rPr>
            </w:pPr>
            <w:r>
              <w:rPr>
                <w:lang w:eastAsia="zh-CN"/>
              </w:rPr>
              <w:t xml:space="preserve">We prefer the option 1) but all of the options are acceptable </w:t>
            </w:r>
            <w:r w:rsidR="00FF3953">
              <w:rPr>
                <w:lang w:eastAsia="zh-CN"/>
              </w:rPr>
              <w:t xml:space="preserve">to us </w:t>
            </w:r>
            <w:r>
              <w:rPr>
                <w:lang w:eastAsia="zh-CN"/>
              </w:rPr>
              <w:t xml:space="preserve">IF </w:t>
            </w:r>
            <w:r w:rsidR="00FF3953">
              <w:rPr>
                <w:lang w:eastAsia="zh-CN"/>
              </w:rPr>
              <w:t xml:space="preserve">the </w:t>
            </w:r>
            <w:r>
              <w:rPr>
                <w:lang w:eastAsia="zh-CN"/>
              </w:rPr>
              <w:t xml:space="preserve">signalling is there for both LTE and NR. </w:t>
            </w:r>
          </w:p>
          <w:p w14:paraId="745208EF" w14:textId="3D0177E0" w:rsidR="005460F0" w:rsidRDefault="005460F0" w:rsidP="005460F0">
            <w:pPr>
              <w:pStyle w:val="TAC"/>
              <w:numPr>
                <w:ilvl w:val="0"/>
                <w:numId w:val="13"/>
              </w:numPr>
              <w:spacing w:before="20" w:after="20"/>
              <w:ind w:right="57"/>
              <w:jc w:val="left"/>
              <w:rPr>
                <w:lang w:eastAsia="zh-CN"/>
              </w:rPr>
            </w:pPr>
            <w:r>
              <w:rPr>
                <w:lang w:eastAsia="zh-CN"/>
              </w:rPr>
              <w:t xml:space="preserve">1) is our preference for much the same reasons as DENSO indicated: Both eNB and gNB need the information, and the CRs we provided shows that the addition is very straightfirward. </w:t>
            </w:r>
          </w:p>
          <w:p w14:paraId="3B0CE556" w14:textId="2B3ECBDC" w:rsidR="005460F0" w:rsidRDefault="005460F0" w:rsidP="005460F0">
            <w:pPr>
              <w:pStyle w:val="TAC"/>
              <w:numPr>
                <w:ilvl w:val="0"/>
                <w:numId w:val="13"/>
              </w:numPr>
              <w:spacing w:before="20" w:after="20"/>
              <w:ind w:right="57"/>
              <w:jc w:val="left"/>
              <w:rPr>
                <w:lang w:eastAsia="zh-CN"/>
              </w:rPr>
            </w:pPr>
            <w:r>
              <w:rPr>
                <w:lang w:eastAsia="zh-CN"/>
              </w:rPr>
              <w:t xml:space="preserve">2) is acceptable for NR but we would like to note that LTE signalling is needed in addition (as LTE only has </w:t>
            </w:r>
            <w:r w:rsidRPr="005460F0">
              <w:rPr>
                <w:i/>
                <w:iCs/>
                <w:lang w:eastAsia="zh-CN"/>
              </w:rPr>
              <w:t>modifiedMPR</w:t>
            </w:r>
            <w:r>
              <w:rPr>
                <w:lang w:eastAsia="zh-CN"/>
              </w:rPr>
              <w:t xml:space="preserve"> for LTE bands, not for inter-RAT bands).</w:t>
            </w:r>
          </w:p>
          <w:p w14:paraId="7B45F459" w14:textId="6D22C8D6" w:rsidR="003775A5" w:rsidRDefault="005460F0" w:rsidP="005460F0">
            <w:pPr>
              <w:pStyle w:val="TAC"/>
              <w:numPr>
                <w:ilvl w:val="0"/>
                <w:numId w:val="13"/>
              </w:numPr>
              <w:spacing w:before="20" w:after="20"/>
              <w:ind w:right="57"/>
              <w:jc w:val="left"/>
              <w:rPr>
                <w:lang w:eastAsia="zh-CN"/>
              </w:rPr>
            </w:pPr>
            <w:r>
              <w:rPr>
                <w:lang w:eastAsia="zh-CN"/>
              </w:rPr>
              <w:t>3) is acceptable but would require similar signalling for both LTE and NR (which may increase signalling size).</w:t>
            </w:r>
          </w:p>
          <w:p w14:paraId="6C7FE856" w14:textId="77777777" w:rsidR="005460F0" w:rsidRDefault="005460F0" w:rsidP="005460F0">
            <w:pPr>
              <w:pStyle w:val="TAC"/>
              <w:numPr>
                <w:ilvl w:val="0"/>
                <w:numId w:val="13"/>
              </w:numPr>
              <w:spacing w:before="20" w:after="20"/>
              <w:ind w:right="57"/>
              <w:jc w:val="left"/>
              <w:rPr>
                <w:lang w:eastAsia="zh-CN"/>
              </w:rPr>
            </w:pPr>
            <w:r>
              <w:rPr>
                <w:lang w:eastAsia="zh-CN"/>
              </w:rPr>
              <w:t>4) is acceptable as it would work without any changes but carries a RAN4 cost and would require an urgent LS to RAN4 to verify the solution is acceptable to them. If RAN4 says it's not acceptable, then RAN2 should consider another solution.</w:t>
            </w:r>
          </w:p>
          <w:p w14:paraId="5274EFA0" w14:textId="0C7480DA" w:rsidR="005460F0" w:rsidRDefault="005460F0" w:rsidP="005460F0">
            <w:pPr>
              <w:pStyle w:val="TAC"/>
              <w:spacing w:before="20" w:after="20"/>
              <w:ind w:right="57"/>
              <w:jc w:val="left"/>
              <w:rPr>
                <w:lang w:eastAsia="zh-CN"/>
              </w:rPr>
            </w:pPr>
          </w:p>
        </w:tc>
      </w:tr>
      <w:tr w:rsidR="001B70A3" w14:paraId="6173D4AD" w14:textId="77777777" w:rsidTr="00A247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808A6" w14:textId="77777777" w:rsidR="001B70A3" w:rsidRDefault="001B70A3" w:rsidP="00A247A7">
            <w:pPr>
              <w:pStyle w:val="TAC"/>
              <w:spacing w:before="20" w:after="20"/>
              <w:ind w:left="57" w:right="57"/>
              <w:jc w:val="left"/>
              <w:rPr>
                <w:lang w:eastAsia="zh-CN"/>
              </w:rPr>
            </w:pPr>
            <w:r>
              <w:rPr>
                <w:lang w:eastAsia="zh-CN"/>
              </w:rPr>
              <w:t>AT&amp;T</w:t>
            </w:r>
          </w:p>
        </w:tc>
        <w:tc>
          <w:tcPr>
            <w:tcW w:w="1561" w:type="dxa"/>
            <w:tcBorders>
              <w:top w:val="single" w:sz="4" w:space="0" w:color="auto"/>
              <w:left w:val="single" w:sz="4" w:space="0" w:color="auto"/>
              <w:bottom w:val="single" w:sz="4" w:space="0" w:color="auto"/>
              <w:right w:val="single" w:sz="4" w:space="0" w:color="auto"/>
            </w:tcBorders>
          </w:tcPr>
          <w:p w14:paraId="6A30C9B4" w14:textId="77777777" w:rsidR="001B70A3" w:rsidRDefault="001B70A3" w:rsidP="00A247A7">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6CB6F2E7" w14:textId="77777777" w:rsidR="001B70A3" w:rsidRDefault="001B70A3" w:rsidP="00A247A7">
            <w:pPr>
              <w:pStyle w:val="TAC"/>
              <w:spacing w:before="20" w:after="20"/>
              <w:ind w:left="57" w:right="57"/>
              <w:jc w:val="left"/>
            </w:pPr>
            <w:r>
              <w:rPr>
                <w:lang w:eastAsia="zh-CN"/>
              </w:rPr>
              <w:t>AT&amp;T supports adding</w:t>
            </w:r>
            <w:r>
              <w:t xml:space="preserve"> a new per-UE capability bit that indicates that UE supports the extended frequency range in the US for band n77 in a release-independent manner.</w:t>
            </w:r>
          </w:p>
          <w:p w14:paraId="41917311" w14:textId="77777777" w:rsidR="001B70A3" w:rsidRDefault="001B70A3" w:rsidP="00A247A7">
            <w:pPr>
              <w:pStyle w:val="TAC"/>
              <w:spacing w:before="20" w:after="20"/>
              <w:ind w:left="57" w:right="57"/>
              <w:jc w:val="left"/>
            </w:pPr>
          </w:p>
          <w:p w14:paraId="03F8236E" w14:textId="77777777" w:rsidR="001B70A3" w:rsidRDefault="001B70A3" w:rsidP="00A247A7">
            <w:pPr>
              <w:pStyle w:val="TAC"/>
              <w:spacing w:before="20" w:after="20"/>
              <w:ind w:left="57" w:right="57"/>
              <w:jc w:val="left"/>
              <w:rPr>
                <w:lang w:eastAsia="zh-CN"/>
              </w:rPr>
            </w:pPr>
            <w:r>
              <w:t xml:space="preserve">We do not support the introduction of a new </w:t>
            </w:r>
            <w:r w:rsidRPr="009D1BAC">
              <w:t>frequency band (with a new band number)</w:t>
            </w:r>
            <w:r>
              <w:t xml:space="preserve">. </w:t>
            </w: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82C28EA" w:rsidR="003775A5" w:rsidRDefault="002C4EB2" w:rsidP="00C35F09">
            <w:pPr>
              <w:pStyle w:val="TAC"/>
              <w:spacing w:before="20" w:after="20"/>
              <w:ind w:left="57" w:right="57"/>
              <w:jc w:val="left"/>
              <w:rPr>
                <w:lang w:eastAsia="zh-CN"/>
              </w:rPr>
            </w:pPr>
            <w:r>
              <w:rPr>
                <w:lang w:eastAsia="zh-CN"/>
              </w:rPr>
              <w:lastRenderedPageBreak/>
              <w:t>Apple</w:t>
            </w:r>
          </w:p>
        </w:tc>
        <w:tc>
          <w:tcPr>
            <w:tcW w:w="1561" w:type="dxa"/>
            <w:tcBorders>
              <w:top w:val="single" w:sz="4" w:space="0" w:color="auto"/>
              <w:left w:val="single" w:sz="4" w:space="0" w:color="auto"/>
              <w:bottom w:val="single" w:sz="4" w:space="0" w:color="auto"/>
              <w:right w:val="single" w:sz="4" w:space="0" w:color="auto"/>
            </w:tcBorders>
          </w:tcPr>
          <w:p w14:paraId="5BFA4347" w14:textId="012A752C" w:rsidR="003775A5" w:rsidRDefault="002C4EB2" w:rsidP="00C35F09">
            <w:pPr>
              <w:pStyle w:val="TAC"/>
              <w:spacing w:before="20" w:after="20"/>
              <w:ind w:left="57" w:right="57"/>
              <w:jc w:val="left"/>
              <w:rPr>
                <w:lang w:eastAsia="zh-CN"/>
              </w:rPr>
            </w:pPr>
            <w:r>
              <w:rPr>
                <w:lang w:eastAsia="zh-CN"/>
              </w:rPr>
              <w:t>2</w:t>
            </w:r>
          </w:p>
        </w:tc>
        <w:tc>
          <w:tcPr>
            <w:tcW w:w="6375" w:type="dxa"/>
            <w:tcBorders>
              <w:top w:val="single" w:sz="4" w:space="0" w:color="auto"/>
              <w:left w:val="single" w:sz="4" w:space="0" w:color="auto"/>
              <w:bottom w:val="single" w:sz="4" w:space="0" w:color="auto"/>
              <w:right w:val="single" w:sz="4" w:space="0" w:color="auto"/>
            </w:tcBorders>
          </w:tcPr>
          <w:p w14:paraId="2AF3E63E" w14:textId="09B8EA5F" w:rsidR="003775A5" w:rsidRDefault="002C4EB2" w:rsidP="008206F9">
            <w:pPr>
              <w:pStyle w:val="TAC"/>
              <w:spacing w:before="20" w:after="20"/>
              <w:ind w:left="57" w:right="57"/>
              <w:jc w:val="left"/>
              <w:rPr>
                <w:lang w:eastAsia="zh-CN"/>
              </w:rPr>
            </w:pPr>
            <w:r>
              <w:rPr>
                <w:lang w:eastAsia="zh-CN"/>
              </w:rPr>
              <w:t>Adding per-ue capability is similar to adding an interpretation in modifiedMPR, and we can let RAN4 define the exact interpretation of the bit. We think this is simpler approach and also when newer changes are made to n77 in the future. It is also backward compatiable ASN.1 wise and allows for early implementations.</w:t>
            </w: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A2DE9FC" w:rsidR="003775A5" w:rsidRDefault="00FD190F" w:rsidP="00C35F09">
            <w:pPr>
              <w:pStyle w:val="TAC"/>
              <w:spacing w:before="20" w:after="20"/>
              <w:ind w:left="57" w:right="57"/>
              <w:jc w:val="left"/>
              <w:rPr>
                <w:lang w:eastAsia="zh-CN"/>
              </w:rPr>
            </w:pPr>
            <w:r>
              <w:rPr>
                <w:lang w:eastAsia="zh-CN"/>
              </w:rPr>
              <w:t>Charter Communications</w:t>
            </w:r>
          </w:p>
        </w:tc>
        <w:tc>
          <w:tcPr>
            <w:tcW w:w="1561" w:type="dxa"/>
            <w:tcBorders>
              <w:top w:val="single" w:sz="4" w:space="0" w:color="auto"/>
              <w:left w:val="single" w:sz="4" w:space="0" w:color="auto"/>
              <w:bottom w:val="single" w:sz="4" w:space="0" w:color="auto"/>
              <w:right w:val="single" w:sz="4" w:space="0" w:color="auto"/>
            </w:tcBorders>
          </w:tcPr>
          <w:p w14:paraId="0BA2926B" w14:textId="2E97F89C" w:rsidR="003775A5" w:rsidRDefault="00FD190F" w:rsidP="00C35F09">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76D7C8AB" w14:textId="78238E21" w:rsidR="00FD190F" w:rsidRDefault="008D6C7B" w:rsidP="008D6C7B">
            <w:pPr>
              <w:pStyle w:val="TAC"/>
              <w:spacing w:before="20" w:after="20"/>
              <w:ind w:left="57" w:right="57"/>
              <w:jc w:val="left"/>
              <w:rPr>
                <w:lang w:eastAsia="zh-CN"/>
              </w:rPr>
            </w:pPr>
            <w:r>
              <w:rPr>
                <w:lang w:eastAsia="zh-CN"/>
              </w:rPr>
              <w:t>We prefer solution 1). Other solutions are not desirable</w:t>
            </w:r>
            <w:r w:rsidR="002A443C">
              <w:rPr>
                <w:lang w:eastAsia="zh-CN"/>
              </w:rPr>
              <w:t xml:space="preserve"> </w:t>
            </w:r>
            <w:r w:rsidR="00AC3716">
              <w:rPr>
                <w:lang w:eastAsia="zh-CN"/>
              </w:rPr>
              <w:t>because</w:t>
            </w:r>
            <w:r w:rsidR="002A443C">
              <w:rPr>
                <w:lang w:eastAsia="zh-CN"/>
              </w:rPr>
              <w:t>:</w:t>
            </w:r>
            <w:r>
              <w:rPr>
                <w:lang w:eastAsia="zh-CN"/>
              </w:rPr>
              <w:t xml:space="preserve"> 2</w:t>
            </w:r>
            <w:r w:rsidR="00AC3716">
              <w:rPr>
                <w:lang w:eastAsia="zh-CN"/>
              </w:rPr>
              <w:t>)</w:t>
            </w:r>
            <w:r>
              <w:rPr>
                <w:lang w:eastAsia="zh-CN"/>
              </w:rPr>
              <w:t xml:space="preserve"> use</w:t>
            </w:r>
            <w:r w:rsidR="00AC3716">
              <w:rPr>
                <w:lang w:eastAsia="zh-CN"/>
              </w:rPr>
              <w:t>s</w:t>
            </w:r>
            <w:r>
              <w:rPr>
                <w:lang w:eastAsia="zh-CN"/>
              </w:rPr>
              <w:t xml:space="preserve"> </w:t>
            </w:r>
            <w:r w:rsidR="002A443C" w:rsidRPr="00CE3DA1">
              <w:rPr>
                <w:rFonts w:cs="Arial"/>
                <w:i/>
              </w:rPr>
              <w:t>modifiedMPR-Behaviour</w:t>
            </w:r>
            <w:r w:rsidR="002A443C" w:rsidRPr="00CE3DA1">
              <w:rPr>
                <w:rFonts w:cs="Arial"/>
              </w:rPr>
              <w:t xml:space="preserve"> </w:t>
            </w:r>
            <w:r>
              <w:rPr>
                <w:lang w:eastAsia="zh-CN"/>
              </w:rPr>
              <w:t xml:space="preserve">signalling out of its </w:t>
            </w:r>
            <w:r w:rsidR="002A443C">
              <w:rPr>
                <w:lang w:eastAsia="zh-CN"/>
              </w:rPr>
              <w:t>intended</w:t>
            </w:r>
            <w:r>
              <w:rPr>
                <w:lang w:eastAsia="zh-CN"/>
              </w:rPr>
              <w:t xml:space="preserve"> context</w:t>
            </w:r>
            <w:r w:rsidR="002A443C">
              <w:rPr>
                <w:lang w:eastAsia="zh-CN"/>
              </w:rPr>
              <w:t xml:space="preserve"> and </w:t>
            </w:r>
            <w:r w:rsidR="007A78E7">
              <w:rPr>
                <w:lang w:eastAsia="zh-CN"/>
              </w:rPr>
              <w:t>definition</w:t>
            </w:r>
            <w:r>
              <w:rPr>
                <w:lang w:eastAsia="zh-CN"/>
              </w:rPr>
              <w:t xml:space="preserve">, and 4) </w:t>
            </w:r>
            <w:r w:rsidR="00FD190F">
              <w:rPr>
                <w:lang w:eastAsia="zh-CN"/>
              </w:rPr>
              <w:t>set</w:t>
            </w:r>
            <w:r>
              <w:rPr>
                <w:lang w:eastAsia="zh-CN"/>
              </w:rPr>
              <w:t>s</w:t>
            </w:r>
            <w:r w:rsidR="00FD190F">
              <w:rPr>
                <w:lang w:eastAsia="zh-CN"/>
              </w:rPr>
              <w:t xml:space="preserve"> a</w:t>
            </w:r>
            <w:r w:rsidR="007A78E7">
              <w:rPr>
                <w:lang w:eastAsia="zh-CN"/>
              </w:rPr>
              <w:t xml:space="preserve">n undesirable record </w:t>
            </w:r>
            <w:r w:rsidR="00FD190F">
              <w:rPr>
                <w:lang w:eastAsia="zh-CN"/>
              </w:rPr>
              <w:t>where RAN defines a new band</w:t>
            </w:r>
            <w:r>
              <w:rPr>
                <w:lang w:eastAsia="zh-CN"/>
              </w:rPr>
              <w:t xml:space="preserve"> </w:t>
            </w:r>
            <w:r w:rsidR="002A443C">
              <w:rPr>
                <w:lang w:eastAsia="zh-CN"/>
              </w:rPr>
              <w:t>due to</w:t>
            </w:r>
            <w:r>
              <w:rPr>
                <w:lang w:eastAsia="zh-CN"/>
              </w:rPr>
              <w:t xml:space="preserve"> a regional regulatory change</w:t>
            </w:r>
            <w:r w:rsidR="007A78E7">
              <w:rPr>
                <w:lang w:eastAsia="zh-CN"/>
              </w:rPr>
              <w:t xml:space="preserve"> and without enough study and</w:t>
            </w:r>
            <w:r>
              <w:rPr>
                <w:lang w:eastAsia="zh-CN"/>
              </w:rPr>
              <w:t xml:space="preserve">.  </w:t>
            </w:r>
            <w:r w:rsidR="00FD190F">
              <w:rPr>
                <w:lang w:eastAsia="zh-CN"/>
              </w:rPr>
              <w:t xml:space="preserve"> </w:t>
            </w: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600A7BF1" w:rsidR="003775A5" w:rsidRDefault="00954D28" w:rsidP="00C35F09">
            <w:pPr>
              <w:pStyle w:val="TAC"/>
              <w:spacing w:before="20" w:after="20"/>
              <w:ind w:left="57" w:right="57"/>
              <w:jc w:val="left"/>
              <w:rPr>
                <w:lang w:eastAsia="zh-CN"/>
              </w:rPr>
            </w:pPr>
            <w:r>
              <w:rPr>
                <w:lang w:eastAsia="zh-CN"/>
              </w:rPr>
              <w:t>Intel</w:t>
            </w:r>
          </w:p>
        </w:tc>
        <w:tc>
          <w:tcPr>
            <w:tcW w:w="1561" w:type="dxa"/>
            <w:tcBorders>
              <w:top w:val="single" w:sz="4" w:space="0" w:color="auto"/>
              <w:left w:val="single" w:sz="4" w:space="0" w:color="auto"/>
              <w:bottom w:val="single" w:sz="4" w:space="0" w:color="auto"/>
              <w:right w:val="single" w:sz="4" w:space="0" w:color="auto"/>
            </w:tcBorders>
          </w:tcPr>
          <w:p w14:paraId="48F5397F" w14:textId="0D41A7E4" w:rsidR="003775A5" w:rsidRDefault="00954D28" w:rsidP="00C35F09">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79475B02" w14:textId="77777777" w:rsidR="003775A5" w:rsidRDefault="00A1304F" w:rsidP="008206F9">
            <w:pPr>
              <w:pStyle w:val="TAC"/>
              <w:spacing w:before="20" w:after="20"/>
              <w:ind w:left="57" w:right="57"/>
              <w:jc w:val="left"/>
              <w:rPr>
                <w:lang w:eastAsia="zh-CN"/>
              </w:rPr>
            </w:pPr>
            <w:r>
              <w:rPr>
                <w:lang w:eastAsia="zh-CN"/>
              </w:rPr>
              <w:t xml:space="preserve">We also prefer a clean and straightforward signaling. In addition to NR capability, this capability should be introduced in LTE for inter-RAT operation. </w:t>
            </w:r>
            <w:r w:rsidR="00035515">
              <w:rPr>
                <w:lang w:eastAsia="zh-CN"/>
              </w:rPr>
              <w:t xml:space="preserve">In that sense, </w:t>
            </w:r>
            <w:r w:rsidR="000F3C0D">
              <w:rPr>
                <w:lang w:eastAsia="zh-CN"/>
              </w:rPr>
              <w:t xml:space="preserve">given that the purpose of </w:t>
            </w:r>
            <w:r w:rsidR="000F3C0D" w:rsidRPr="000F3C0D">
              <w:rPr>
                <w:lang w:eastAsia="zh-CN"/>
              </w:rPr>
              <w:t>modifiedMPR-Behaviour</w:t>
            </w:r>
            <w:r w:rsidR="000F3C0D">
              <w:rPr>
                <w:lang w:eastAsia="zh-CN"/>
              </w:rPr>
              <w:t xml:space="preserve"> indication is different from this issue, there is a potential confusion to re-define the value of </w:t>
            </w:r>
            <w:r w:rsidR="000F3C0D" w:rsidRPr="000F3C0D">
              <w:rPr>
                <w:lang w:eastAsia="zh-CN"/>
              </w:rPr>
              <w:t>modifiedMPR-Behaviour</w:t>
            </w:r>
            <w:r w:rsidR="000F3C0D">
              <w:rPr>
                <w:lang w:eastAsia="zh-CN"/>
              </w:rPr>
              <w:t>.</w:t>
            </w:r>
            <w:r w:rsidR="00035515">
              <w:rPr>
                <w:lang w:eastAsia="zh-CN"/>
              </w:rPr>
              <w:t xml:space="preserve"> </w:t>
            </w:r>
            <w:r>
              <w:rPr>
                <w:lang w:eastAsia="zh-CN"/>
              </w:rPr>
              <w:t xml:space="preserve"> </w:t>
            </w:r>
          </w:p>
          <w:p w14:paraId="7A6471CD" w14:textId="77777777" w:rsidR="000F3C0D" w:rsidRDefault="000F3C0D" w:rsidP="008206F9">
            <w:pPr>
              <w:pStyle w:val="TAC"/>
              <w:spacing w:before="20" w:after="20"/>
              <w:ind w:left="57" w:right="57"/>
              <w:jc w:val="left"/>
              <w:rPr>
                <w:lang w:eastAsia="zh-CN"/>
              </w:rPr>
            </w:pPr>
            <w:r>
              <w:rPr>
                <w:lang w:eastAsia="zh-CN"/>
              </w:rPr>
              <w:t xml:space="preserve">Regarding idle mode issue, we understand that RAN4 is under discussion what the issue is and whether it is critical issue . It would be dependent on how much RF requirement is different from DoD band and global n77 band. </w:t>
            </w:r>
          </w:p>
          <w:p w14:paraId="02AB8AB1" w14:textId="0C2D3E3C" w:rsidR="000F3C0D" w:rsidRDefault="000F3C0D" w:rsidP="008206F9">
            <w:pPr>
              <w:pStyle w:val="TAC"/>
              <w:spacing w:before="20" w:after="20"/>
              <w:ind w:left="57" w:right="57"/>
              <w:jc w:val="left"/>
              <w:rPr>
                <w:lang w:eastAsia="zh-CN"/>
              </w:rPr>
            </w:pPr>
            <w:r>
              <w:rPr>
                <w:lang w:eastAsia="zh-CN"/>
              </w:rPr>
              <w:t xml:space="preserve">RAN2 can wait for further progress in RAN4. </w:t>
            </w:r>
          </w:p>
        </w:tc>
      </w:tr>
      <w:tr w:rsidR="00960C8D"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1332948" w:rsidR="00960C8D" w:rsidRDefault="00960C8D" w:rsidP="00960C8D">
            <w:pPr>
              <w:pStyle w:val="TAC"/>
              <w:spacing w:before="20" w:after="20"/>
              <w:ind w:left="57" w:right="57"/>
              <w:jc w:val="left"/>
              <w:rPr>
                <w:lang w:eastAsia="zh-CN"/>
              </w:rPr>
            </w:pPr>
            <w:r>
              <w:rPr>
                <w:rFonts w:eastAsia="Malgun Gothic" w:hint="eastAsia"/>
                <w:lang w:eastAsia="ko-KR"/>
              </w:rPr>
              <w:t>Samsung</w:t>
            </w:r>
          </w:p>
        </w:tc>
        <w:tc>
          <w:tcPr>
            <w:tcW w:w="1561" w:type="dxa"/>
            <w:tcBorders>
              <w:top w:val="single" w:sz="4" w:space="0" w:color="auto"/>
              <w:left w:val="single" w:sz="4" w:space="0" w:color="auto"/>
              <w:bottom w:val="single" w:sz="4" w:space="0" w:color="auto"/>
              <w:right w:val="single" w:sz="4" w:space="0" w:color="auto"/>
            </w:tcBorders>
          </w:tcPr>
          <w:p w14:paraId="7CA53438" w14:textId="72C3773C" w:rsidR="00960C8D" w:rsidRDefault="00960C8D" w:rsidP="00960C8D">
            <w:pPr>
              <w:pStyle w:val="TAC"/>
              <w:spacing w:before="20" w:after="20"/>
              <w:ind w:left="57" w:right="57"/>
              <w:jc w:val="left"/>
              <w:rPr>
                <w:lang w:eastAsia="zh-CN"/>
              </w:rPr>
            </w:pPr>
            <w:r>
              <w:rPr>
                <w:rFonts w:eastAsia="Malgun Gothic"/>
                <w:lang w:eastAsia="ko-KR"/>
              </w:rPr>
              <w:t>4 or 1 (depending on RAN4 conclusion)</w:t>
            </w:r>
          </w:p>
        </w:tc>
        <w:tc>
          <w:tcPr>
            <w:tcW w:w="6375" w:type="dxa"/>
            <w:tcBorders>
              <w:top w:val="single" w:sz="4" w:space="0" w:color="auto"/>
              <w:left w:val="single" w:sz="4" w:space="0" w:color="auto"/>
              <w:bottom w:val="single" w:sz="4" w:space="0" w:color="auto"/>
              <w:right w:val="single" w:sz="4" w:space="0" w:color="auto"/>
            </w:tcBorders>
          </w:tcPr>
          <w:p w14:paraId="4FC22EF5" w14:textId="77777777" w:rsidR="00960C8D" w:rsidRDefault="00960C8D" w:rsidP="00960C8D">
            <w:pPr>
              <w:pStyle w:val="TAC"/>
              <w:spacing w:before="20" w:after="20"/>
              <w:ind w:left="57" w:right="57"/>
              <w:jc w:val="left"/>
              <w:rPr>
                <w:rFonts w:eastAsia="Malgun Gothic"/>
                <w:lang w:eastAsia="ko-KR"/>
              </w:rPr>
            </w:pPr>
            <w:r>
              <w:rPr>
                <w:rFonts w:eastAsia="Malgun Gothic"/>
                <w:lang w:eastAsia="ko-KR"/>
              </w:rPr>
              <w:t>Even though it’s urgent, it is not reasonable to divert any current capability for the different purpose from original intention of the capability.</w:t>
            </w:r>
          </w:p>
          <w:p w14:paraId="67905813" w14:textId="77777777" w:rsidR="00960C8D" w:rsidRDefault="00960C8D" w:rsidP="00960C8D">
            <w:pPr>
              <w:pStyle w:val="TAC"/>
              <w:spacing w:before="20" w:after="20"/>
              <w:ind w:left="57" w:right="57"/>
              <w:jc w:val="left"/>
              <w:rPr>
                <w:rFonts w:eastAsia="Malgun Gothic"/>
                <w:lang w:eastAsia="ko-KR"/>
              </w:rPr>
            </w:pPr>
            <w:r>
              <w:rPr>
                <w:rFonts w:eastAsia="Malgun Gothic"/>
                <w:lang w:eastAsia="ko-KR"/>
              </w:rPr>
              <w:t>We prefer to have a clean solution. Hence, a new band for extended n77 may</w:t>
            </w:r>
            <w:r w:rsidRPr="00801A62">
              <w:rPr>
                <w:rFonts w:eastAsia="Malgun Gothic"/>
                <w:lang w:eastAsia="ko-KR"/>
              </w:rPr>
              <w:t xml:space="preserve"> accord closely with</w:t>
            </w:r>
            <w:r>
              <w:rPr>
                <w:rFonts w:eastAsia="Malgun Gothic"/>
                <w:lang w:eastAsia="ko-KR"/>
              </w:rPr>
              <w:t xml:space="preserve"> our preference, if RAN4 concludes in this way. </w:t>
            </w:r>
          </w:p>
          <w:p w14:paraId="68D14AA4" w14:textId="278FC066" w:rsidR="00960C8D" w:rsidRDefault="00960C8D" w:rsidP="00960C8D">
            <w:pPr>
              <w:pStyle w:val="TAC"/>
              <w:spacing w:before="20" w:after="20"/>
              <w:ind w:left="57" w:right="57"/>
              <w:jc w:val="left"/>
              <w:rPr>
                <w:lang w:eastAsia="zh-CN"/>
              </w:rPr>
            </w:pPr>
            <w:r>
              <w:rPr>
                <w:rFonts w:eastAsia="Malgun Gothic"/>
                <w:lang w:eastAsia="ko-KR"/>
              </w:rPr>
              <w:t>If RAN4 has already discussed new band and kept any concern on it, a per-UE capability bit can be considered for simplicity, because it’s a rare case.</w:t>
            </w:r>
          </w:p>
        </w:tc>
      </w:tr>
      <w:tr w:rsidR="00960C8D"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01055F0A" w:rsidR="00960C8D" w:rsidRDefault="00FB5463" w:rsidP="00960C8D">
            <w:pPr>
              <w:pStyle w:val="TAC"/>
              <w:spacing w:before="20" w:after="20"/>
              <w:ind w:left="57" w:right="57"/>
              <w:jc w:val="left"/>
              <w:rPr>
                <w:lang w:eastAsia="zh-CN"/>
              </w:rPr>
            </w:pPr>
            <w:r>
              <w:rPr>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2D9C7F13" w14:textId="34D2BAE8" w:rsidR="00960C8D" w:rsidRDefault="00FB5463" w:rsidP="00960C8D">
            <w:pPr>
              <w:pStyle w:val="TAC"/>
              <w:spacing w:before="20" w:after="20"/>
              <w:ind w:left="57" w:right="57"/>
              <w:jc w:val="left"/>
              <w:rPr>
                <w:lang w:eastAsia="zh-CN"/>
              </w:rPr>
            </w:pPr>
            <w:r>
              <w:rPr>
                <w:lang w:eastAsia="zh-CN"/>
              </w:rPr>
              <w:t>4) if R4 agreed</w:t>
            </w:r>
          </w:p>
          <w:p w14:paraId="08F435E8" w14:textId="54520948" w:rsidR="00FB5463" w:rsidRDefault="00805768" w:rsidP="00960C8D">
            <w:pPr>
              <w:pStyle w:val="TAC"/>
              <w:spacing w:before="20" w:after="20"/>
              <w:ind w:left="57" w:right="57"/>
              <w:jc w:val="left"/>
              <w:rPr>
                <w:lang w:eastAsia="zh-CN"/>
              </w:rPr>
            </w:pPr>
            <w:r>
              <w:rPr>
                <w:lang w:eastAsia="zh-CN"/>
              </w:rPr>
              <w:t>1) and</w:t>
            </w:r>
            <w:r w:rsidR="00FB5463">
              <w:rPr>
                <w:lang w:eastAsia="zh-CN"/>
              </w:rPr>
              <w:t xml:space="preserve"> 2) are acceptable</w:t>
            </w:r>
          </w:p>
        </w:tc>
        <w:tc>
          <w:tcPr>
            <w:tcW w:w="6375" w:type="dxa"/>
            <w:tcBorders>
              <w:top w:val="single" w:sz="4" w:space="0" w:color="auto"/>
              <w:left w:val="single" w:sz="4" w:space="0" w:color="auto"/>
              <w:bottom w:val="single" w:sz="4" w:space="0" w:color="auto"/>
              <w:right w:val="single" w:sz="4" w:space="0" w:color="auto"/>
            </w:tcBorders>
          </w:tcPr>
          <w:p w14:paraId="2260EDC3" w14:textId="2CC1EB65" w:rsidR="00960C8D" w:rsidRDefault="00FB5463" w:rsidP="00960C8D">
            <w:pPr>
              <w:pStyle w:val="TAC"/>
              <w:spacing w:before="20" w:after="20"/>
              <w:ind w:left="57" w:right="57"/>
              <w:jc w:val="left"/>
              <w:rPr>
                <w:lang w:eastAsia="zh-CN"/>
              </w:rPr>
            </w:pPr>
            <w:r>
              <w:rPr>
                <w:lang w:eastAsia="zh-CN"/>
              </w:rPr>
              <w:t xml:space="preserve">A new band indicator is the </w:t>
            </w:r>
            <w:r w:rsidR="00A26F5D">
              <w:rPr>
                <w:lang w:eastAsia="zh-CN"/>
              </w:rPr>
              <w:t xml:space="preserve">cleanest solution which </w:t>
            </w:r>
            <w:r>
              <w:rPr>
                <w:lang w:eastAsia="zh-CN"/>
              </w:rPr>
              <w:t>follow</w:t>
            </w:r>
            <w:r w:rsidR="00A26F5D">
              <w:rPr>
                <w:lang w:eastAsia="zh-CN"/>
              </w:rPr>
              <w:t>s</w:t>
            </w:r>
            <w:r>
              <w:rPr>
                <w:lang w:eastAsia="zh-CN"/>
              </w:rPr>
              <w:t xml:space="preserve"> legacy convention. It also resolve the IDLE mode camping issue for roaming UEs.</w:t>
            </w:r>
          </w:p>
          <w:p w14:paraId="6911172B" w14:textId="2C5B27D7" w:rsidR="00FB5463" w:rsidRDefault="00FB5463" w:rsidP="00960C8D">
            <w:pPr>
              <w:pStyle w:val="TAC"/>
              <w:spacing w:before="20" w:after="20"/>
              <w:ind w:left="57" w:right="57"/>
              <w:jc w:val="left"/>
              <w:rPr>
                <w:lang w:eastAsia="zh-CN"/>
              </w:rPr>
            </w:pPr>
            <w:r>
              <w:rPr>
                <w:lang w:eastAsia="zh-CN"/>
              </w:rPr>
              <w:t xml:space="preserve">For 3), it seems </w:t>
            </w:r>
            <w:r w:rsidR="00A26F5D">
              <w:rPr>
                <w:lang w:eastAsia="zh-CN"/>
              </w:rPr>
              <w:t>that per band capability is the same as per UE capability if only band n77 could indicate this new capability. Unless other bands also this kind of capability (hope not), we think per-UE capability is enough.</w:t>
            </w:r>
          </w:p>
          <w:p w14:paraId="1BC4BB88" w14:textId="1A3B3185" w:rsidR="00FB5463" w:rsidRDefault="00A26F5D" w:rsidP="00960C8D">
            <w:pPr>
              <w:pStyle w:val="TAC"/>
              <w:spacing w:before="20" w:after="20"/>
              <w:ind w:left="57" w:right="57"/>
              <w:jc w:val="left"/>
              <w:rPr>
                <w:lang w:eastAsia="zh-CN"/>
              </w:rPr>
            </w:pPr>
            <w:r>
              <w:rPr>
                <w:lang w:eastAsia="zh-CN"/>
              </w:rPr>
              <w:t>If 4) is not agreed, we still need to discuss whether the roaming UE camping issue need to be resolved.</w:t>
            </w:r>
            <w:bookmarkStart w:id="58" w:name="_GoBack"/>
            <w:bookmarkEnd w:id="58"/>
          </w:p>
        </w:tc>
      </w:tr>
      <w:tr w:rsidR="00960C8D"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67C3C508"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B49FEE4"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0C453D0" w14:textId="77777777" w:rsidR="00960C8D" w:rsidRDefault="00960C8D" w:rsidP="00960C8D">
            <w:pPr>
              <w:pStyle w:val="TAC"/>
              <w:spacing w:before="20" w:after="20"/>
              <w:ind w:left="57" w:right="57"/>
              <w:jc w:val="left"/>
              <w:rPr>
                <w:lang w:eastAsia="zh-CN"/>
              </w:rPr>
            </w:pPr>
          </w:p>
        </w:tc>
      </w:tr>
      <w:tr w:rsidR="00960C8D"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13EDEB92"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9730486" w14:textId="77777777" w:rsidR="00960C8D" w:rsidRDefault="00960C8D" w:rsidP="00960C8D">
            <w:pPr>
              <w:pStyle w:val="TAC"/>
              <w:spacing w:before="20" w:after="20"/>
              <w:ind w:left="57" w:right="57"/>
              <w:jc w:val="left"/>
              <w:rPr>
                <w:lang w:eastAsia="zh-CN"/>
              </w:rPr>
            </w:pPr>
          </w:p>
        </w:tc>
      </w:tr>
      <w:tr w:rsidR="00960C8D"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960C8D" w:rsidRDefault="00960C8D" w:rsidP="00960C8D">
            <w:pPr>
              <w:pStyle w:val="TAC"/>
              <w:spacing w:before="20" w:after="20"/>
              <w:ind w:left="57" w:right="57"/>
              <w:jc w:val="left"/>
              <w:rPr>
                <w:lang w:eastAsia="zh-CN"/>
              </w:rPr>
            </w:pPr>
          </w:p>
        </w:tc>
      </w:tr>
      <w:tr w:rsidR="00960C8D"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960C8D" w:rsidRDefault="00960C8D" w:rsidP="00960C8D">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Heading2"/>
      </w:pPr>
      <w:r>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Heading1"/>
      </w:pPr>
      <w:r>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Heading1"/>
      </w:pPr>
      <w:r>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lastRenderedPageBreak/>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[AT115-e][029][NR16]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7" w:history="1">
        <w:r w:rsidR="0045269D">
          <w:rPr>
            <w:rStyle w:val="Hyperlink"/>
          </w:rPr>
          <w:t>R2-2107935</w:t>
        </w:r>
      </w:hyperlink>
      <w:r>
        <w:t xml:space="preserve"> – 7947, </w:t>
      </w:r>
      <w:hyperlink r:id="rId28" w:history="1">
        <w:r w:rsidR="0045269D">
          <w:rPr>
            <w:rStyle w:val="Hyperlink"/>
          </w:rPr>
          <w:t>R2-2108287</w:t>
        </w:r>
      </w:hyperlink>
      <w:r>
        <w:t xml:space="preserve">, </w:t>
      </w:r>
      <w:hyperlink r:id="rId29" w:history="1">
        <w:r w:rsidR="0045269D">
          <w:rPr>
            <w:rStyle w:val="Hyperlink"/>
          </w:rPr>
          <w:t>R2-2108756</w:t>
        </w:r>
      </w:hyperlink>
      <w:r>
        <w:t>,</w:t>
      </w:r>
      <w:r w:rsidRPr="006F712E">
        <w:t xml:space="preserve"> </w:t>
      </w:r>
      <w:hyperlink r:id="rId30" w:history="1">
        <w:r w:rsidR="0045269D">
          <w:rPr>
            <w:rStyle w:val="Hyperlink"/>
          </w:rPr>
          <w:t>R2-2108332</w:t>
        </w:r>
      </w:hyperlink>
    </w:p>
    <w:p w14:paraId="17666C64" w14:textId="77777777" w:rsidR="005223AC" w:rsidRDefault="005223AC" w:rsidP="005223AC">
      <w:pPr>
        <w:pStyle w:val="EmailDiscussion2"/>
      </w:pPr>
      <w:r>
        <w:tab/>
        <w:t>Intended outcome: Report, Agreed CRs.</w:t>
      </w:r>
    </w:p>
    <w:p w14:paraId="4F590654" w14:textId="77777777" w:rsidR="005223AC" w:rsidRDefault="005223AC" w:rsidP="005223AC">
      <w:pPr>
        <w:pStyle w:val="EmailDiscussion2"/>
      </w:pPr>
      <w:r>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lang w:val="en-US" w:eastAsia="zh-TW"/>
        </w:rPr>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2035" cy="2507615"/>
                    </a:xfrm>
                    <a:prstGeom prst="rect">
                      <a:avLst/>
                    </a:prstGeom>
                  </pic:spPr>
                </pic:pic>
              </a:graphicData>
            </a:graphic>
          </wp:inline>
        </w:drawing>
      </w:r>
    </w:p>
    <w:p w14:paraId="3ACD34E9" w14:textId="62A1B6CB" w:rsidR="005223AC" w:rsidRDefault="0018778B" w:rsidP="005223AC">
      <w:pPr>
        <w:pStyle w:val="Doc-title"/>
      </w:pPr>
      <w:hyperlink r:id="rId32" w:history="1">
        <w:r w:rsidR="0045269D">
          <w:rPr>
            <w:rStyle w:val="Hyperlink"/>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18778B" w:rsidP="005223AC">
      <w:pPr>
        <w:pStyle w:val="Doc-title"/>
      </w:pPr>
      <w:hyperlink r:id="rId33" w:history="1">
        <w:r w:rsidR="0045269D">
          <w:rPr>
            <w:rStyle w:val="Hyperlink"/>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18778B" w:rsidP="005223AC">
      <w:pPr>
        <w:pStyle w:val="Doc-title"/>
      </w:pPr>
      <w:hyperlink r:id="rId34" w:history="1">
        <w:r w:rsidR="0045269D">
          <w:rPr>
            <w:rStyle w:val="Hyperlink"/>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18778B" w:rsidP="005223AC">
      <w:pPr>
        <w:pStyle w:val="Doc-title"/>
      </w:pPr>
      <w:hyperlink r:id="rId35" w:history="1">
        <w:r w:rsidR="0045269D">
          <w:rPr>
            <w:rStyle w:val="Hyperlink"/>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18778B" w:rsidP="005223AC">
      <w:pPr>
        <w:pStyle w:val="Doc-title"/>
      </w:pPr>
      <w:hyperlink r:id="rId36" w:history="1">
        <w:r w:rsidR="0045269D">
          <w:rPr>
            <w:rStyle w:val="Hyperlink"/>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18778B" w:rsidP="005223AC">
      <w:pPr>
        <w:pStyle w:val="Doc-title"/>
      </w:pPr>
      <w:hyperlink r:id="rId37" w:history="1">
        <w:r w:rsidR="0045269D">
          <w:rPr>
            <w:rStyle w:val="Hyperlink"/>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18778B" w:rsidP="005223AC">
      <w:pPr>
        <w:pStyle w:val="Doc-title"/>
      </w:pPr>
      <w:hyperlink r:id="rId38" w:history="1">
        <w:r w:rsidR="0045269D">
          <w:rPr>
            <w:rStyle w:val="Hyperlink"/>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18778B" w:rsidP="005223AC">
      <w:pPr>
        <w:pStyle w:val="Doc-title"/>
      </w:pPr>
      <w:hyperlink r:id="rId39" w:history="1">
        <w:r w:rsidR="0045269D">
          <w:rPr>
            <w:rStyle w:val="Hyperlink"/>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18778B" w:rsidP="005223AC">
      <w:pPr>
        <w:pStyle w:val="Doc-title"/>
      </w:pPr>
      <w:hyperlink r:id="rId40" w:history="1">
        <w:r w:rsidR="0045269D">
          <w:rPr>
            <w:rStyle w:val="Hyperlink"/>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18778B" w:rsidP="005223AC">
      <w:pPr>
        <w:pStyle w:val="Doc-title"/>
      </w:pPr>
      <w:hyperlink r:id="rId41" w:history="1">
        <w:r w:rsidR="0045269D">
          <w:rPr>
            <w:rStyle w:val="Hyperlink"/>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18778B" w:rsidP="005223AC">
      <w:pPr>
        <w:pStyle w:val="Doc-title"/>
      </w:pPr>
      <w:hyperlink r:id="rId42" w:history="1">
        <w:r w:rsidR="0045269D">
          <w:rPr>
            <w:rStyle w:val="Hyperlink"/>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18778B" w:rsidP="005223AC">
      <w:pPr>
        <w:pStyle w:val="Doc-title"/>
      </w:pPr>
      <w:hyperlink r:id="rId43" w:history="1">
        <w:r w:rsidR="0045269D">
          <w:rPr>
            <w:rStyle w:val="Hyperlink"/>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18778B" w:rsidP="005223AC">
      <w:pPr>
        <w:pStyle w:val="Doc-title"/>
      </w:pPr>
      <w:hyperlink r:id="rId44" w:history="1">
        <w:r w:rsidR="0045269D">
          <w:rPr>
            <w:rStyle w:val="Hyperlink"/>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18778B" w:rsidP="005223AC">
      <w:pPr>
        <w:pStyle w:val="Doc-title"/>
      </w:pPr>
      <w:hyperlink r:id="rId45" w:history="1">
        <w:r w:rsidR="0045269D">
          <w:rPr>
            <w:rStyle w:val="Hyperlink"/>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18778B" w:rsidP="005223AC">
      <w:pPr>
        <w:pStyle w:val="Doc-title"/>
      </w:pPr>
      <w:hyperlink r:id="rId46" w:history="1">
        <w:r w:rsidR="0045269D">
          <w:rPr>
            <w:rStyle w:val="Hyperlink"/>
          </w:rPr>
          <w:t>R2-2108756</w:t>
        </w:r>
      </w:hyperlink>
      <w:r w:rsidR="005223AC">
        <w:tab/>
        <w:t>Discussion on n77 issue</w:t>
      </w:r>
      <w:r w:rsidR="005223AC">
        <w:tab/>
        <w:t>MediaTek Inc.</w:t>
      </w:r>
      <w:r w:rsidR="005223AC">
        <w:tab/>
        <w:t>discussion</w:t>
      </w:r>
    </w:p>
    <w:p w14:paraId="1A34DDF8" w14:textId="7CDB221A" w:rsidR="005223AC" w:rsidRDefault="0018778B" w:rsidP="005223AC">
      <w:pPr>
        <w:pStyle w:val="Doc-title"/>
      </w:pPr>
      <w:hyperlink r:id="rId47" w:history="1">
        <w:r w:rsidR="0045269D">
          <w:rPr>
            <w:rStyle w:val="Hyperlink"/>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65FDC" w14:textId="77777777" w:rsidR="0018778B" w:rsidRDefault="0018778B">
      <w:r>
        <w:separator/>
      </w:r>
    </w:p>
  </w:endnote>
  <w:endnote w:type="continuationSeparator" w:id="0">
    <w:p w14:paraId="76669B18" w14:textId="77777777" w:rsidR="0018778B" w:rsidRDefault="0018778B">
      <w:r>
        <w:continuationSeparator/>
      </w:r>
    </w:p>
  </w:endnote>
  <w:endnote w:type="continuationNotice" w:id="1">
    <w:p w14:paraId="410E4E58" w14:textId="77777777" w:rsidR="0018778B" w:rsidRDefault="001877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5D740" w14:textId="77777777" w:rsidR="0018778B" w:rsidRDefault="0018778B">
      <w:r>
        <w:separator/>
      </w:r>
    </w:p>
  </w:footnote>
  <w:footnote w:type="continuationSeparator" w:id="0">
    <w:p w14:paraId="2C648195" w14:textId="77777777" w:rsidR="0018778B" w:rsidRDefault="0018778B">
      <w:r>
        <w:continuationSeparator/>
      </w:r>
    </w:p>
  </w:footnote>
  <w:footnote w:type="continuationNotice" w:id="1">
    <w:p w14:paraId="7BC529A9" w14:textId="77777777" w:rsidR="0018778B" w:rsidRDefault="0018778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1"/>
  </w:num>
  <w:num w:numId="12">
    <w:abstractNumId w:val="6"/>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291D"/>
    <w:rsid w:val="00016557"/>
    <w:rsid w:val="00023C40"/>
    <w:rsid w:val="000321CA"/>
    <w:rsid w:val="00033397"/>
    <w:rsid w:val="000340D4"/>
    <w:rsid w:val="00035515"/>
    <w:rsid w:val="00040095"/>
    <w:rsid w:val="00073C9C"/>
    <w:rsid w:val="00080512"/>
    <w:rsid w:val="00090468"/>
    <w:rsid w:val="00090ECD"/>
    <w:rsid w:val="00094568"/>
    <w:rsid w:val="000B347B"/>
    <w:rsid w:val="000B7BCF"/>
    <w:rsid w:val="000C522B"/>
    <w:rsid w:val="000D58AB"/>
    <w:rsid w:val="000F3C0D"/>
    <w:rsid w:val="00112F1A"/>
    <w:rsid w:val="001307CF"/>
    <w:rsid w:val="00144000"/>
    <w:rsid w:val="00144934"/>
    <w:rsid w:val="00145075"/>
    <w:rsid w:val="001474BA"/>
    <w:rsid w:val="00150EF9"/>
    <w:rsid w:val="00162743"/>
    <w:rsid w:val="001741A0"/>
    <w:rsid w:val="00175FA0"/>
    <w:rsid w:val="0018671D"/>
    <w:rsid w:val="0018778B"/>
    <w:rsid w:val="00194CD0"/>
    <w:rsid w:val="001B3545"/>
    <w:rsid w:val="001B49C9"/>
    <w:rsid w:val="001B70A3"/>
    <w:rsid w:val="001C1AFE"/>
    <w:rsid w:val="001C23F4"/>
    <w:rsid w:val="001C4F79"/>
    <w:rsid w:val="001F168B"/>
    <w:rsid w:val="001F7831"/>
    <w:rsid w:val="00204045"/>
    <w:rsid w:val="0020712B"/>
    <w:rsid w:val="0022606D"/>
    <w:rsid w:val="00231728"/>
    <w:rsid w:val="00233EA1"/>
    <w:rsid w:val="002409AE"/>
    <w:rsid w:val="002444D2"/>
    <w:rsid w:val="00244A05"/>
    <w:rsid w:val="00250404"/>
    <w:rsid w:val="002610D8"/>
    <w:rsid w:val="002747EC"/>
    <w:rsid w:val="002855BF"/>
    <w:rsid w:val="002A443C"/>
    <w:rsid w:val="002C4EB2"/>
    <w:rsid w:val="002C6DD4"/>
    <w:rsid w:val="002F0D22"/>
    <w:rsid w:val="002F6870"/>
    <w:rsid w:val="00311B17"/>
    <w:rsid w:val="003172DC"/>
    <w:rsid w:val="00325AE3"/>
    <w:rsid w:val="00326069"/>
    <w:rsid w:val="0035462D"/>
    <w:rsid w:val="00357CDA"/>
    <w:rsid w:val="0036459E"/>
    <w:rsid w:val="00364B41"/>
    <w:rsid w:val="003775A5"/>
    <w:rsid w:val="0038127C"/>
    <w:rsid w:val="00383096"/>
    <w:rsid w:val="0039346C"/>
    <w:rsid w:val="003A41EF"/>
    <w:rsid w:val="003B40AD"/>
    <w:rsid w:val="003C2770"/>
    <w:rsid w:val="003C4E37"/>
    <w:rsid w:val="003C7362"/>
    <w:rsid w:val="003D6EEE"/>
    <w:rsid w:val="003E16BE"/>
    <w:rsid w:val="003E7137"/>
    <w:rsid w:val="003F4E28"/>
    <w:rsid w:val="004006E8"/>
    <w:rsid w:val="00401855"/>
    <w:rsid w:val="0045269D"/>
    <w:rsid w:val="004607F6"/>
    <w:rsid w:val="00465587"/>
    <w:rsid w:val="00471274"/>
    <w:rsid w:val="00477455"/>
    <w:rsid w:val="004A1F7B"/>
    <w:rsid w:val="004C44D2"/>
    <w:rsid w:val="004D3578"/>
    <w:rsid w:val="004D380D"/>
    <w:rsid w:val="004E213A"/>
    <w:rsid w:val="004F5216"/>
    <w:rsid w:val="00503171"/>
    <w:rsid w:val="00506C28"/>
    <w:rsid w:val="005223AC"/>
    <w:rsid w:val="00534DA0"/>
    <w:rsid w:val="00543E6C"/>
    <w:rsid w:val="005460F0"/>
    <w:rsid w:val="00557B0B"/>
    <w:rsid w:val="00565087"/>
    <w:rsid w:val="005652B7"/>
    <w:rsid w:val="0056573F"/>
    <w:rsid w:val="00571279"/>
    <w:rsid w:val="005A49C6"/>
    <w:rsid w:val="00602085"/>
    <w:rsid w:val="00611566"/>
    <w:rsid w:val="00646D99"/>
    <w:rsid w:val="00656910"/>
    <w:rsid w:val="006574C0"/>
    <w:rsid w:val="006657F3"/>
    <w:rsid w:val="00665C73"/>
    <w:rsid w:val="00675A4D"/>
    <w:rsid w:val="00696821"/>
    <w:rsid w:val="006C285F"/>
    <w:rsid w:val="006C66D8"/>
    <w:rsid w:val="006D1A14"/>
    <w:rsid w:val="006D1E24"/>
    <w:rsid w:val="006D35DE"/>
    <w:rsid w:val="006E1417"/>
    <w:rsid w:val="006E2423"/>
    <w:rsid w:val="006F14ED"/>
    <w:rsid w:val="006F6A2C"/>
    <w:rsid w:val="007036E6"/>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A78E7"/>
    <w:rsid w:val="007B18D8"/>
    <w:rsid w:val="007B3827"/>
    <w:rsid w:val="007C095F"/>
    <w:rsid w:val="007C2DD0"/>
    <w:rsid w:val="007C3975"/>
    <w:rsid w:val="007E4ED8"/>
    <w:rsid w:val="007E76E2"/>
    <w:rsid w:val="007E7FF5"/>
    <w:rsid w:val="007F2E08"/>
    <w:rsid w:val="007F7B43"/>
    <w:rsid w:val="008028A4"/>
    <w:rsid w:val="00805768"/>
    <w:rsid w:val="00813245"/>
    <w:rsid w:val="008206F9"/>
    <w:rsid w:val="00840DE0"/>
    <w:rsid w:val="0086354A"/>
    <w:rsid w:val="008768CA"/>
    <w:rsid w:val="00877EF9"/>
    <w:rsid w:val="00880559"/>
    <w:rsid w:val="008B5306"/>
    <w:rsid w:val="008C2E2A"/>
    <w:rsid w:val="008C3057"/>
    <w:rsid w:val="008D2E4D"/>
    <w:rsid w:val="008D6C7B"/>
    <w:rsid w:val="008E7298"/>
    <w:rsid w:val="008F396F"/>
    <w:rsid w:val="008F3DCD"/>
    <w:rsid w:val="008F694A"/>
    <w:rsid w:val="0090271F"/>
    <w:rsid w:val="00902DB9"/>
    <w:rsid w:val="0090466A"/>
    <w:rsid w:val="00923655"/>
    <w:rsid w:val="00936071"/>
    <w:rsid w:val="009376CD"/>
    <w:rsid w:val="00940212"/>
    <w:rsid w:val="00942EC2"/>
    <w:rsid w:val="00954D28"/>
    <w:rsid w:val="00960C8D"/>
    <w:rsid w:val="00961B32"/>
    <w:rsid w:val="00962509"/>
    <w:rsid w:val="00970DB3"/>
    <w:rsid w:val="00974BB0"/>
    <w:rsid w:val="00975BCD"/>
    <w:rsid w:val="009928A9"/>
    <w:rsid w:val="009A0AF3"/>
    <w:rsid w:val="009B07CD"/>
    <w:rsid w:val="009C19E9"/>
    <w:rsid w:val="009D74A6"/>
    <w:rsid w:val="009E0E87"/>
    <w:rsid w:val="009E3115"/>
    <w:rsid w:val="00A10F02"/>
    <w:rsid w:val="00A1304F"/>
    <w:rsid w:val="00A204CA"/>
    <w:rsid w:val="00A209D6"/>
    <w:rsid w:val="00A22738"/>
    <w:rsid w:val="00A26F5D"/>
    <w:rsid w:val="00A52EAB"/>
    <w:rsid w:val="00A53724"/>
    <w:rsid w:val="00A54B2B"/>
    <w:rsid w:val="00A82346"/>
    <w:rsid w:val="00A9671C"/>
    <w:rsid w:val="00AA1553"/>
    <w:rsid w:val="00AB015D"/>
    <w:rsid w:val="00AB6741"/>
    <w:rsid w:val="00AC3716"/>
    <w:rsid w:val="00B05380"/>
    <w:rsid w:val="00B05962"/>
    <w:rsid w:val="00B064BD"/>
    <w:rsid w:val="00B15449"/>
    <w:rsid w:val="00B16C2F"/>
    <w:rsid w:val="00B27303"/>
    <w:rsid w:val="00B47FD1"/>
    <w:rsid w:val="00B516BB"/>
    <w:rsid w:val="00B54CD0"/>
    <w:rsid w:val="00B605EF"/>
    <w:rsid w:val="00B8403B"/>
    <w:rsid w:val="00B84DB2"/>
    <w:rsid w:val="00BC1A92"/>
    <w:rsid w:val="00BC3555"/>
    <w:rsid w:val="00C10A78"/>
    <w:rsid w:val="00C12B51"/>
    <w:rsid w:val="00C16BA9"/>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44B5"/>
    <w:rsid w:val="00D3792D"/>
    <w:rsid w:val="00D55E47"/>
    <w:rsid w:val="00D611F6"/>
    <w:rsid w:val="00D62E19"/>
    <w:rsid w:val="00D67CD1"/>
    <w:rsid w:val="00D736A2"/>
    <w:rsid w:val="00D738D6"/>
    <w:rsid w:val="00D75BA8"/>
    <w:rsid w:val="00D80795"/>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C2D66"/>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B5463"/>
    <w:rsid w:val="00FC1192"/>
    <w:rsid w:val="00FD190F"/>
    <w:rsid w:val="00FE106D"/>
    <w:rsid w:val="00FE251B"/>
    <w:rsid w:val="00FF3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5223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223AC"/>
    <w:rPr>
      <w:rFonts w:ascii="Arial" w:eastAsia="MS Mincho" w:hAnsi="Arial"/>
      <w:szCs w:val="24"/>
    </w:rPr>
  </w:style>
  <w:style w:type="paragraph" w:customStyle="1" w:styleId="Doc-title">
    <w:name w:val="Doc-title"/>
    <w:basedOn w:val="Normal"/>
    <w:next w:val="Doc-text2"/>
    <w:link w:val="Doc-titleChar"/>
    <w:qFormat/>
    <w:rsid w:val="005223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5223AC"/>
    <w:rPr>
      <w:rFonts w:ascii="Arial" w:eastAsia="MS Mincho" w:hAnsi="Arial"/>
      <w:noProof/>
      <w:szCs w:val="24"/>
    </w:rPr>
  </w:style>
  <w:style w:type="paragraph" w:customStyle="1" w:styleId="Comments">
    <w:name w:val="Comments"/>
    <w:basedOn w:val="Normal"/>
    <w:link w:val="CommentsChar"/>
    <w:qFormat/>
    <w:rsid w:val="005223A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223AC"/>
    <w:rPr>
      <w:rFonts w:ascii="Arial" w:eastAsia="MS Mincho" w:hAnsi="Arial"/>
      <w:i/>
      <w:noProof/>
      <w:sz w:val="18"/>
      <w:szCs w:val="24"/>
    </w:rPr>
  </w:style>
  <w:style w:type="paragraph" w:customStyle="1" w:styleId="BoldComments">
    <w:name w:val="Bold Comments"/>
    <w:basedOn w:val="Normal"/>
    <w:link w:val="BoldCommentsChar"/>
    <w:qFormat/>
    <w:rsid w:val="005223A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5223AC"/>
    <w:rPr>
      <w:rFonts w:ascii="Arial" w:eastAsia="MS Mincho" w:hAnsi="Arial"/>
      <w:b/>
      <w:szCs w:val="24"/>
      <w:lang w:val="x-none" w:eastAsia="x-none"/>
    </w:rPr>
  </w:style>
  <w:style w:type="paragraph" w:styleId="ListParagraph">
    <w:name w:val="List Paragraph"/>
    <w:basedOn w:val="Normal"/>
    <w:uiPriority w:val="34"/>
    <w:qFormat/>
    <w:rsid w:val="0045269D"/>
    <w:pPr>
      <w:ind w:left="720"/>
      <w:contextualSpacing/>
    </w:pPr>
  </w:style>
  <w:style w:type="table" w:styleId="TableGrid">
    <w:name w:val="Table Grid"/>
    <w:basedOn w:val="TableNormal"/>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399640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5182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8756.zip" TargetMode="External"/><Relationship Id="rId18" Type="http://schemas.openxmlformats.org/officeDocument/2006/relationships/hyperlink" Target="https://www.3gpp.org/ftp/TSG_RAN/WG2_RL2/TSGR2_115-e/Docs/R2-2108332.zip" TargetMode="External"/><Relationship Id="rId26" Type="http://schemas.openxmlformats.org/officeDocument/2006/relationships/hyperlink" Target="https://www.3gpp.org/ftp/TSG_RAN/WG2_RL2/TSGR2_115-e/Docs/R2-2108756.zip" TargetMode="External"/><Relationship Id="rId39" Type="http://schemas.openxmlformats.org/officeDocument/2006/relationships/hyperlink" Target="https://www.3gpp.org/ftp/TSG_RAN/WG2_RL2/TSGR2_115-e/Docs/R2-2107942.zip" TargetMode="External"/><Relationship Id="rId21" Type="http://schemas.openxmlformats.org/officeDocument/2006/relationships/hyperlink" Target="https://www.3gpp.org/ftp/TSG_RAN/WG2_RL2/TSGR2_115-e/Docs/R2-2108332.zip" TargetMode="External"/><Relationship Id="rId34" Type="http://schemas.openxmlformats.org/officeDocument/2006/relationships/hyperlink" Target="https://www.3gpp.org/ftp/TSG_RAN/WG2_RL2/TSGR2_115-e/Docs/R2-2107937.zip" TargetMode="External"/><Relationship Id="rId42" Type="http://schemas.openxmlformats.org/officeDocument/2006/relationships/hyperlink" Target="https://www.3gpp.org/ftp/TSG_RAN/WG2_RL2/TSGR2_115-e/Docs/R2-2107945.zip" TargetMode="External"/><Relationship Id="rId47" Type="http://schemas.openxmlformats.org/officeDocument/2006/relationships/hyperlink" Target="https://www.3gpp.org/ftp/TSG_RAN/WG2_RL2/TSGR2_115-e/Docs/R2-2108332.zip"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3gpp.org/ftp/TSG_RAN/WG2_RL2/TSGR2_115-e/Docs/R2-2108287.zip" TargetMode="External"/><Relationship Id="rId29" Type="http://schemas.openxmlformats.org/officeDocument/2006/relationships/hyperlink" Target="https://www.3gpp.org/ftp/TSG_RAN/WG2_RL2/TSGR2_115-e/Docs/R2-2108756.zip" TargetMode="External"/><Relationship Id="rId11" Type="http://schemas.openxmlformats.org/officeDocument/2006/relationships/hyperlink" Target="https://www.3gpp.org/ftp/TSG_RAN/WG2_RL2/TSGR2_115-e/Docs/R2-2107935.zip" TargetMode="External"/><Relationship Id="rId24" Type="http://schemas.openxmlformats.org/officeDocument/2006/relationships/hyperlink" Target="https://www.3gpp.org/ftp/TSG_RAN/WG2_RL2/TSGR2_115-e/Docs/R2-2107935.zip" TargetMode="External"/><Relationship Id="rId32" Type="http://schemas.openxmlformats.org/officeDocument/2006/relationships/hyperlink" Target="https://www.3gpp.org/ftp/TSG_RAN/WG2_RL2/TSGR2_115-e/Docs/R2-2107935.zip" TargetMode="External"/><Relationship Id="rId37" Type="http://schemas.openxmlformats.org/officeDocument/2006/relationships/hyperlink" Target="https://www.3gpp.org/ftp/TSG_RAN/WG2_RL2/TSGR2_115-e/Docs/R2-2107940.zip" TargetMode="External"/><Relationship Id="rId40" Type="http://schemas.openxmlformats.org/officeDocument/2006/relationships/hyperlink" Target="https://www.3gpp.org/ftp/TSG_RAN/WG2_RL2/TSGR2_115-e/Docs/R2-2107943.zip" TargetMode="External"/><Relationship Id="rId45" Type="http://schemas.openxmlformats.org/officeDocument/2006/relationships/hyperlink" Target="https://www.3gpp.org/ftp/TSG_RAN/WG2_RL2/TSGR2_115-e/Docs/R2-2108287.zip" TargetMode="External"/><Relationship Id="rId5" Type="http://schemas.openxmlformats.org/officeDocument/2006/relationships/styles" Target="styles.xml"/><Relationship Id="rId15" Type="http://schemas.openxmlformats.org/officeDocument/2006/relationships/hyperlink" Target="https://www.3gpp.org/ftp/TSG_RAN/WG2_RL2/TSGR2_115-e/Docs/R2-2107935.zip" TargetMode="External"/><Relationship Id="rId23" Type="http://schemas.openxmlformats.org/officeDocument/2006/relationships/hyperlink" Target="https://www.3gpp.org/ftp/TSG_RAN/WG2_RL2/TSGR2_115-e/Docs/R2-2108287.zip" TargetMode="External"/><Relationship Id="rId28" Type="http://schemas.openxmlformats.org/officeDocument/2006/relationships/hyperlink" Target="https://www.3gpp.org/ftp/TSG_RAN/WG2_RL2/TSGR2_115-e/Docs/R2-2108287.zip" TargetMode="External"/><Relationship Id="rId36" Type="http://schemas.openxmlformats.org/officeDocument/2006/relationships/hyperlink" Target="https://www.3gpp.org/ftp/TSG_RAN/WG2_RL2/TSGR2_115-e/Docs/R2-2107939.zip" TargetMode="External"/><Relationship Id="rId49" Type="http://schemas.microsoft.com/office/2011/relationships/people" Target="people.xml"/><Relationship Id="rId10" Type="http://schemas.openxmlformats.org/officeDocument/2006/relationships/hyperlink" Target="https://www.3gpp.org/ftp/TSG_RAN/WG2_RL2/TSGR2_115-e/Docs/R2-210xxxx.zip" TargetMode="External"/><Relationship Id="rId19" Type="http://schemas.openxmlformats.org/officeDocument/2006/relationships/hyperlink" Target="https://www.3gpp.org/ftp/TSG_RAN/WG2_RL2/TSGR2_115-e/Docs/R2-2107935.zip" TargetMode="External"/><Relationship Id="rId31" Type="http://schemas.openxmlformats.org/officeDocument/2006/relationships/image" Target="media/image1.png"/><Relationship Id="rId44" Type="http://schemas.openxmlformats.org/officeDocument/2006/relationships/hyperlink" Target="https://www.3gpp.org/ftp/TSG_RAN/WG2_RL2/TSGR2_115-e/Docs/R2-210794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5-e/Docs/R2-2108332.zip" TargetMode="External"/><Relationship Id="rId22" Type="http://schemas.openxmlformats.org/officeDocument/2006/relationships/hyperlink" Target="https://www.3gpp.org/ftp/TSG_RAN/WG2_RL2/TSGR2_115-e/Docs/R2-2108332.zip" TargetMode="External"/><Relationship Id="rId27" Type="http://schemas.openxmlformats.org/officeDocument/2006/relationships/hyperlink" Target="https://www.3gpp.org/ftp/TSG_RAN/WG2_RL2/TSGR2_115-e/Docs/R2-2107935.zip" TargetMode="External"/><Relationship Id="rId30" Type="http://schemas.openxmlformats.org/officeDocument/2006/relationships/hyperlink" Target="https://www.3gpp.org/ftp/TSG_RAN/WG2_RL2/TSGR2_115-e/Docs/R2-2108332.zip" TargetMode="External"/><Relationship Id="rId35" Type="http://schemas.openxmlformats.org/officeDocument/2006/relationships/hyperlink" Target="https://www.3gpp.org/ftp/TSG_RAN/WG2_RL2/TSGR2_115-e/Docs/R2-2107938.zip" TargetMode="External"/><Relationship Id="rId43" Type="http://schemas.openxmlformats.org/officeDocument/2006/relationships/hyperlink" Target="https://www.3gpp.org/ftp/TSG_RAN/WG2_RL2/TSGR2_115-e/Docs/R2-2107946.zip"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3gpp.org/ftp/TSG_RAN/WG2_RL2/TSGR2_115-e/Docs/R2-2108287.zip" TargetMode="External"/><Relationship Id="rId17" Type="http://schemas.openxmlformats.org/officeDocument/2006/relationships/hyperlink" Target="https://www.3gpp.org/ftp/TSG_RAN/WG2_RL2/TSGR2_115-e/Docs/R2-2108756.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hyperlink" Target="https://www.3gpp.org/ftp/TSG_RAN/WG2_RL2/TSGR2_115-e/Docs/R2-2107936.zip" TargetMode="External"/><Relationship Id="rId38" Type="http://schemas.openxmlformats.org/officeDocument/2006/relationships/hyperlink" Target="https://www.3gpp.org/ftp/TSG_RAN/WG2_RL2/TSGR2_115-e/Docs/R2-2107941.zip" TargetMode="External"/><Relationship Id="rId46" Type="http://schemas.openxmlformats.org/officeDocument/2006/relationships/hyperlink" Target="https://www.3gpp.org/ftp/TSG_RAN/WG2_RL2/TSGR2_115-e/Docs/R2-2108756.zip" TargetMode="External"/><Relationship Id="rId20" Type="http://schemas.openxmlformats.org/officeDocument/2006/relationships/hyperlink" Target="https://www.3gpp.org/ftp/TSG_RAN/WG2_RL2/TSGR2_115-e/Docs/R2-2107935.zip" TargetMode="External"/><Relationship Id="rId41" Type="http://schemas.openxmlformats.org/officeDocument/2006/relationships/hyperlink" Target="https://www.3gpp.org/ftp/TSG_RAN/WG2_RL2/TSGR2_115-e/Docs/R2-2107944.zip"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2E2620A0-5B9F-4321-B1DD-926C17C02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2588</Words>
  <Characters>14753</Characters>
  <Application>Microsoft Office Word</Application>
  <DocSecurity>0</DocSecurity>
  <Lines>122</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Manager/>
  <Company>Nokia</Company>
  <LinksUpToDate>false</LinksUpToDate>
  <CharactersWithSpaces>17307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(Felix)</cp:lastModifiedBy>
  <cp:revision>5</cp:revision>
  <dcterms:created xsi:type="dcterms:W3CDTF">2021-08-18T01:34:00Z</dcterms:created>
  <dcterms:modified xsi:type="dcterms:W3CDTF">2021-08-18T02:59:00Z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575d6668-7a86-4d26-bfa3-3f735d593115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ies>
</file>