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S3GPP TSG-RAN WG2 Meeting #115-e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Aug 16th – 27th,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[AT115-e][016][NR15]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6"/>
        <w:tabs>
          <w:tab w:val="left" w:pos="1619"/>
          <w:tab w:val="clear" w:pos="1710"/>
        </w:tabs>
        <w:spacing w:line="240" w:lineRule="auto"/>
        <w:ind w:left="1619"/>
        <w:jc w:val="left"/>
      </w:pPr>
      <w:r>
        <w:t>[AT115-e][016][NR15] UE Capabilities II (Huawei)</w:t>
      </w:r>
    </w:p>
    <w:p>
      <w:pPr>
        <w:pStyle w:val="157"/>
        <w:tabs>
          <w:tab w:val="clear" w:pos="1622"/>
        </w:tabs>
      </w:pPr>
      <w:r>
        <w:t>Scope: Determine agreeable parts in a first phase, for agreeable parts agree on CRs. Treat R2-2108574, R2-2108575, R2-2107390, R2-2108578, R2-2108579, R2-2108580, R2-2106958, R2-2107980, R2-2106963, R2-2108572, R2-2108573, R2-2107130, R2-2107389,</w:t>
      </w:r>
    </w:p>
    <w:p>
      <w:pPr>
        <w:pStyle w:val="157"/>
        <w:tabs>
          <w:tab w:val="clear" w:pos="1622"/>
        </w:tabs>
      </w:pPr>
      <w:r>
        <w:t>Intended outcome: Report, agreed CRs if applicable</w:t>
      </w:r>
    </w:p>
    <w:p>
      <w:pPr>
        <w:pStyle w:val="157"/>
        <w:tabs>
          <w:tab w:val="clear" w:pos="1622"/>
        </w:tabs>
      </w:pPr>
      <w:r>
        <w:t>Deadline: Schedule 1</w:t>
      </w:r>
    </w:p>
    <w:p>
      <w:pPr>
        <w:pStyle w:val="135"/>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Q</w:t>
            </w:r>
            <w:r>
              <w:rPr>
                <w:rFonts w:ascii="CG Times (WN)" w:hAnsi="CG Times (WN)" w:eastAsiaTheme="minorEastAsia"/>
                <w:bCs/>
                <w:szCs w:val="21"/>
                <w:lang w:eastAsia="ja-JP"/>
              </w:rPr>
              <w:t>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Docomo</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masato.taniguchi.mf@nttdocomo.com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Nokia</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Apple</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S</w:t>
            </w:r>
            <w:r>
              <w:rPr>
                <w:rFonts w:ascii="CG Times (WN)" w:hAnsi="CG Times (WN)" w:eastAsiaTheme="minorEastAsia"/>
                <w:bCs/>
                <w:szCs w:val="21"/>
                <w:lang w:eastAsia="ja-JP"/>
              </w:rPr>
              <w:t>oftBank</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k</w:t>
            </w:r>
            <w:r>
              <w:rPr>
                <w:rFonts w:ascii="CG Times (WN)" w:hAnsi="CG Times (WN)" w:eastAsiaTheme="minorEastAsia"/>
                <w:bCs/>
                <w:szCs w:val="21"/>
                <w:lang w:eastAsia="ja-JP"/>
              </w:rPr>
              <w:t>atsunari.uemura@g.softbank.co.jp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Huawei, HiSilicon</w:t>
            </w:r>
          </w:p>
        </w:tc>
        <w:tc>
          <w:tcPr>
            <w:tcW w:w="6119"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k</w:t>
            </w:r>
            <w:r>
              <w:rPr>
                <w:rFonts w:ascii="CG Times (WN)" w:hAnsi="CG Times (WN)" w:eastAsia="等线"/>
                <w:bCs/>
                <w:szCs w:val="21"/>
                <w:lang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Ericsson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sz w:val="24"/>
          <w:u w:val="single"/>
        </w:rPr>
      </w:pPr>
      <w:r>
        <w:rPr>
          <w:sz w:val="24"/>
          <w:u w:val="single"/>
        </w:rPr>
        <w:t>BW handling</w:t>
      </w:r>
    </w:p>
    <w:p>
      <w:pPr>
        <w:pStyle w:val="146"/>
      </w:pPr>
      <w:r>
        <w:fldChar w:fldCharType="begin"/>
      </w:r>
      <w:r>
        <w:instrText xml:space="preserve"> HYPERLINK "file:///D:/Documents/3GPP/tsg_ran/WG2/RAN2/2108_R2_115-e/Docs/R2-2108574.zip" </w:instrText>
      </w:r>
      <w:r>
        <w:fldChar w:fldCharType="separate"/>
      </w:r>
      <w:r>
        <w:rPr>
          <w:rStyle w:val="49"/>
        </w:rPr>
        <w:t>R2-2108574</w:t>
      </w:r>
      <w:r>
        <w:rPr>
          <w:rStyle w:val="49"/>
        </w:rPr>
        <w:fldChar w:fldCharType="end"/>
      </w:r>
      <w:r>
        <w:tab/>
      </w:r>
      <w:r>
        <w:t>Introduction of NR channel bandwidth capability for LTE-to-NR HO case</w:t>
      </w:r>
      <w:r>
        <w:tab/>
      </w:r>
      <w:r>
        <w:t>Huawei, HiSilicon</w:t>
      </w:r>
      <w:r>
        <w:tab/>
      </w:r>
      <w:r>
        <w:t>CR</w:t>
      </w:r>
      <w:r>
        <w:tab/>
      </w:r>
      <w:r>
        <w:t>Rel-15</w:t>
      </w:r>
      <w:r>
        <w:tab/>
      </w:r>
      <w:r>
        <w:t>36.331</w:t>
      </w:r>
      <w:r>
        <w:tab/>
      </w:r>
      <w:r>
        <w:t>15.14.0</w:t>
      </w:r>
      <w:r>
        <w:tab/>
      </w:r>
      <w:r>
        <w:t>4716</w:t>
      </w:r>
      <w:r>
        <w:tab/>
      </w:r>
      <w:r>
        <w:t>-</w:t>
      </w:r>
      <w:r>
        <w:tab/>
      </w:r>
      <w:r>
        <w:t>F</w:t>
      </w:r>
      <w:r>
        <w:tab/>
      </w:r>
      <w:r>
        <w:t>NR_newRAT-Core</w:t>
      </w:r>
    </w:p>
    <w:p>
      <w:pPr>
        <w:pStyle w:val="146"/>
      </w:pPr>
      <w:r>
        <w:fldChar w:fldCharType="begin"/>
      </w:r>
      <w:r>
        <w:instrText xml:space="preserve"> HYPERLINK "file:///D:/Documents/3GPP/tsg_ran/WG2/RAN2/2108_R2_115-e/Docs/R2-2108575.zip" </w:instrText>
      </w:r>
      <w:r>
        <w:fldChar w:fldCharType="separate"/>
      </w:r>
      <w:r>
        <w:rPr>
          <w:rStyle w:val="49"/>
        </w:rPr>
        <w:t>R2-2108575</w:t>
      </w:r>
      <w:r>
        <w:rPr>
          <w:rStyle w:val="49"/>
        </w:rPr>
        <w:fldChar w:fldCharType="end"/>
      </w:r>
      <w:r>
        <w:tab/>
      </w:r>
      <w:r>
        <w:t>Introduction of NR channel bandwidth capability for LTE-to-NR HO case</w:t>
      </w:r>
      <w:r>
        <w:tab/>
      </w:r>
      <w:r>
        <w:t>Huawei, HiSilicon</w:t>
      </w:r>
      <w:r>
        <w:tab/>
      </w:r>
      <w:r>
        <w:t>CR</w:t>
      </w:r>
      <w:r>
        <w:tab/>
      </w:r>
      <w:r>
        <w:t>Rel-16</w:t>
      </w:r>
      <w:r>
        <w:tab/>
      </w:r>
      <w:r>
        <w:t>36.331</w:t>
      </w:r>
      <w:r>
        <w:tab/>
      </w:r>
      <w:r>
        <w:t>16.5.0</w:t>
      </w:r>
      <w:r>
        <w:tab/>
      </w:r>
      <w:r>
        <w:t>4717</w:t>
      </w:r>
      <w:r>
        <w:tab/>
      </w:r>
      <w:r>
        <w:t>-</w:t>
      </w:r>
      <w:r>
        <w:tab/>
      </w:r>
      <w:r>
        <w:t>A</w:t>
      </w:r>
      <w:r>
        <w:tab/>
      </w:r>
      <w:r>
        <w:t>NR_newRAT-Core</w:t>
      </w:r>
    </w:p>
    <w:p>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pPr>
        <w:rPr>
          <w:rFonts w:eastAsia="等线"/>
          <w:b/>
          <w:lang w:eastAsia="zh-CN"/>
        </w:rPr>
      </w:pPr>
      <w:r>
        <w:t xml:space="preserve">The proposed change is: to introduce the NR channel bandwidth capability per SCS in IE </w:t>
      </w:r>
      <w:r>
        <w:rPr>
          <w:i/>
        </w:rPr>
        <w:t>UE-EUTRA-Capability</w:t>
      </w:r>
      <w:r>
        <w:t>.</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with the intention of the CRs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We propose to leave it to network implementation for the benefit that it can address legacy UEs. Future UEs will support more channel BWs and the problem itself will diminish.</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agree with the intention, although the solution might not work in UEs with non-downward-compatible channelBWs-UL/DL.</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eNB should not be required to comprehend UE-NR-Capability.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see there is no need for an enhancement, and also agree with Qualcomm about this being already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A</w:t>
            </w:r>
            <w:r>
              <w:rPr>
                <w:rFonts w:ascii="CG Times (WN)" w:hAnsi="CG Times (WN)" w:eastAsiaTheme="minorEastAsia"/>
                <w:szCs w:val="22"/>
                <w:lang w:eastAsia="ja-JP"/>
              </w:rPr>
              <w:t>gree with the above companies, it was discussed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ascii="CG Times (WN)" w:hAnsi="CG Times (WN)" w:eastAsiaTheme="minorEastAsia"/>
                <w:szCs w:val="22"/>
                <w:lang w:eastAsia="ja-JP"/>
              </w:rPr>
              <w:t>Docomo</w:t>
            </w:r>
            <w:r>
              <w:rPr>
                <w:rFonts w:ascii="CG Times (WN)" w:hAnsi="CG Times (WN)" w:eastAsia="等线"/>
                <w:szCs w:val="22"/>
                <w:lang w:eastAsia="zh-CN"/>
              </w:rPr>
              <w:t>). So the selected target cannot be found in time, which leads to the latency of handover or even handover failure since the channel quality of current serving cell become worser. It truly influences the performance.</w:t>
            </w:r>
          </w:p>
          <w:p>
            <w:pPr>
              <w:spacing w:after="0" w:line="276" w:lineRule="auto"/>
              <w:rPr>
                <w:rFonts w:ascii="CG Times (WN)" w:hAnsi="CG Times (WN)" w:eastAsiaTheme="minorEastAsia"/>
                <w:szCs w:val="22"/>
                <w:lang w:eastAsia="ja-JP"/>
              </w:rPr>
            </w:pPr>
            <w:r>
              <w:rPr>
                <w:rFonts w:ascii="CG Times (WN)" w:hAnsi="CG Times (WN)" w:eastAsia="等线"/>
                <w:szCs w:val="22"/>
                <w:lang w:eastAsia="zh-CN"/>
              </w:rPr>
              <w:t xml:space="preserve">For </w:t>
            </w:r>
            <w:r>
              <w:rPr>
                <w:rFonts w:hint="eastAsia" w:ascii="CG Times (WN)" w:hAnsi="CG Times (WN)" w:eastAsiaTheme="minorEastAsia"/>
                <w:szCs w:val="22"/>
                <w:lang w:eastAsia="ja-JP"/>
              </w:rPr>
              <w:t>Q</w:t>
            </w:r>
            <w:r>
              <w:rPr>
                <w:rFonts w:ascii="CG Times (WN)" w:hAnsi="CG Times (WN)"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ascii="CG Times (WN)" w:hAnsi="CG Times (WN)" w:eastAsia="等线"/>
                <w:szCs w:val="22"/>
                <w:lang w:eastAsia="zh-CN"/>
              </w:rPr>
              <w:t xml:space="preserve">target gNB. So the current principle for UE access (we don’t touch this part) cannot be used by the </w:t>
            </w:r>
            <w:r>
              <w:rPr>
                <w:rFonts w:ascii="CG Times (WN)" w:hAnsi="CG Times (WN)" w:eastAsiaTheme="minorEastAsia"/>
                <w:szCs w:val="22"/>
                <w:lang w:eastAsia="ja-JP"/>
              </w:rPr>
              <w:t>source eNB.</w:t>
            </w:r>
          </w:p>
          <w:p>
            <w:pPr>
              <w:spacing w:after="0" w:line="276" w:lineRule="auto"/>
              <w:rPr>
                <w:rFonts w:ascii="CG Times (WN)" w:hAnsi="CG Times (WN)" w:eastAsia="等线"/>
                <w:szCs w:val="22"/>
                <w:lang w:eastAsia="zh-CN"/>
              </w:rPr>
            </w:pPr>
            <w:r>
              <w:rPr>
                <w:rFonts w:ascii="CG Times (WN)" w:hAnsi="CG Times (WN)" w:eastAsiaTheme="minorEastAsia"/>
                <w:szCs w:val="22"/>
                <w:lang w:eastAsia="ja-JP"/>
              </w:rPr>
              <w:t xml:space="preserve">It might be an enhancement for LTE-to-NR handover, but we see the benefit of </w:t>
            </w:r>
            <w:r>
              <w:rPr>
                <w:rFonts w:ascii="CG Times (WN)" w:hAnsi="CG Times (WN)" w:eastAsia="等线"/>
                <w:szCs w:val="22"/>
                <w:lang w:eastAsia="zh-CN"/>
              </w:rPr>
              <w:t>performance improvement for handover. If it might be a bit late for R15, we would suggest to further consider this in late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Besides the carrier bandwidth bitmap (in BandNR) the supported bandwidth may be further limited by fields in the feature sets per CC. And signalling the entire NR supportedBandCombinationList in the EUTRA capabilities and validating it in the eNB is certainly not desirable.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等线"/>
                <w:szCs w:val="22"/>
                <w:lang w:eastAsia="zh-CN"/>
              </w:rPr>
            </w:pPr>
            <w:r>
              <w:rPr>
                <w:rFonts w:ascii="CG Times (WN)" w:hAnsi="CG Times (WN)"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lang w:eastAsia="zh-CN"/>
        </w:rPr>
      </w:pPr>
    </w:p>
    <w:p>
      <w:pPr>
        <w:pStyle w:val="146"/>
      </w:pPr>
      <w:r>
        <w:fldChar w:fldCharType="begin"/>
      </w:r>
      <w:r>
        <w:instrText xml:space="preserve"> HYPERLINK "file:///D:\\Documents\\3GPP\\tsg_ran\\WG2\\TSGR2_115-e\\Docs\\R2-2107390.zip" \o "D:Documents3GPPtsg_ranWG2TSGR2_115-eDocsR2-2107390.zip" </w:instrText>
      </w:r>
      <w:r>
        <w:fldChar w:fldCharType="separate"/>
      </w:r>
      <w:r>
        <w:rPr>
          <w:rStyle w:val="49"/>
        </w:rPr>
        <w:t>R2-2107390</w:t>
      </w:r>
      <w:r>
        <w:rPr>
          <w:rStyle w:val="49"/>
        </w:rPr>
        <w:fldChar w:fldCharType="end"/>
      </w:r>
      <w:r>
        <w:tab/>
      </w:r>
      <w:r>
        <w:t>UE Capability filtering solution for EN-DC BC selection issue</w:t>
      </w:r>
      <w:r>
        <w:tab/>
      </w:r>
      <w:r>
        <w:t>NTT DOCOMO, Inc.</w:t>
      </w:r>
      <w:r>
        <w:tab/>
      </w:r>
      <w:r>
        <w:t>discussion</w:t>
      </w:r>
      <w:r>
        <w:tab/>
      </w:r>
      <w:r>
        <w:t>Rel-17</w:t>
      </w:r>
      <w:r>
        <w:tab/>
      </w:r>
      <w:r>
        <w:t>TEI17</w:t>
      </w:r>
    </w:p>
    <w:p>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pPr>
        <w:widowControl w:val="0"/>
        <w:ind w:left="200" w:leftChars="1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pPr>
        <w:widowControl w:val="0"/>
        <w:spacing w:after="160"/>
        <w:ind w:left="200" w:leftChars="100"/>
        <w:rPr>
          <w:lang w:eastAsia="zh-CN"/>
        </w:rPr>
      </w:pPr>
      <w:r>
        <w:rPr>
          <w:lang w:eastAsia="zh-CN"/>
        </w:rPr>
        <w:t>Proposal 2: RAN2 to support NR UE capability filtering by subcarrier spacing.</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of Proposal 1&amp;2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We propose to leave it to network implementation for the benefit that it can address legacy UEs. Future UEs will support more channel BWs and the problem itself will diminish.</w:t>
            </w:r>
          </w:p>
          <w:p>
            <w:pPr>
              <w:spacing w:after="0" w:line="276" w:lineRule="auto"/>
              <w:rPr>
                <w:rFonts w:ascii="CG Times (WN)" w:hAnsi="CG Times (WN)" w:eastAsiaTheme="minorEastAsia"/>
                <w:szCs w:val="22"/>
                <w:lang w:eastAsia="ja-JP"/>
              </w:rPr>
            </w:pPr>
            <w:r>
              <w:rPr>
                <w:rFonts w:ascii="CG Times (WN)" w:hAnsi="CG Times (WN)"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As proponent.</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Maybe</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To Docomo, how big is the problem at hand? Usually network is expected to support more channel bandwidths and be rather generic in such support so we don’t see why this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pPr>
              <w:spacing w:after="0" w:line="276" w:lineRule="auto"/>
              <w:rPr>
                <w:rFonts w:ascii="CG Times (WN)" w:hAnsi="CG Times (WN)" w:eastAsia="等线"/>
                <w:szCs w:val="22"/>
                <w:lang w:eastAsia="zh-CN"/>
              </w:rPr>
            </w:pPr>
          </w:p>
          <w:p>
            <w:pPr>
              <w:spacing w:after="0" w:line="276" w:lineRule="auto"/>
              <w:rPr>
                <w:rFonts w:ascii="CG Times (WN)" w:hAnsi="CG Times (WN)" w:eastAsia="等线"/>
                <w:szCs w:val="22"/>
                <w:lang w:eastAsia="zh-CN"/>
              </w:rPr>
            </w:pPr>
            <w:r>
              <w:rPr>
                <w:rFonts w:ascii="CG Times (WN)" w:hAnsi="CG Times (WN)" w:eastAsia="等线"/>
                <w:szCs w:val="22"/>
                <w:lang w:eastAsia="zh-CN"/>
              </w:rPr>
              <w:t>Moreover, we still have the issue with legacy and roaming UEs which do not support this change and the NW has to handle these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but</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 xml:space="preserve">We agree with the intention, this issue is similar as LTE-to-NR handover above, the </w:t>
            </w:r>
            <w:r>
              <w:rPr>
                <w:rFonts w:ascii="CG Times (WN)" w:hAnsi="CG Times (WN)" w:eastAsia="等线"/>
                <w:szCs w:val="22"/>
                <w:lang w:eastAsia="zh-CN"/>
              </w:rPr>
              <w:t>eNB cannot find the suitable SN gNB for SN addition due to lack of UE supported NR bandwidth.</w:t>
            </w:r>
          </w:p>
          <w:p>
            <w:pPr>
              <w:spacing w:after="0" w:line="276" w:lineRule="auto"/>
              <w:rPr>
                <w:rFonts w:ascii="CG Times (WN)" w:hAnsi="CG Times (WN)"/>
              </w:rPr>
            </w:pPr>
            <w:r>
              <w:rPr>
                <w:rFonts w:ascii="CG Times (WN)" w:hAnsi="CG Times (WN)" w:eastAsia="等线"/>
                <w:szCs w:val="22"/>
                <w:lang w:eastAsia="zh-CN"/>
              </w:rPr>
              <w:t xml:space="preserve">However, for the filtering solution, we wonder what’s the difference between the legacy </w:t>
            </w:r>
            <w:r>
              <w:rPr>
                <w:rFonts w:ascii="CG Times (WN)" w:hAnsi="CG Times (WN)"/>
                <w:i/>
              </w:rPr>
              <w:t>AggregatedBandwidth</w:t>
            </w:r>
            <w:r>
              <w:rPr>
                <w:rFonts w:ascii="CG Times (WN)" w:hAnsi="CG Times (WN)"/>
              </w:rPr>
              <w:t xml:space="preserve"> in the filter parameter and new introduced BW info. Besides, even if the eNB indicates e.g. the max NR channel BW to the UE, the </w:t>
            </w:r>
            <w:r>
              <w:rPr>
                <w:rFonts w:ascii="CG Times (WN)" w:hAnsi="CG Times (WN)" w:eastAsia="等线"/>
                <w:szCs w:val="22"/>
                <w:lang w:eastAsia="zh-CN"/>
              </w:rPr>
              <w:t xml:space="preserve">SN gNB may not support all the channel BW smaller than indicated </w:t>
            </w:r>
            <w:r>
              <w:rPr>
                <w:rFonts w:ascii="CG Times (WN)" w:hAnsi="CG Times (WN)"/>
              </w:rPr>
              <w:t>max NR channel BW.</w:t>
            </w:r>
          </w:p>
          <w:p>
            <w:pPr>
              <w:spacing w:after="0" w:line="276" w:lineRule="auto"/>
              <w:rPr>
                <w:rFonts w:ascii="CG Times (WN)" w:hAnsi="CG Times (WN)" w:eastAsia="等线"/>
                <w:szCs w:val="22"/>
                <w:lang w:eastAsia="zh-CN"/>
              </w:rPr>
            </w:pPr>
            <w:r>
              <w:rPr>
                <w:rFonts w:ascii="CG Times (WN)" w:hAnsi="CG Times (WN)"/>
              </w:rPr>
              <w:t xml:space="preserve">We understand the solution of introducing NR BW supported by UE for ENDC works, the eNB can determine the suitable </w:t>
            </w:r>
            <w:r>
              <w:rPr>
                <w:rFonts w:ascii="CG Times (WN)" w:hAnsi="CG Times (WN)" w:eastAsia="等线"/>
                <w:szCs w:val="22"/>
                <w:lang w:eastAsia="zh-CN"/>
              </w:rPr>
              <w:t>SN gNB based on UE capability and SN gNB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right"/>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146"/>
      </w:pPr>
      <w:r>
        <w:fldChar w:fldCharType="begin"/>
      </w:r>
      <w:r>
        <w:instrText xml:space="preserve"> HYPERLINK "file:///D:/Documents/3GPP/tsg_ran/WG2/RAN2/2108_R2_115-e/Docs/R2-2108578.zip" </w:instrText>
      </w:r>
      <w:r>
        <w:fldChar w:fldCharType="separate"/>
      </w:r>
      <w:r>
        <w:rPr>
          <w:rStyle w:val="49"/>
        </w:rPr>
        <w:t>R2-2108578</w:t>
      </w:r>
      <w:r>
        <w:rPr>
          <w:rStyle w:val="49"/>
        </w:rPr>
        <w:fldChar w:fldCharType="end"/>
      </w:r>
      <w:r>
        <w:tab/>
      </w:r>
      <w:r>
        <w:t>Support of newly introuduced 100M bandwidth for band n40</w:t>
      </w:r>
      <w:r>
        <w:tab/>
      </w:r>
      <w:r>
        <w:t>Huawei, HiSilicon</w:t>
      </w:r>
      <w:r>
        <w:tab/>
      </w:r>
      <w:r>
        <w:t>discussion</w:t>
      </w:r>
      <w:r>
        <w:tab/>
      </w:r>
      <w:r>
        <w:t>Rel-15</w:t>
      </w:r>
      <w:r>
        <w:tab/>
      </w:r>
      <w:r>
        <w:t>NR_newRAT-Core</w:t>
      </w:r>
    </w:p>
    <w:p>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pPr>
        <w:widowControl w:val="0"/>
        <w:spacing w:after="120" w:afterLines="50"/>
        <w:ind w:left="200" w:leftChars="100"/>
        <w:rPr>
          <w:rFonts w:eastAsia="等线"/>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FR1, and mandate the new UEs to set this bit to 1.</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Q3 Do companies agree with the intention of Proposal 1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understand the intention is to introduce IOT bit. Then the UE should not be mandated to set the bit to 1 (as written in the proposal 1).</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And on the CR in R2-2108579, we think the following sentence is difficult to understand, and we do not think we should refer to a given version of the RAN4 specification.</w:t>
            </w:r>
          </w:p>
          <w:p>
            <w:pPr>
              <w:pStyle w:val="134"/>
              <w:numPr>
                <w:ilvl w:val="0"/>
                <w:numId w:val="11"/>
              </w:numPr>
              <w:spacing w:after="0" w:line="276" w:lineRule="auto"/>
              <w:rPr>
                <w:rFonts w:ascii="CG Times (WN)" w:hAnsi="CG Times (WN)" w:eastAsiaTheme="minorEastAsia"/>
                <w:lang w:val="en-GB" w:eastAsia="ja-JP"/>
              </w:rPr>
            </w:pPr>
            <w:r>
              <w:rPr>
                <w:rFonts w:ascii="CG Times (WN)" w:hAnsi="CG Times (WN)" w:eastAsiaTheme="minorEastAsia"/>
                <w:sz w:val="21"/>
                <w:szCs w:val="21"/>
                <w:lang w:eastAsia="ja-JP"/>
              </w:rPr>
              <w:t>"The UE supports the 100M channel bandwidths for FR1 that were defined in clause 5.3.5 of TS 38.101-1 version 17.1.0 [2] for the given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with the intention</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But we also think some discussion is needed on the use of spare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ee comments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Agree with the intention. We are open for the solution, but basically using spare bit should be carefully checked for avoiding side effects.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For </w:t>
            </w:r>
            <w:r>
              <w:rPr>
                <w:rFonts w:hint="eastAsia" w:ascii="CG Times (WN)" w:hAnsi="CG Times (WN)" w:eastAsiaTheme="minorEastAsia"/>
                <w:szCs w:val="22"/>
                <w:lang w:eastAsia="ja-JP"/>
              </w:rPr>
              <w:t>Q</w:t>
            </w:r>
            <w:r>
              <w:rPr>
                <w:rFonts w:ascii="CG Times (WN)" w:hAnsi="CG Times (WN)" w:eastAsiaTheme="minorEastAsia"/>
                <w:szCs w:val="22"/>
                <w:lang w:eastAsia="ja-JP"/>
              </w:rPr>
              <w:t xml:space="preserve">ualcomm’s comment, the intention of </w:t>
            </w:r>
            <w:r>
              <w:rPr>
                <w:rFonts w:ascii="CG Times (WN)" w:hAnsi="CG Times (WN)" w:eastAsiaTheme="minorEastAsia"/>
                <w:sz w:val="21"/>
                <w:szCs w:val="21"/>
                <w:lang w:eastAsia="ja-JP"/>
              </w:rPr>
              <w:t>"The UE supports the 100M channel bandwidths for FR1 that were defined in cla</w:t>
            </w:r>
            <w:r>
              <w:rPr>
                <w:rFonts w:ascii="CG Times (WN)" w:hAnsi="CG Times (WN)"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ascii="CG Times (WN)" w:hAnsi="CG Times (WN)" w:eastAsiaTheme="minorEastAsia"/>
                <w:sz w:val="21"/>
                <w:szCs w:val="21"/>
                <w:lang w:eastAsia="ja-JP"/>
              </w:rPr>
              <w:t>to differentiate these two cases for 100M. OK to further discuss the need of this clarification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ascii="CG Times (WN)" w:hAnsi="CG Times (WN)" w:eastAsiaTheme="minorEastAsia"/>
                <w:i/>
                <w:iCs/>
                <w:szCs w:val="21"/>
                <w:lang w:eastAsia="ja-JP"/>
              </w:rPr>
              <w:t>the network is only required to check the BandNR parameters to validate the supported SCS/bandwidth for of the UE</w:t>
            </w:r>
            <w:r>
              <w:rPr>
                <w:rFonts w:ascii="CG Times (WN)" w:hAnsi="CG Times (WN)" w:eastAsiaTheme="minorEastAsia"/>
                <w:szCs w:val="2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both"/>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146"/>
      </w:pPr>
      <w:r>
        <w:fldChar w:fldCharType="begin"/>
      </w:r>
      <w:r>
        <w:instrText xml:space="preserve"> HYPERLINK "file:///D:/Documents/3GPP/tsg_ran/WG2/RAN2/2108_R2_115-e/Docs/R2-2107980.zip" </w:instrText>
      </w:r>
      <w:r>
        <w:fldChar w:fldCharType="separate"/>
      </w:r>
      <w:r>
        <w:rPr>
          <w:rStyle w:val="49"/>
        </w:rPr>
        <w:t>R2-2107980</w:t>
      </w:r>
      <w:r>
        <w:rPr>
          <w:rStyle w:val="49"/>
        </w:rPr>
        <w:fldChar w:fldCharType="end"/>
      </w:r>
      <w:r>
        <w:tab/>
      </w:r>
      <w:r>
        <w:t>Allowed bandwidth in BWP configuration</w:t>
      </w:r>
      <w:r>
        <w:tab/>
      </w:r>
      <w:r>
        <w:t>Ericsson</w:t>
      </w:r>
      <w:r>
        <w:tab/>
      </w:r>
      <w:r>
        <w:t>discussion</w:t>
      </w:r>
    </w:p>
    <w:p>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pPr>
        <w:spacing w:before="240"/>
        <w:ind w:left="200" w:leftChars="100"/>
        <w:rPr>
          <w:lang w:eastAsia="zh-CN"/>
        </w:rPr>
      </w:pPr>
      <w:r>
        <w:rPr>
          <w:lang w:eastAsia="zh-CN"/>
        </w:rPr>
        <w:t>Proposal 1</w:t>
      </w:r>
      <w:r>
        <w:rPr>
          <w:lang w:eastAsia="zh-CN"/>
        </w:rPr>
        <w:tab/>
      </w:r>
      <w:r>
        <w:rPr>
          <w:lang w:eastAsia="zh-CN"/>
        </w:rPr>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pPr>
        <w:ind w:left="200" w:leftChars="100"/>
        <w:rPr>
          <w:lang w:eastAsia="zh-CN"/>
        </w:rPr>
      </w:pPr>
      <w:r>
        <w:rPr>
          <w:lang w:eastAsia="zh-CN"/>
        </w:rPr>
        <w:t>Proposal 2 The network avoids DCI- and timer-based BWP switching to BWPs that are not within the RRC-configured channel bandwidth.</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Q4-1 Do companies agree with the intention of Proposal 1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T</w:t>
            </w:r>
            <w:r>
              <w:rPr>
                <w:rFonts w:ascii="CG Times (WN)" w:hAnsi="CG Times (WN)" w:eastAsiaTheme="minorEastAsia"/>
                <w:szCs w:val="22"/>
                <w:lang w:eastAsia="ja-JP"/>
              </w:rPr>
              <w:t>hank you for giving us some time to check, from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Partly</w:t>
            </w:r>
          </w:p>
        </w:tc>
        <w:tc>
          <w:tcPr>
            <w:tcW w:w="2987" w:type="pct"/>
          </w:tcPr>
          <w:p>
            <w:pPr>
              <w:spacing w:after="0"/>
              <w:rPr>
                <w:rFonts w:ascii="CG Times (WN)" w:hAnsi="CG Times (WN)" w:eastAsiaTheme="minorEastAsia"/>
                <w:szCs w:val="22"/>
                <w:lang w:eastAsia="ja-JP"/>
              </w:rPr>
            </w:pPr>
            <w:r>
              <w:rPr>
                <w:rFonts w:ascii="CG Times (WN)" w:hAnsi="CG Times (WN)" w:eastAsiaTheme="minorEastAsia"/>
                <w:szCs w:val="22"/>
                <w:lang w:eastAsia="ja-JP"/>
              </w:rPr>
              <w:t>Firstly, we would like to confirm a common understanding that UE behaviour is not specified when CBW doesn't contain BWP size (that was always the R15 assumption).</w:t>
            </w:r>
          </w:p>
          <w:p>
            <w:pPr>
              <w:spacing w:after="0"/>
              <w:rPr>
                <w:rFonts w:ascii="CG Times (WN)" w:hAnsi="CG Times (WN)" w:eastAsiaTheme="minorEastAsia"/>
                <w:szCs w:val="22"/>
                <w:lang w:eastAsia="ja-JP"/>
              </w:rPr>
            </w:pPr>
            <w:r>
              <w:rPr>
                <w:rFonts w:ascii="CG Times (WN)" w:hAnsi="CG Times (WN)"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We agree with the intentions of both proposals.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r>
              <w:rPr>
                <w:rFonts w:ascii="CG Times (WN)" w:hAnsi="CG Times (WN)"/>
              </w:rPr>
              <w:t>In our understanding, Proposal 1 and Proposal 2 are actually assuming that only RRC based BWP switch is used. In this case, is it still necessary to configure more than one dedicated BWPs for UE in RRC_CONNECTED?</w:t>
            </w:r>
            <w:r>
              <w:rPr>
                <w:rFonts w:ascii="CG Times (WN)" w:hAnsi="CG Times (WN)"/>
              </w:rPr>
              <w:br w:type="textWrapping"/>
            </w:r>
            <w:r>
              <w:rPr>
                <w:rFonts w:ascii="CG Times (WN)" w:hAnsi="CG Times (WN)"/>
              </w:rPr>
              <w:t>If there is only one dedicated BWP, does the issue still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agree to first try to reach common understanding. We understand the proposals above are already allowed in the specifications so no change 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Q4-2 Do companies agree with the intention of Proposal 2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See answer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We agree with the intentions of both proposals.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think no need to update any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See comments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See comments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rPr>
          <w:sz w:val="24"/>
          <w:u w:val="single"/>
        </w:rPr>
      </w:pPr>
      <w:r>
        <w:rPr>
          <w:sz w:val="24"/>
          <w:u w:val="single"/>
        </w:rPr>
        <w:t>SimultaneousRxTx</w:t>
      </w:r>
    </w:p>
    <w:p>
      <w:pPr>
        <w:pStyle w:val="146"/>
      </w:pPr>
      <w:r>
        <w:fldChar w:fldCharType="begin"/>
      </w:r>
      <w:r>
        <w:instrText xml:space="preserve"> HYPERLINK "file:///D:/Documents/3GPP/tsg_ran/WG2/RAN2/2108_R2_115-e/Docs/R2-2106958.zip" </w:instrText>
      </w:r>
      <w:r>
        <w:fldChar w:fldCharType="separate"/>
      </w:r>
      <w:r>
        <w:rPr>
          <w:rStyle w:val="49"/>
        </w:rPr>
        <w:t>R2-2106958</w:t>
      </w:r>
      <w:r>
        <w:rPr>
          <w:rStyle w:val="49"/>
        </w:rPr>
        <w:fldChar w:fldCharType="end"/>
      </w:r>
      <w:r>
        <w:tab/>
      </w:r>
      <w:r>
        <w:t>Reply LS on simultaneous Rx/Tx capability (R4-2108003; contact: Qualcomm)</w:t>
      </w:r>
      <w:r>
        <w:tab/>
      </w:r>
      <w:r>
        <w:t>RAN4</w:t>
      </w:r>
      <w:r>
        <w:tab/>
      </w:r>
      <w:r>
        <w:t>LS in</w:t>
      </w:r>
      <w:r>
        <w:tab/>
      </w:r>
      <w:r>
        <w:t>Rel-15</w:t>
      </w:r>
      <w:r>
        <w:tab/>
      </w:r>
      <w:r>
        <w:t>NR_newRAT</w:t>
      </w:r>
      <w:r>
        <w:tab/>
      </w:r>
      <w:r>
        <w:t>To:RAN2</w:t>
      </w:r>
    </w:p>
    <w:p>
      <w:pPr>
        <w:pStyle w:val="146"/>
      </w:pPr>
      <w:r>
        <w:fldChar w:fldCharType="begin"/>
      </w:r>
      <w:r>
        <w:instrText xml:space="preserve"> HYPERLINK "file:///D:/Documents/3GPP/tsg_ran/WG2/RAN2/2108_R2_115-e/Docs/R2-2106963.zip" </w:instrText>
      </w:r>
      <w:r>
        <w:fldChar w:fldCharType="separate"/>
      </w:r>
      <w:r>
        <w:rPr>
          <w:rStyle w:val="49"/>
        </w:rPr>
        <w:t>R2-2106963</w:t>
      </w:r>
      <w:r>
        <w:rPr>
          <w:rStyle w:val="49"/>
        </w:rPr>
        <w:fldChar w:fldCharType="end"/>
      </w:r>
      <w:r>
        <w:tab/>
      </w:r>
      <w:r>
        <w:t>Reply LS on simultaneous Rx/Tx capability (R4-2111452; contact: Huawei)</w:t>
      </w:r>
      <w:r>
        <w:tab/>
      </w:r>
      <w:r>
        <w:t>RAN4</w:t>
      </w:r>
      <w:r>
        <w:tab/>
      </w:r>
      <w:r>
        <w:t>LS in</w:t>
      </w:r>
      <w:r>
        <w:tab/>
      </w:r>
      <w:r>
        <w:t>Rel-15</w:t>
      </w:r>
      <w:r>
        <w:tab/>
      </w:r>
      <w:r>
        <w:t>NR_newRAT</w:t>
      </w:r>
      <w:r>
        <w:tab/>
      </w:r>
      <w:r>
        <w:t>To:RAN2</w:t>
      </w:r>
    </w:p>
    <w:p>
      <w:pPr>
        <w:pStyle w:val="146"/>
      </w:pPr>
      <w:r>
        <w:fldChar w:fldCharType="begin"/>
      </w:r>
      <w:r>
        <w:instrText xml:space="preserve"> HYPERLINK "file:///D:/Documents/3GPP/tsg_ran/WG2/RAN2/2108_R2_115-e/Docs/R2-2108572.zip" </w:instrText>
      </w:r>
      <w:r>
        <w:fldChar w:fldCharType="separate"/>
      </w:r>
      <w:r>
        <w:rPr>
          <w:rStyle w:val="49"/>
        </w:rPr>
        <w:t>R2-2108572</w:t>
      </w:r>
      <w:r>
        <w:rPr>
          <w:rStyle w:val="49"/>
        </w:rPr>
        <w:fldChar w:fldCharType="end"/>
      </w:r>
      <w:r>
        <w:tab/>
      </w:r>
      <w:r>
        <w:t>Clarification on the simultaneousRxTxInterBandCA capability in NR-DC</w:t>
      </w:r>
      <w:r>
        <w:tab/>
      </w:r>
      <w:r>
        <w:t>Huawei, HiSilicon, Ericsson</w:t>
      </w:r>
      <w:r>
        <w:tab/>
      </w:r>
      <w:r>
        <w:t>CR</w:t>
      </w:r>
      <w:r>
        <w:tab/>
      </w:r>
      <w:r>
        <w:t>Rel-15</w:t>
      </w:r>
      <w:r>
        <w:tab/>
      </w:r>
      <w:r>
        <w:t>38.306</w:t>
      </w:r>
      <w:r>
        <w:tab/>
      </w:r>
      <w:r>
        <w:t>15.14.0</w:t>
      </w:r>
      <w:r>
        <w:tab/>
      </w:r>
      <w:r>
        <w:t>0561</w:t>
      </w:r>
      <w:r>
        <w:tab/>
      </w:r>
      <w:r>
        <w:t>2</w:t>
      </w:r>
      <w:r>
        <w:tab/>
      </w:r>
      <w:r>
        <w:t>F</w:t>
      </w:r>
      <w:r>
        <w:tab/>
      </w:r>
      <w:r>
        <w:t>NR_newRAT-Core</w:t>
      </w:r>
      <w:r>
        <w:tab/>
      </w:r>
      <w:r>
        <w:t>R2-2106128</w:t>
      </w:r>
    </w:p>
    <w:p>
      <w:pPr>
        <w:pStyle w:val="146"/>
      </w:pPr>
      <w:r>
        <w:fldChar w:fldCharType="begin"/>
      </w:r>
      <w:r>
        <w:instrText xml:space="preserve"> HYPERLINK "file:///D:/Documents/3GPP/tsg_ran/WG2/RAN2/2108_R2_115-e/Docs/R2-2108573.zip" </w:instrText>
      </w:r>
      <w:r>
        <w:fldChar w:fldCharType="separate"/>
      </w:r>
      <w:r>
        <w:rPr>
          <w:rStyle w:val="49"/>
        </w:rPr>
        <w:t>R2-2108573</w:t>
      </w:r>
      <w:r>
        <w:rPr>
          <w:rStyle w:val="49"/>
        </w:rPr>
        <w:fldChar w:fldCharType="end"/>
      </w:r>
      <w:r>
        <w:tab/>
      </w:r>
      <w:r>
        <w:t>Clarification on the simultaneousRxTxInterBandCA capability in NR-DC</w:t>
      </w:r>
      <w:r>
        <w:tab/>
      </w:r>
      <w:r>
        <w:t>Huawei, HiSilicon, Ericsson</w:t>
      </w:r>
      <w:r>
        <w:tab/>
      </w:r>
      <w:r>
        <w:t>CR</w:t>
      </w:r>
      <w:r>
        <w:tab/>
      </w:r>
      <w:r>
        <w:t>Rel-16</w:t>
      </w:r>
      <w:r>
        <w:tab/>
      </w:r>
      <w:r>
        <w:t>38.306</w:t>
      </w:r>
      <w:r>
        <w:tab/>
      </w:r>
      <w:r>
        <w:t>16.5.0</w:t>
      </w:r>
      <w:r>
        <w:tab/>
      </w:r>
      <w:r>
        <w:t>0562</w:t>
      </w:r>
      <w:r>
        <w:tab/>
      </w:r>
      <w:r>
        <w:t>2</w:t>
      </w:r>
      <w:r>
        <w:tab/>
      </w:r>
      <w:r>
        <w:t>A</w:t>
      </w:r>
      <w:r>
        <w:tab/>
      </w:r>
      <w:r>
        <w:t>NR_newRAT-Core</w:t>
      </w:r>
      <w:r>
        <w:tab/>
      </w:r>
      <w:r>
        <w:t>R2-2106129</w:t>
      </w:r>
    </w:p>
    <w:p>
      <w:pPr>
        <w:pStyle w:val="146"/>
      </w:pPr>
      <w:r>
        <w:fldChar w:fldCharType="begin"/>
      </w:r>
      <w:r>
        <w:instrText xml:space="preserve"> HYPERLINK "file:///D:/Documents/3GPP/tsg_ran/WG2/RAN2/2108_R2_115-e/Docs/R2-2107130.zip" </w:instrText>
      </w:r>
      <w:r>
        <w:fldChar w:fldCharType="separate"/>
      </w:r>
      <w:r>
        <w:rPr>
          <w:rStyle w:val="49"/>
        </w:rPr>
        <w:t>R2-2107130</w:t>
      </w:r>
      <w:r>
        <w:rPr>
          <w:rStyle w:val="49"/>
        </w:rPr>
        <w:fldChar w:fldCharType="end"/>
      </w:r>
      <w:r>
        <w:tab/>
      </w:r>
      <w:r>
        <w:t>Simultaneous Rx/Tx UE capability</w:t>
      </w:r>
      <w:r>
        <w:tab/>
      </w:r>
      <w:r>
        <w:t>Qualcomm Incorporated</w:t>
      </w:r>
      <w:r>
        <w:tab/>
      </w:r>
      <w:r>
        <w:t>discussion</w:t>
      </w:r>
      <w:r>
        <w:tab/>
      </w:r>
      <w:r>
        <w:t>Rel-15</w:t>
      </w:r>
      <w:r>
        <w:tab/>
      </w:r>
      <w:r>
        <w:t>NR_newRAT-Core</w:t>
      </w:r>
    </w:p>
    <w:p>
      <w:pPr>
        <w:pStyle w:val="146"/>
      </w:pPr>
      <w:r>
        <w:fldChar w:fldCharType="begin"/>
      </w:r>
      <w:r>
        <w:instrText xml:space="preserve"> HYPERLINK "file:///D:\\Documents\\3GPP\\tsg_ran\\WG2\\TSGR2_115-e\\Docs\\R2-2107389.zip" \o "D:Documents3GPPtsg_ranWG2TSGR2_115-eDocsR2-2107389.zip" </w:instrText>
      </w:r>
      <w:r>
        <w:fldChar w:fldCharType="separate"/>
      </w:r>
      <w:r>
        <w:rPr>
          <w:rStyle w:val="49"/>
        </w:rPr>
        <w:t>R2-2107389</w:t>
      </w:r>
      <w:r>
        <w:rPr>
          <w:rStyle w:val="49"/>
        </w:rPr>
        <w:fldChar w:fldCharType="end"/>
      </w:r>
      <w:r>
        <w:tab/>
      </w:r>
      <w:r>
        <w:t>Considerations on simultaneous Rx/Tx capability per band pair</w:t>
      </w:r>
      <w:r>
        <w:tab/>
      </w:r>
      <w:r>
        <w:t>NTT DOCOMO, Inc.</w:t>
      </w:r>
      <w:r>
        <w:tab/>
      </w:r>
      <w:r>
        <w:t>discussion</w:t>
      </w:r>
      <w:r>
        <w:tab/>
      </w:r>
      <w:r>
        <w:t>Rel-15</w:t>
      </w:r>
    </w:p>
    <w:p>
      <w:pPr>
        <w:spacing w:before="240"/>
        <w:rPr>
          <w:lang w:eastAsia="ja-JP"/>
        </w:rPr>
      </w:pPr>
      <w:r>
        <w:rPr>
          <w:lang w:eastAsia="ja-JP"/>
        </w:rPr>
        <w:t>In the LS R2-2106958, there are UEs that do not support simultaneous Rx/Tx capability for a band combination, but do support simultaneous Rx/Tx operation for some band pair(s) in the band combination. RAN4 asks to introduce per-band-pair signalling to the simultaneous Rx/Tx capability. Two possible solutions are provided in [10] and [11].</w:t>
      </w:r>
    </w:p>
    <w:p>
      <w:pPr>
        <w:spacing w:before="240"/>
        <w:rPr>
          <w:lang w:eastAsia="zh-CN"/>
        </w:rPr>
      </w:pPr>
      <w:r>
        <w:rPr>
          <w:lang w:eastAsia="zh-CN"/>
        </w:rPr>
        <w:t>The proposals in [10] are listed below.</w:t>
      </w:r>
    </w:p>
    <w:p>
      <w:pPr>
        <w:ind w:left="200" w:leftChars="100"/>
        <w:rPr>
          <w:lang w:eastAsia="zh-CN"/>
        </w:rPr>
      </w:pPr>
      <w:r>
        <w:rPr>
          <w:lang w:eastAsia="zh-CN"/>
        </w:rPr>
        <w:t>Proposal 1:</w:t>
      </w:r>
      <w:r>
        <w:rPr>
          <w:lang w:eastAsia="zh-CN"/>
        </w:rPr>
        <w:tab/>
      </w:r>
      <w:r>
        <w:rPr>
          <w:lang w:eastAsia="zh-CN"/>
        </w:rPr>
        <w:t>Introduce UE capability signalling by which the UE indicates groups of bands where simultaneous Rx/Tx is NOT supported among bands in a group (FFS signalling details).</w:t>
      </w:r>
    </w:p>
    <w:p>
      <w:pPr>
        <w:ind w:left="200" w:leftChars="100"/>
        <w:rPr>
          <w:lang w:eastAsia="zh-CN"/>
        </w:rPr>
      </w:pPr>
      <w:r>
        <w:rPr>
          <w:lang w:eastAsia="zh-CN"/>
        </w:rPr>
        <w:t>Proposal 2:</w:t>
      </w:r>
      <w:r>
        <w:rPr>
          <w:lang w:eastAsia="zh-CN"/>
        </w:rPr>
        <w:tab/>
      </w:r>
      <w:r>
        <w:rPr>
          <w:lang w:eastAsia="zh-CN"/>
        </w:rPr>
        <w:t>The new UE capability signalling is introduced as an extension to the existing band combination list, i.e. no new band combination list is introduced.</w:t>
      </w:r>
    </w:p>
    <w:p>
      <w:pPr>
        <w:ind w:left="200" w:leftChars="100"/>
        <w:rPr>
          <w:lang w:eastAsia="zh-CN"/>
        </w:rPr>
      </w:pPr>
      <w:r>
        <w:rPr>
          <w:lang w:eastAsia="zh-CN"/>
        </w:rPr>
        <w:t>Proposal 3:</w:t>
      </w:r>
      <w:r>
        <w:rPr>
          <w:lang w:eastAsia="zh-CN"/>
        </w:rPr>
        <w:tab/>
      </w:r>
      <w:r>
        <w:rPr>
          <w:lang w:eastAsia="zh-CN"/>
        </w:rPr>
        <w:t>The UE using the new UE capability signalling shall not indicate the simultaneous Rx/Tx capability for the band combination, i.e. simultaneousRxTxInterBandCA and/or simultaneousRxTxInterBandENDC.</w:t>
      </w:r>
    </w:p>
    <w:p>
      <w:pPr>
        <w:ind w:left="200" w:leftChars="100"/>
        <w:rPr>
          <w:lang w:eastAsia="zh-CN"/>
        </w:rPr>
      </w:pPr>
      <w:r>
        <w:rPr>
          <w:lang w:eastAsia="zh-CN"/>
        </w:rPr>
        <w:t>Proposal 4:</w:t>
      </w:r>
      <w:r>
        <w:rPr>
          <w:lang w:eastAsia="zh-CN"/>
        </w:rPr>
        <w:tab/>
      </w:r>
      <w:r>
        <w:rPr>
          <w:lang w:eastAsia="zh-CN"/>
        </w:rPr>
        <w:t>The new UE capability signalling is introduced in release-16.</w:t>
      </w:r>
    </w:p>
    <w:p>
      <w:pPr>
        <w:spacing w:before="240"/>
        <w:rPr>
          <w:lang w:eastAsia="zh-CN"/>
        </w:rPr>
      </w:pPr>
      <w:r>
        <w:rPr>
          <w:lang w:eastAsia="zh-CN"/>
        </w:rPr>
        <w:t>The proposals in [11] are listed below.</w:t>
      </w:r>
    </w:p>
    <w:p>
      <w:pPr>
        <w:ind w:left="200" w:leftChars="100"/>
        <w:rPr>
          <w:lang w:eastAsia="zh-CN"/>
        </w:rPr>
      </w:pPr>
      <w:r>
        <w:rPr>
          <w:lang w:eastAsia="zh-CN"/>
        </w:rPr>
        <w:t>Proposal 1: RAN2 to specify per-band-pair signalling for simultaneous Rx/Tx capability as RAN4 suggested.</w:t>
      </w:r>
    </w:p>
    <w:p>
      <w:pPr>
        <w:ind w:left="200" w:leftChars="100"/>
        <w:rPr>
          <w:lang w:eastAsia="zh-CN"/>
        </w:rPr>
      </w:pPr>
      <w:r>
        <w:rPr>
          <w:lang w:eastAsia="zh-CN"/>
        </w:rPr>
        <w:t>Proposal 2: Add a bitmap in MRDC-Parameters and CA-Parameters, where each bit represents whether simultaneous Rx/Tx is supported for a band pair in the BC.</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175"/>
        <w:gridCol w:w="2408"/>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59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1221" w:type="pct"/>
          </w:tcPr>
          <w:p>
            <w:pPr>
              <w:spacing w:after="0" w:line="276" w:lineRule="auto"/>
              <w:jc w:val="center"/>
              <w:rPr>
                <w:rFonts w:ascii="CG Times (WN)" w:hAnsi="CG Times (WN)" w:eastAsia="等线"/>
                <w:b/>
                <w:bCs/>
                <w:szCs w:val="22"/>
                <w:lang w:eastAsia="zh-CN"/>
              </w:rPr>
            </w:pPr>
            <w:r>
              <w:rPr>
                <w:rFonts w:ascii="CG Times (WN)" w:hAnsi="CG Times (WN)" w:eastAsia="等线"/>
                <w:b/>
                <w:bCs/>
                <w:szCs w:val="22"/>
                <w:lang w:eastAsia="zh-CN"/>
              </w:rPr>
              <w:t>Support of solution in [10] or [11] or other?</w:t>
            </w:r>
          </w:p>
        </w:tc>
        <w:tc>
          <w:tcPr>
            <w:tcW w:w="2213"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5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122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w:t>
            </w:r>
            <w:r>
              <w:rPr>
                <w:rFonts w:ascii="CG Times (WN)" w:hAnsi="CG Times (WN)" w:eastAsiaTheme="minorEastAsia"/>
                <w:szCs w:val="22"/>
                <w:lang w:eastAsia="ja-JP"/>
              </w:rPr>
              <w:t>10] - Proponent</w:t>
            </w:r>
          </w:p>
        </w:tc>
        <w:tc>
          <w:tcPr>
            <w:tcW w:w="2213"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P</w:t>
            </w:r>
            <w:r>
              <w:rPr>
                <w:rFonts w:ascii="CG Times (WN)" w:hAnsi="CG Times (WN)"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59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1221"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Fewer bits, Rel-15</w:t>
            </w:r>
          </w:p>
        </w:tc>
        <w:tc>
          <w:tcPr>
            <w:tcW w:w="2213"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lack of granularity is observed in UEs in the field. Solution should be available from Release 15.</w:t>
            </w:r>
          </w:p>
          <w:p>
            <w:pPr>
              <w:spacing w:after="0" w:line="276" w:lineRule="auto"/>
              <w:rPr>
                <w:rFonts w:ascii="CG Times (WN)" w:hAnsi="CG Times (WN)" w:eastAsiaTheme="minorEastAsia"/>
                <w:szCs w:val="22"/>
                <w:lang w:eastAsia="ja-JP"/>
              </w:rPr>
            </w:pP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As for signalling design, we understand both of [10] and [11] aim for fewer bits, and we would not stick to our solution in [11] if there is any other solution with fewer bits and the same granularity.</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ascii="CG Times (WN)" w:hAnsi="CG Times (WN)" w:eastAsiaTheme="minorEastAsia"/>
                <w:b/>
                <w:bCs/>
                <w:szCs w:val="22"/>
                <w:lang w:eastAsia="ja-JP"/>
              </w:rPr>
              <w:t>per excluded band pair</w:t>
            </w:r>
            <w:r>
              <w:rPr>
                <w:rFonts w:ascii="CG Times (WN)" w:hAnsi="CG Times (WN)" w:eastAsiaTheme="minorEastAsia"/>
                <w:szCs w:val="22"/>
                <w:lang w:eastAsia="ja-JP"/>
              </w:rPr>
              <w:t xml:space="preserve">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comments</w:t>
            </w:r>
          </w:p>
        </w:tc>
        <w:tc>
          <w:tcPr>
            <w:tcW w:w="1221" w:type="pct"/>
          </w:tcPr>
          <w:p>
            <w:pPr>
              <w:spacing w:after="0" w:line="276" w:lineRule="auto"/>
              <w:rPr>
                <w:rFonts w:ascii="CG Times (WN)" w:hAnsi="CG Times (WN)"/>
                <w:szCs w:val="22"/>
                <w:lang w:val="en-US" w:eastAsia="zh-CN"/>
              </w:rPr>
            </w:pPr>
          </w:p>
        </w:tc>
        <w:tc>
          <w:tcPr>
            <w:tcW w:w="2213" w:type="pct"/>
          </w:tcPr>
          <w:p>
            <w:pPr>
              <w:spacing w:after="0" w:line="276" w:lineRule="auto"/>
              <w:rPr>
                <w:rFonts w:ascii="CG Times (WN)" w:hAnsi="CG Times (WN)"/>
                <w:szCs w:val="22"/>
                <w:lang w:val="en-US" w:eastAsia="zh-CN"/>
              </w:rPr>
            </w:pPr>
            <w:r>
              <w:rPr>
                <w:rFonts w:ascii="CG Times (WN)" w:hAnsi="CG Times (WN)"/>
                <w:szCs w:val="22"/>
              </w:rPr>
              <w:t xml:space="preserve">For the </w:t>
            </w:r>
            <w:r>
              <w:rPr>
                <w:rFonts w:ascii="CG Times (WN)" w:hAnsi="CG Times (WN)"/>
              </w:rPr>
              <w:t>R2-2107130/ R2-2107389, we are open to the final solution but the proposals from Docomo seemed cleaner and easy to understand. So we would like to go in that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1221"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[11]</w:t>
            </w:r>
          </w:p>
        </w:tc>
        <w:tc>
          <w:tcPr>
            <w:tcW w:w="2213"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think Docomo’s proposal is simpler and inline with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5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122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ee comments</w:t>
            </w:r>
          </w:p>
        </w:tc>
        <w:tc>
          <w:tcPr>
            <w:tcW w:w="2213"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B</w:t>
            </w:r>
            <w:r>
              <w:rPr>
                <w:rFonts w:ascii="CG Times (WN)" w:hAnsi="CG Times (WN)" w:eastAsiaTheme="minorEastAsia"/>
                <w:szCs w:val="22"/>
                <w:lang w:eastAsia="ja-JP"/>
              </w:rPr>
              <w:t xml:space="preserve">oth solutions can work but slightly prefer [11] as it is simpler solution. In addition, we also prefer to introduce this from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comments</w:t>
            </w:r>
          </w:p>
        </w:tc>
        <w:tc>
          <w:tcPr>
            <w:tcW w:w="1221" w:type="pct"/>
          </w:tcPr>
          <w:p>
            <w:pPr>
              <w:spacing w:after="0" w:line="276" w:lineRule="auto"/>
              <w:rPr>
                <w:rFonts w:ascii="CG Times (WN)" w:hAnsi="CG Times (WN)" w:eastAsia="等线"/>
                <w:szCs w:val="22"/>
                <w:lang w:eastAsia="zh-CN"/>
              </w:rPr>
            </w:pPr>
            <w:r>
              <w:rPr>
                <w:rFonts w:hint="eastAsia" w:ascii="CG Times (WN)" w:hAnsi="CG Times (WN)" w:eastAsia="等线"/>
                <w:szCs w:val="22"/>
                <w:lang w:eastAsia="zh-CN"/>
              </w:rPr>
              <w:t>[</w:t>
            </w:r>
            <w:r>
              <w:rPr>
                <w:rFonts w:ascii="CG Times (WN)" w:hAnsi="CG Times (WN)" w:eastAsia="等线"/>
                <w:szCs w:val="22"/>
                <w:lang w:eastAsia="zh-CN"/>
              </w:rPr>
              <w:t>11] or other simplified solution</w:t>
            </w:r>
          </w:p>
        </w:tc>
        <w:tc>
          <w:tcPr>
            <w:tcW w:w="2213"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have some concerns on the signalling overhead for per-band pair signalling, simpler signalling design is preferred. For the solution of indicating bands that CANNOT support</w:t>
            </w:r>
            <w:r>
              <w:rPr>
                <w:rFonts w:ascii="CG Times (WN)" w:hAnsi="CG Times (WN)"/>
              </w:rPr>
              <w:t xml:space="preserve"> </w:t>
            </w:r>
            <w:r>
              <w:rPr>
                <w:rFonts w:ascii="CG Times (WN)" w:hAnsi="CG Times (WN)" w:eastAsia="等线"/>
                <w:szCs w:val="22"/>
                <w:lang w:eastAsia="zh-CN"/>
              </w:rPr>
              <w:t xml:space="preserve">simultaneousRxTx, the fallback capability seems unclear, so </w:t>
            </w:r>
            <w:r>
              <w:rPr>
                <w:rFonts w:hint="eastAsia" w:ascii="CG Times (WN)" w:hAnsi="CG Times (WN)" w:eastAsia="等线"/>
                <w:szCs w:val="22"/>
                <w:lang w:eastAsia="zh-CN"/>
              </w:rPr>
              <w:t>[</w:t>
            </w:r>
            <w:r>
              <w:rPr>
                <w:rFonts w:ascii="CG Times (WN)" w:hAnsi="CG Times (WN)" w:eastAsia="等线"/>
                <w:szCs w:val="22"/>
                <w:lang w:eastAsia="zh-CN"/>
              </w:rPr>
              <w:t>11] or other simplified solution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Ericsson</w:t>
            </w:r>
          </w:p>
        </w:tc>
        <w:tc>
          <w:tcPr>
            <w:tcW w:w="596" w:type="pct"/>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Yes</w:t>
            </w:r>
          </w:p>
        </w:tc>
        <w:tc>
          <w:tcPr>
            <w:tcW w:w="1221" w:type="pct"/>
          </w:tcPr>
          <w:p>
            <w:pPr>
              <w:spacing w:after="0" w:line="276" w:lineRule="auto"/>
              <w:rPr>
                <w:rFonts w:ascii="CG Times (WN)" w:hAnsi="CG Times (WN)" w:eastAsia="等线"/>
                <w:szCs w:val="22"/>
                <w:lang w:val="en-US" w:eastAsia="zh-CN"/>
              </w:rPr>
            </w:pPr>
            <w:r>
              <w:rPr>
                <w:rFonts w:ascii="CG Times (WN)" w:hAnsi="CG Times (WN)" w:eastAsiaTheme="minorEastAsia"/>
                <w:szCs w:val="21"/>
                <w:lang w:eastAsia="ja-JP"/>
              </w:rPr>
              <w:t xml:space="preserve">Other: One new bit per BC for simultaneous Rx-Tx among TDD-FDD pairs only. </w:t>
            </w:r>
          </w:p>
        </w:tc>
        <w:tc>
          <w:tcPr>
            <w:tcW w:w="2213"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As QC says, we are concerned about the additional overhead and the complexity to validate it. </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think we can try to simplify the signaling by adding just one new bit per BC:</w:t>
            </w:r>
            <w:r>
              <w:rPr>
                <w:rFonts w:ascii="CG Times (WN)" w:hAnsi="CG Times (WN)" w:eastAsiaTheme="minorEastAsia"/>
                <w:szCs w:val="21"/>
                <w:lang w:eastAsia="ja-JP"/>
              </w:rPr>
              <w:br w:type="textWrapping"/>
            </w:r>
            <w:r>
              <w:rPr>
                <w:rFonts w:ascii="CG Times (WN)" w:hAnsi="CG Times (WN)" w:eastAsiaTheme="minorEastAsia"/>
                <w:szCs w:val="21"/>
                <w:lang w:eastAsia="ja-JP"/>
              </w:rPr>
              <w:t>simultaneousRxTxInterBandCA-TDD-FDD.</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simultaneousRxTxInterBandCA-TDD-FDD. A gNB that comprehends that new field could transmit on the FDD UL and still expect the UE to receive on the TDD DL(s). </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We think that the overhead and complexity of a more fine-grained signalling per BC is not justified by the use cases. </w:t>
            </w:r>
          </w:p>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596" w:type="pct"/>
          </w:tcPr>
          <w:p>
            <w:pPr>
              <w:spacing w:after="0" w:line="276" w:lineRule="auto"/>
              <w:jc w:val="both"/>
              <w:rPr>
                <w:rFonts w:hint="default" w:ascii="CG Times (WN)" w:hAnsi="CG Times (WN)" w:eastAsia="宋体"/>
                <w:szCs w:val="22"/>
                <w:lang w:val="en-US" w:eastAsia="zh-CN"/>
              </w:rPr>
            </w:pPr>
            <w:r>
              <w:rPr>
                <w:rFonts w:hint="eastAsia" w:ascii="CG Times (WN)" w:hAnsi="CG Times (WN)"/>
                <w:szCs w:val="22"/>
                <w:lang w:val="en-US" w:eastAsia="zh-CN"/>
              </w:rPr>
              <w:t>Yes with comments</w:t>
            </w:r>
          </w:p>
        </w:tc>
        <w:tc>
          <w:tcPr>
            <w:tcW w:w="1221"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[11] with comments</w:t>
            </w:r>
          </w:p>
        </w:tc>
        <w:tc>
          <w:tcPr>
            <w:tcW w:w="2213"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It seems that the final bits can be further reduced by  only taking the band pair that including at least one UL band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szCs w:val="22"/>
                <w:lang w:val="en-US" w:eastAsia="zh-CN"/>
              </w:rPr>
            </w:pPr>
          </w:p>
        </w:tc>
        <w:tc>
          <w:tcPr>
            <w:tcW w:w="596" w:type="pct"/>
          </w:tcPr>
          <w:p>
            <w:pPr>
              <w:spacing w:after="0" w:line="276" w:lineRule="auto"/>
              <w:jc w:val="center"/>
              <w:rPr>
                <w:rFonts w:ascii="CG Times (WN)" w:hAnsi="CG Times (WN)" w:eastAsia="Malgun Gothic"/>
                <w:szCs w:val="22"/>
                <w:lang w:eastAsia="ko-KR"/>
              </w:rPr>
            </w:pPr>
          </w:p>
        </w:tc>
        <w:tc>
          <w:tcPr>
            <w:tcW w:w="1221" w:type="pct"/>
          </w:tcPr>
          <w:p>
            <w:pPr>
              <w:spacing w:after="0" w:line="276" w:lineRule="auto"/>
              <w:rPr>
                <w:rFonts w:ascii="CG Times (WN)" w:hAnsi="CG Times (WN)" w:eastAsia="等线"/>
                <w:szCs w:val="22"/>
                <w:lang w:val="en-US" w:eastAsia="zh-CN"/>
              </w:rPr>
            </w:pPr>
          </w:p>
        </w:tc>
        <w:tc>
          <w:tcPr>
            <w:tcW w:w="2213"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596" w:type="pct"/>
          </w:tcPr>
          <w:p>
            <w:pPr>
              <w:spacing w:after="0" w:line="276" w:lineRule="auto"/>
              <w:jc w:val="center"/>
              <w:rPr>
                <w:rFonts w:ascii="CG Times (WN)" w:hAnsi="CG Times (WN)" w:eastAsia="Malgun Gothic"/>
                <w:szCs w:val="22"/>
                <w:lang w:eastAsia="ko-KR"/>
              </w:rPr>
            </w:pPr>
          </w:p>
        </w:tc>
        <w:tc>
          <w:tcPr>
            <w:tcW w:w="1221" w:type="pct"/>
          </w:tcPr>
          <w:p>
            <w:pPr>
              <w:spacing w:after="0" w:line="276" w:lineRule="auto"/>
              <w:rPr>
                <w:rFonts w:ascii="CG Times (WN)" w:hAnsi="CG Times (WN)" w:eastAsia="等线"/>
                <w:szCs w:val="22"/>
                <w:lang w:val="en-US" w:eastAsia="zh-CN"/>
              </w:rPr>
            </w:pPr>
          </w:p>
        </w:tc>
        <w:tc>
          <w:tcPr>
            <w:tcW w:w="2213"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jc w:val="center"/>
              <w:rPr>
                <w:rFonts w:ascii="CG Times (WN)" w:hAnsi="CG Times (WN)" w:eastAsia="Malgun Gothic"/>
                <w:szCs w:val="22"/>
                <w:lang w:eastAsia="zh-CN"/>
              </w:rPr>
            </w:pPr>
          </w:p>
        </w:tc>
        <w:tc>
          <w:tcPr>
            <w:tcW w:w="596" w:type="pct"/>
          </w:tcPr>
          <w:p>
            <w:pPr>
              <w:spacing w:after="0"/>
              <w:jc w:val="center"/>
              <w:rPr>
                <w:rFonts w:ascii="CG Times (WN)" w:hAnsi="CG Times (WN)" w:eastAsia="Malgun Gothic"/>
                <w:szCs w:val="22"/>
                <w:lang w:eastAsia="zh-CN"/>
              </w:rPr>
            </w:pPr>
          </w:p>
        </w:tc>
        <w:tc>
          <w:tcPr>
            <w:tcW w:w="1221" w:type="pct"/>
          </w:tcPr>
          <w:p>
            <w:pPr>
              <w:spacing w:after="0"/>
              <w:rPr>
                <w:rFonts w:ascii="CG Times (WN)" w:hAnsi="CG Times (WN)" w:eastAsia="等线"/>
                <w:szCs w:val="22"/>
                <w:lang w:val="en-US" w:eastAsia="zh-CN"/>
              </w:rPr>
            </w:pPr>
          </w:p>
        </w:tc>
        <w:tc>
          <w:tcPr>
            <w:tcW w:w="2213" w:type="pct"/>
          </w:tcPr>
          <w:p>
            <w:pPr>
              <w:spacing w:after="0"/>
              <w:rPr>
                <w:rFonts w:ascii="CG Times (WN)" w:hAnsi="CG Times (WN)" w:eastAsia="等线"/>
                <w:szCs w:val="22"/>
                <w:lang w:val="en-US" w:eastAsia="zh-CN"/>
              </w:rPr>
            </w:pPr>
          </w:p>
        </w:tc>
      </w:tr>
    </w:tbl>
    <w:p>
      <w:pPr>
        <w:rPr>
          <w:b/>
          <w:kern w:val="2"/>
          <w:lang w:eastAsia="zh-CN"/>
        </w:rPr>
      </w:pPr>
    </w:p>
    <w:p>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pPr>
        <w:spacing w:before="240"/>
        <w:rPr>
          <w:lang w:eastAsia="zh-CN"/>
        </w:rPr>
      </w:pPr>
      <w:r>
        <w:rPr>
          <w:lang w:eastAsia="zh-CN"/>
        </w:rPr>
        <w:t>The proposals in [10] are listed below.</w:t>
      </w:r>
    </w:p>
    <w:p>
      <w:pPr>
        <w:spacing w:after="0"/>
        <w:ind w:left="200" w:leftChars="100"/>
        <w:rPr>
          <w:lang w:eastAsia="zh-CN"/>
        </w:rPr>
      </w:pPr>
      <w:r>
        <w:rPr>
          <w:lang w:eastAsia="zh-CN"/>
        </w:rPr>
        <w:t>Proposal 5:</w:t>
      </w:r>
      <w:r>
        <w:rPr>
          <w:lang w:eastAsia="zh-CN"/>
        </w:rPr>
        <w:tab/>
      </w:r>
      <w:r>
        <w:rPr>
          <w:lang w:eastAsia="zh-CN"/>
        </w:rPr>
        <w:t>RAN2 to confirm the following interpretation of simultaneousRxTxInterBandCA does not cause any interoperability issue.</w:t>
      </w:r>
    </w:p>
    <w:p>
      <w:pPr>
        <w:spacing w:after="0"/>
        <w:ind w:left="400" w:leftChars="200"/>
        <w:rPr>
          <w:lang w:eastAsia="zh-CN"/>
        </w:rPr>
      </w:pPr>
      <w:r>
        <w:rPr>
          <w:lang w:eastAsia="zh-CN"/>
        </w:rPr>
        <w:t>1.</w:t>
      </w:r>
      <w:r>
        <w:rPr>
          <w:lang w:eastAsia="zh-CN"/>
        </w:rPr>
        <w:tab/>
      </w:r>
      <w:r>
        <w:rPr>
          <w:lang w:eastAsia="zh-CN"/>
        </w:rPr>
        <w:t>The UE indicating the support for simultaneousRxTxInterBandCA for an NR-DC band combination is considered to support simultaneous Rx/Tx for any pair of TDD-FDD / TDD-TDD bands, including intra-CG and inter-CG.</w:t>
      </w:r>
    </w:p>
    <w:p>
      <w:pPr>
        <w:spacing w:after="0"/>
        <w:ind w:left="400" w:leftChars="200"/>
        <w:rPr>
          <w:lang w:eastAsia="zh-CN"/>
        </w:rPr>
      </w:pPr>
      <w:r>
        <w:rPr>
          <w:lang w:eastAsia="zh-CN"/>
        </w:rPr>
        <w:t>2.</w:t>
      </w:r>
      <w:r>
        <w:rPr>
          <w:lang w:eastAsia="zh-CN"/>
        </w:rPr>
        <w:tab/>
      </w:r>
      <w:r>
        <w:rPr>
          <w:lang w:eastAsia="zh-CN"/>
        </w:rPr>
        <w:t>The UE not indicating the support for simultaneousRxTxInterBandCA for an NR-DC band combination is considered not to support simultaneous Rx/Tx for any pair of TDD-FDD / TDD-TDD bands, including intra-CG and inter-CG.</w:t>
      </w:r>
    </w:p>
    <w:p>
      <w:pPr>
        <w:ind w:left="400" w:leftChars="200"/>
        <w:rPr>
          <w:lang w:eastAsia="zh-CN"/>
        </w:rPr>
      </w:pPr>
      <w:r>
        <w:rPr>
          <w:lang w:eastAsia="zh-CN"/>
        </w:rPr>
        <w:t>3.</w:t>
      </w:r>
      <w:r>
        <w:rPr>
          <w:lang w:eastAsia="zh-CN"/>
        </w:rPr>
        <w:tab/>
      </w:r>
      <w:r>
        <w:rPr>
          <w:lang w:eastAsia="zh-CN"/>
        </w:rPr>
        <w:t>In case 2, the legacy network would not configure the UE with NR-DC due to the lack of inter-node resource coordination mechanism, or shall avoid simultaneous Rx/Tx across CGs (e.g. via an implementation specific solution).</w:t>
      </w:r>
    </w:p>
    <w:p>
      <w:pPr>
        <w:ind w:left="200" w:leftChars="100"/>
        <w:rPr>
          <w:lang w:eastAsia="zh-CN"/>
        </w:rPr>
      </w:pPr>
      <w:r>
        <w:rPr>
          <w:lang w:eastAsia="zh-CN"/>
        </w:rPr>
        <w:t>Proposal 6:</w:t>
      </w:r>
      <w:r>
        <w:rPr>
          <w:lang w:eastAsia="zh-CN"/>
        </w:rPr>
        <w:tab/>
      </w:r>
      <w:r>
        <w:rPr>
          <w:lang w:eastAsia="zh-CN"/>
        </w:rPr>
        <w:t>Inform RAN3 about RAN2 agreements and request RAN3 to make necessary changes to their specifications.</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Q5-2 Do companies agree with Proposal 5 above? If yes, do companies agree with Proposal 6 above?</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743"/>
        <w:gridCol w:w="1698"/>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84"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 xml:space="preserve">for </w:t>
            </w:r>
            <w:r>
              <w:rPr>
                <w:rFonts w:ascii="CG Times (WN)" w:hAnsi="CG Times (WN)" w:eastAsia="等线"/>
                <w:b/>
                <w:bCs/>
                <w:szCs w:val="21"/>
                <w:lang w:eastAsia="zh-CN"/>
              </w:rPr>
              <w:t>Proposal 5</w:t>
            </w:r>
          </w:p>
        </w:tc>
        <w:tc>
          <w:tcPr>
            <w:tcW w:w="86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p>
            <w:pPr>
              <w:spacing w:after="0" w:line="276" w:lineRule="auto"/>
              <w:jc w:val="center"/>
              <w:rPr>
                <w:rFonts w:ascii="CG Times (WN)" w:hAnsi="CG Times (WN)" w:eastAsia="等线"/>
                <w:b/>
                <w:bCs/>
                <w:szCs w:val="22"/>
                <w:lang w:eastAsia="zh-CN"/>
              </w:rPr>
            </w:pPr>
            <w:r>
              <w:rPr>
                <w:rFonts w:ascii="CG Times (WN)" w:hAnsi="CG Times (WN)" w:eastAsiaTheme="minorEastAsia"/>
                <w:b/>
                <w:bCs/>
                <w:szCs w:val="22"/>
                <w:lang w:eastAsia="ja-JP"/>
              </w:rPr>
              <w:t xml:space="preserve">for </w:t>
            </w:r>
            <w:r>
              <w:rPr>
                <w:rFonts w:ascii="CG Times (WN)" w:hAnsi="CG Times (WN)" w:eastAsia="等线"/>
                <w:b/>
                <w:bCs/>
                <w:szCs w:val="21"/>
                <w:lang w:eastAsia="zh-CN"/>
              </w:rPr>
              <w:t>Proposal 6</w:t>
            </w:r>
          </w:p>
        </w:tc>
        <w:tc>
          <w:tcPr>
            <w:tcW w:w="2285"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84"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86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285"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P</w:t>
            </w:r>
            <w:r>
              <w:rPr>
                <w:rFonts w:ascii="CG Times (WN)" w:hAnsi="CG Times (WN)" w:eastAsiaTheme="minorEastAsia"/>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84"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861"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No</w:t>
            </w:r>
          </w:p>
        </w:tc>
        <w:tc>
          <w:tcPr>
            <w:tcW w:w="2285"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P6: not clear what RAN3 impact is expected on top of the information of bands used in MN (see our answer in Q5-4)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861" w:type="pct"/>
          </w:tcPr>
          <w:p>
            <w:pPr>
              <w:spacing w:after="0" w:line="276" w:lineRule="auto"/>
              <w:rPr>
                <w:rFonts w:ascii="CG Times (WN)" w:hAnsi="CG Times (WN)"/>
                <w:szCs w:val="22"/>
                <w:lang w:val="en-US" w:eastAsia="zh-CN"/>
              </w:rPr>
            </w:pPr>
            <w:r>
              <w:rPr>
                <w:rFonts w:ascii="CG Times (WN)" w:hAnsi="CG Times (WN)"/>
                <w:szCs w:val="22"/>
                <w:lang w:val="en-US" w:eastAsia="zh-CN"/>
              </w:rPr>
              <w:t>No</w:t>
            </w:r>
          </w:p>
        </w:tc>
        <w:tc>
          <w:tcPr>
            <w:tcW w:w="2285" w:type="pct"/>
          </w:tcPr>
          <w:p>
            <w:pPr>
              <w:spacing w:after="0" w:line="276" w:lineRule="auto"/>
              <w:rPr>
                <w:rFonts w:ascii="CG Times (WN)" w:hAnsi="CG Times (WN)"/>
                <w:szCs w:val="22"/>
                <w:lang w:val="en-US" w:eastAsia="zh-CN"/>
              </w:rPr>
            </w:pPr>
            <w:r>
              <w:rPr>
                <w:rFonts w:ascii="CG Times (WN)" w:hAnsi="CG Times (WN)"/>
                <w:szCs w:val="22"/>
                <w:lang w:val="en-US" w:eastAsia="zh-CN"/>
              </w:rPr>
              <w:t>Agree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861"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No strong view</w:t>
            </w:r>
          </w:p>
        </w:tc>
        <w:tc>
          <w:tcPr>
            <w:tcW w:w="2285"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84"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86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285"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A</w:t>
            </w:r>
            <w:r>
              <w:rPr>
                <w:rFonts w:ascii="CG Times (WN)" w:hAnsi="CG Times (WN)" w:eastAsiaTheme="minorEastAsia"/>
                <w:szCs w:val="22"/>
                <w:lang w:eastAsia="ja-JP"/>
              </w:rPr>
              <w:t>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Partly yes (no for 3)</w:t>
            </w:r>
          </w:p>
        </w:tc>
        <w:tc>
          <w:tcPr>
            <w:tcW w:w="861" w:type="pct"/>
          </w:tcPr>
          <w:p>
            <w:pPr>
              <w:spacing w:after="0" w:line="276" w:lineRule="auto"/>
              <w:rPr>
                <w:rFonts w:ascii="CG Times (WN)" w:hAnsi="CG Times (WN)" w:eastAsia="等线"/>
                <w:szCs w:val="22"/>
                <w:lang w:eastAsia="zh-CN"/>
              </w:rPr>
            </w:pPr>
            <w:r>
              <w:rPr>
                <w:rFonts w:ascii="CG Times (WN)" w:hAnsi="CG Times (WN)"/>
                <w:szCs w:val="22"/>
                <w:lang w:val="en-US" w:eastAsia="zh-CN"/>
              </w:rPr>
              <w:t>No</w:t>
            </w:r>
          </w:p>
        </w:tc>
        <w:tc>
          <w:tcPr>
            <w:tcW w:w="2285"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are not sure the issue of lack of inter-node resource coordination mechanism in NR-DC, this can be supported by the current spec. In Xn interface, the IE </w:t>
            </w:r>
            <w:r>
              <w:rPr>
                <w:rFonts w:ascii="CG Times (WN)" w:hAnsi="CG Times (WN)"/>
                <w:i/>
              </w:rPr>
              <w:t>MR-DC Resource Coordination Information</w:t>
            </w:r>
            <w:r>
              <w:rPr>
                <w:rFonts w:ascii="CG Times (WN)" w:hAnsi="CG Times (WN)"/>
              </w:rPr>
              <w:t xml:space="preserve"> can be used to coordinate resource between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w:t>
            </w:r>
          </w:p>
        </w:tc>
        <w:tc>
          <w:tcPr>
            <w:tcW w:w="861"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No</w:t>
            </w:r>
          </w:p>
        </w:tc>
        <w:tc>
          <w:tcPr>
            <w:tcW w:w="2285"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84"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861"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No strong view</w:t>
            </w:r>
          </w:p>
        </w:tc>
        <w:tc>
          <w:tcPr>
            <w:tcW w:w="2285" w:type="pct"/>
          </w:tcPr>
          <w:p>
            <w:pPr>
              <w:spacing w:after="0" w:line="276" w:lineRule="auto"/>
              <w:rPr>
                <w:rFonts w:ascii="CG Times (WN)" w:hAnsi="CG Times (WN)" w:eastAsia="等线" w:cs="Times New Roman"/>
                <w:szCs w:val="22"/>
                <w:lang w:val="en-US" w:eastAsia="zh-CN"/>
              </w:rPr>
            </w:pPr>
            <w:r>
              <w:rPr>
                <w:rFonts w:hint="eastAsia" w:ascii="CG Times (WN)" w:hAnsi="CG Times (WN)" w:eastAsia="等线" w:cs="Times New Roman"/>
                <w:szCs w:val="22"/>
                <w:lang w:val="en-US" w:eastAsia="zh-CN"/>
              </w:rPr>
              <w:t>We share the view that it can be implemented with the existing element</w:t>
            </w:r>
          </w:p>
          <w:p>
            <w:pPr>
              <w:spacing w:after="0" w:line="276" w:lineRule="auto"/>
              <w:rPr>
                <w:rFonts w:hint="eastAsia" w:ascii="CG Times (WN)" w:hAnsi="CG Times (WN)" w:eastAsia="等线" w:cs="Times New Roman"/>
                <w:i/>
                <w:iCs/>
                <w:szCs w:val="22"/>
                <w:lang w:val="en-US" w:eastAsia="zh-CN"/>
              </w:rPr>
            </w:pPr>
            <w:r>
              <w:rPr>
                <w:rFonts w:hint="eastAsia" w:ascii="CG Times (WN)" w:hAnsi="CG Times (WN)" w:eastAsia="等线" w:cs="Times New Roman"/>
                <w:i/>
                <w:iCs/>
                <w:szCs w:val="22"/>
                <w:lang w:val="en-US" w:eastAsia="zh-CN"/>
              </w:rPr>
              <w:t>NR Resource</w:t>
            </w:r>
            <w:r>
              <w:rPr>
                <w:rFonts w:ascii="CG Times (WN)" w:hAnsi="CG Times (WN)" w:eastAsia="等线" w:cs="Times New Roman"/>
                <w:i/>
                <w:iCs/>
                <w:szCs w:val="22"/>
                <w:lang w:val="en-US" w:eastAsia="zh-CN"/>
              </w:rPr>
              <w:t> Coordination Information IE</w:t>
            </w:r>
            <w:r>
              <w:rPr>
                <w:rFonts w:hint="eastAsia" w:ascii="CG Times (WN)" w:hAnsi="CG Times (WN)" w:eastAsia="等线" w:cs="Times New Roman"/>
                <w:i/>
                <w:iCs/>
                <w:szCs w:val="22"/>
                <w:lang w:val="en-US" w:eastAsia="zh-CN"/>
              </w:rPr>
              <w:t>.</w:t>
            </w:r>
          </w:p>
          <w:p>
            <w:pPr>
              <w:spacing w:after="0" w:line="276" w:lineRule="auto"/>
              <w:rPr>
                <w:rFonts w:hint="default" w:ascii="CG Times (WN)" w:hAnsi="CG Times (WN)" w:eastAsia="等线" w:cs="Times New Roman"/>
                <w:i/>
                <w:iCs/>
                <w:szCs w:val="22"/>
                <w:lang w:val="en-US" w:eastAsia="zh-CN"/>
              </w:rPr>
            </w:pPr>
            <w:r>
              <w:rPr>
                <w:rFonts w:hint="eastAsia" w:ascii="CG Times (WN)" w:hAnsi="CG Times (WN)" w:eastAsia="等线" w:cs="Times New Roman"/>
                <w:i/>
                <w:iCs/>
                <w:szCs w:val="22"/>
                <w:lang w:val="en-US" w:eastAsia="zh-CN"/>
              </w:rPr>
              <w:t>We are not sure whether there is a need to send LS to RAN3</w:t>
            </w:r>
          </w:p>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szCs w:val="22"/>
                <w:lang w:val="en-US" w:eastAsia="zh-CN"/>
              </w:rPr>
            </w:pPr>
          </w:p>
        </w:tc>
        <w:tc>
          <w:tcPr>
            <w:tcW w:w="884" w:type="pct"/>
          </w:tcPr>
          <w:p>
            <w:pPr>
              <w:spacing w:after="0" w:line="276" w:lineRule="auto"/>
              <w:jc w:val="center"/>
              <w:rPr>
                <w:rFonts w:ascii="CG Times (WN)" w:hAnsi="CG Times (WN)" w:eastAsia="Malgun Gothic"/>
                <w:szCs w:val="22"/>
                <w:lang w:eastAsia="ko-KR"/>
              </w:rPr>
            </w:pPr>
          </w:p>
        </w:tc>
        <w:tc>
          <w:tcPr>
            <w:tcW w:w="861" w:type="pct"/>
          </w:tcPr>
          <w:p>
            <w:pPr>
              <w:spacing w:after="0" w:line="276" w:lineRule="auto"/>
              <w:rPr>
                <w:rFonts w:ascii="CG Times (WN)" w:hAnsi="CG Times (WN)" w:eastAsia="等线"/>
                <w:szCs w:val="22"/>
                <w:lang w:val="en-US" w:eastAsia="zh-CN"/>
              </w:rPr>
            </w:pPr>
          </w:p>
        </w:tc>
        <w:tc>
          <w:tcPr>
            <w:tcW w:w="2285"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884" w:type="pct"/>
          </w:tcPr>
          <w:p>
            <w:pPr>
              <w:spacing w:after="0" w:line="276" w:lineRule="auto"/>
              <w:jc w:val="center"/>
              <w:rPr>
                <w:rFonts w:ascii="CG Times (WN)" w:hAnsi="CG Times (WN)" w:eastAsia="Malgun Gothic"/>
                <w:szCs w:val="22"/>
                <w:lang w:eastAsia="ko-KR"/>
              </w:rPr>
            </w:pPr>
          </w:p>
        </w:tc>
        <w:tc>
          <w:tcPr>
            <w:tcW w:w="861" w:type="pct"/>
          </w:tcPr>
          <w:p>
            <w:pPr>
              <w:spacing w:after="0" w:line="276" w:lineRule="auto"/>
              <w:rPr>
                <w:rFonts w:ascii="CG Times (WN)" w:hAnsi="CG Times (WN)" w:eastAsia="等线"/>
                <w:szCs w:val="22"/>
                <w:lang w:val="en-US" w:eastAsia="zh-CN"/>
              </w:rPr>
            </w:pPr>
          </w:p>
        </w:tc>
        <w:tc>
          <w:tcPr>
            <w:tcW w:w="2285"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jc w:val="center"/>
              <w:rPr>
                <w:rFonts w:ascii="CG Times (WN)" w:hAnsi="CG Times (WN)" w:eastAsia="Malgun Gothic"/>
                <w:szCs w:val="22"/>
                <w:lang w:eastAsia="zh-CN"/>
              </w:rPr>
            </w:pPr>
          </w:p>
        </w:tc>
        <w:tc>
          <w:tcPr>
            <w:tcW w:w="884" w:type="pct"/>
          </w:tcPr>
          <w:p>
            <w:pPr>
              <w:spacing w:after="0"/>
              <w:jc w:val="center"/>
              <w:rPr>
                <w:rFonts w:ascii="CG Times (WN)" w:hAnsi="CG Times (WN)" w:eastAsia="Malgun Gothic"/>
                <w:szCs w:val="22"/>
                <w:lang w:eastAsia="zh-CN"/>
              </w:rPr>
            </w:pPr>
          </w:p>
        </w:tc>
        <w:tc>
          <w:tcPr>
            <w:tcW w:w="861" w:type="pct"/>
          </w:tcPr>
          <w:p>
            <w:pPr>
              <w:spacing w:after="0"/>
              <w:rPr>
                <w:rFonts w:ascii="CG Times (WN)" w:hAnsi="CG Times (WN)" w:eastAsia="等线"/>
                <w:szCs w:val="22"/>
                <w:lang w:val="en-US" w:eastAsia="zh-CN"/>
              </w:rPr>
            </w:pPr>
          </w:p>
        </w:tc>
        <w:tc>
          <w:tcPr>
            <w:tcW w:w="2285" w:type="pct"/>
          </w:tcPr>
          <w:p>
            <w:pPr>
              <w:spacing w:after="0"/>
              <w:rPr>
                <w:rFonts w:ascii="CG Times (WN)" w:hAnsi="CG Times (WN)" w:eastAsia="等线"/>
                <w:szCs w:val="22"/>
                <w:lang w:val="en-US" w:eastAsia="zh-CN"/>
              </w:rPr>
            </w:pPr>
          </w:p>
        </w:tc>
      </w:tr>
    </w:tbl>
    <w:p>
      <w:pPr>
        <w:rPr>
          <w:b/>
          <w:kern w:val="2"/>
          <w:lang w:eastAsia="zh-CN"/>
        </w:rPr>
      </w:pPr>
    </w:p>
    <w:p>
      <w:pPr>
        <w:spacing w:before="240"/>
        <w:rPr>
          <w:lang w:eastAsia="zh-CN"/>
        </w:rPr>
      </w:pPr>
      <w:r>
        <w:t xml:space="preserve">The proposed change </w:t>
      </w:r>
      <w:r>
        <w:rPr>
          <w:lang w:eastAsia="zh-CN"/>
        </w:rPr>
        <w:t xml:space="preserve">in [8][9] is: to clarify that </w:t>
      </w:r>
      <w:r>
        <w:rPr>
          <w:i/>
          <w:lang w:eastAsia="zh-CN"/>
        </w:rPr>
        <w:t>simultaneousRxTxInterBandCA</w:t>
      </w:r>
      <w:r>
        <w:rPr>
          <w:lang w:eastAsia="zh-CN"/>
        </w:rPr>
        <w:t xml:space="preserve"> capability applies to any of the NR bands of the same CG and across MCG and SCG in NR-DC case.</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Q5-3 Do companies </w:t>
      </w:r>
      <w:r>
        <w:rPr>
          <w:rFonts w:ascii="Arial" w:hAnsi="Arial"/>
          <w:b/>
          <w:bCs/>
        </w:rPr>
        <w:t>agree with the intention of the CRs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 we think it could be simplified?</w:t>
            </w:r>
          </w:p>
        </w:tc>
        <w:tc>
          <w:tcPr>
            <w:tcW w:w="2987" w:type="pct"/>
          </w:tcPr>
          <w:p>
            <w:pPr>
              <w:spacing w:after="0" w:line="276" w:lineRule="auto"/>
              <w:rPr>
                <w:rFonts w:ascii="CG Times (WN)" w:hAnsi="CG Times (WN)"/>
              </w:rPr>
            </w:pPr>
            <w:r>
              <w:rPr>
                <w:rFonts w:ascii="CG Times (WN)" w:hAnsi="CG Times (WN)"/>
                <w:szCs w:val="22"/>
                <w:lang w:val="en-US" w:eastAsia="zh-CN"/>
              </w:rPr>
              <w:t xml:space="preserve">For </w:t>
            </w:r>
            <w:r>
              <w:rPr>
                <w:rFonts w:ascii="CG Times (WN)" w:hAnsi="CG Times (WN)"/>
              </w:rPr>
              <w:t>R2-2108572/ R2-2108573, 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 we would like to discuss the issue raised by Nokia.</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think what happens on the inclusion or not of the field in ca-ParametersNR-ForDC would be handled as any other field contained within ca-ParametersNR-ForDC as clarified in its field description in 38.331: </w:t>
            </w: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 </w:t>
            </w:r>
          </w:p>
          <w:p>
            <w:pPr>
              <w:spacing w:after="0" w:line="276" w:lineRule="auto"/>
              <w:rPr>
                <w:rFonts w:ascii="CG Times (WN)" w:hAnsi="CG Times (WN)" w:eastAsia="等线"/>
                <w:szCs w:val="22"/>
                <w:lang w:eastAsia="zh-CN"/>
              </w:rPr>
            </w:pPr>
            <w:r>
              <w:rPr>
                <w:rFonts w:ascii="CG Times (WN)" w:hAnsi="CG Times (WN)" w:eastAsia="等线"/>
                <w:szCs w:val="22"/>
                <w:lang w:eastAsia="zh-CN"/>
              </w:rPr>
              <w:t>ca-ParametersNR-forDC (with and without suffix)</w:t>
            </w:r>
          </w:p>
          <w:p>
            <w:pPr>
              <w:spacing w:after="0" w:line="276" w:lineRule="auto"/>
              <w:rPr>
                <w:rFonts w:ascii="CG Times (WN)" w:hAnsi="CG Times (WN)" w:eastAsia="等线"/>
                <w:szCs w:val="22"/>
                <w:lang w:eastAsia="zh-CN"/>
              </w:rPr>
            </w:pPr>
            <w:r>
              <w:rPr>
                <w:rFonts w:ascii="CG Times (WN)" w:hAnsi="CG Times (WN)"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kern w:val="2"/>
          <w:lang w:eastAsia="zh-CN"/>
        </w:rPr>
      </w:pPr>
    </w:p>
    <w:p>
      <w:pPr>
        <w:rPr>
          <w:kern w:val="2"/>
          <w:lang w:eastAsia="zh-CN"/>
        </w:rPr>
      </w:pPr>
      <w:r>
        <w:rPr>
          <w:kern w:val="2"/>
          <w:lang w:eastAsia="zh-CN"/>
        </w:rPr>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pPr>
        <w:ind w:left="200" w:leftChars="100"/>
        <w:rPr>
          <w:lang w:eastAsia="zh-CN"/>
        </w:rPr>
      </w:pPr>
      <w:r>
        <w:rPr>
          <w:lang w:eastAsia="zh-CN"/>
        </w:rPr>
        <w:t>Proposal 3: RAN2 to specify that the SN can use the selectedBandEntriesMNList field to check the per-band-pair simultaneous Rx/Tx capability in NR-DC, (NG)EN-DC, and NE-DC.</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Q5-4 Do companies </w:t>
      </w:r>
      <w:r>
        <w:rPr>
          <w:rFonts w:ascii="Arial" w:hAnsi="Arial"/>
          <w:b/>
          <w:bCs/>
        </w:rPr>
        <w:t xml:space="preserve">agree with the intention of </w:t>
      </w:r>
      <w:r>
        <w:rPr>
          <w:rFonts w:ascii="CG Times (WN)" w:hAnsi="CG Times (WN)" w:eastAsia="等线"/>
          <w:b/>
          <w:bCs/>
          <w:szCs w:val="21"/>
          <w:lang w:eastAsia="zh-CN"/>
        </w:rPr>
        <w:t>Proposal 3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C</w:t>
            </w:r>
            <w:r>
              <w:rPr>
                <w:rFonts w:ascii="CG Times (WN)" w:hAnsi="CG Times (WN)" w:eastAsiaTheme="minorEastAsia"/>
                <w:szCs w:val="22"/>
                <w:lang w:eastAsia="ja-JP"/>
              </w:rPr>
              <w:t>an be clarified what is missing with the existing dynamic coordination mechanism that RAN3 had defined for MR-DC.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As proponent.</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If dynamic resource coordination is not used, the proposed solution is simpler. The network should not be mandated to support dynamic coordination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Think Docomo’s understanding is correct… @Qualcomm what is the dynamic coordination in RAN3 you are referring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N</w:t>
            </w:r>
            <w:r>
              <w:rPr>
                <w:rFonts w:ascii="CG Times (WN)" w:hAnsi="CG Times (WN)" w:eastAsia="等线"/>
                <w:szCs w:val="22"/>
                <w:lang w:eastAsia="zh-CN"/>
              </w:rPr>
              <w:t>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In </w:t>
            </w:r>
            <w:r>
              <w:rPr>
                <w:rFonts w:ascii="CG Times (WN)" w:hAnsi="CG Times (WN)"/>
                <w:lang w:eastAsia="zh-CN"/>
              </w:rPr>
              <w:t>(NG)EN-DC and NE-DC,</w:t>
            </w:r>
            <w:r>
              <w:rPr>
                <w:rFonts w:ascii="CG Times (WN)" w:hAnsi="CG Times (WN)" w:eastAsia="等线"/>
                <w:szCs w:val="22"/>
                <w:lang w:eastAsia="zh-CN"/>
              </w:rPr>
              <w:t xml:space="preserve"> the selected Band Entries by MN can be clearly differentiated by LTE band or NR band naturally, as the MN will forward the whole band combination to the SN. So we don't see the necessity of introduce </w:t>
            </w:r>
            <w:r>
              <w:rPr>
                <w:rFonts w:ascii="CG Times (WN)" w:hAnsi="CG Times (WN)"/>
                <w:lang w:eastAsia="zh-CN"/>
              </w:rPr>
              <w:t>selectedBandEntriesMNList for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ind w:firstLine="600" w:firstLineChars="300"/>
              <w:jc w:val="both"/>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 xml:space="preserve">We share the view with Docomo, for the </w:t>
            </w:r>
            <w:r>
              <w:rPr>
                <w:rFonts w:ascii="CG Times (WN)" w:hAnsi="CG Times (WN)" w:eastAsiaTheme="minorEastAsia"/>
                <w:szCs w:val="21"/>
                <w:lang w:eastAsia="ja-JP"/>
              </w:rPr>
              <w:t>servFrequenciesMN-NR</w:t>
            </w:r>
            <w:r>
              <w:rPr>
                <w:rFonts w:hint="eastAsia" w:ascii="CG Times (WN)" w:hAnsi="CG Times (WN)" w:eastAsia="等线"/>
                <w:szCs w:val="22"/>
                <w:lang w:val="en-US" w:eastAsia="zh-CN"/>
              </w:rPr>
              <w:t xml:space="preserve"> there is also a limitation to the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kern w:val="2"/>
          <w:lang w:eastAsia="zh-CN"/>
        </w:rPr>
      </w:pPr>
    </w:p>
    <w:p>
      <w:pPr>
        <w:rPr>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bookmarkStart w:id="1" w:name="_GoBack"/>
      <w:bookmarkEnd w:id="1"/>
      <w:r>
        <w:rPr>
          <w:rFonts w:eastAsia="宋体" w:cs="Arial"/>
          <w:lang w:eastAsia="zh-CN"/>
        </w:rPr>
        <w:t>References</w:t>
      </w:r>
    </w:p>
    <w:p>
      <w:pPr>
        <w:pStyle w:val="68"/>
        <w:numPr>
          <w:ilvl w:val="0"/>
          <w:numId w:val="0"/>
        </w:numPr>
        <w:ind w:left="567" w:hanging="567"/>
        <w:rPr>
          <w:sz w:val="20"/>
        </w:rPr>
      </w:pPr>
      <w:r>
        <w:rPr>
          <w:sz w:val="20"/>
        </w:rPr>
        <w:t>BW handling</w:t>
      </w:r>
    </w:p>
    <w:p>
      <w:pPr>
        <w:pStyle w:val="68"/>
        <w:rPr>
          <w:sz w:val="20"/>
        </w:rPr>
      </w:pPr>
      <w:r>
        <w:rPr>
          <w:sz w:val="20"/>
        </w:rPr>
        <w:t>R2-2108574</w:t>
      </w:r>
      <w:r>
        <w:rPr>
          <w:sz w:val="20"/>
        </w:rPr>
        <w:tab/>
      </w:r>
      <w:r>
        <w:rPr>
          <w:sz w:val="20"/>
        </w:rPr>
        <w:t>Introduction of NR channel bandwidth capability for LTE-to-NR HO case</w:t>
      </w:r>
      <w:r>
        <w:rPr>
          <w:sz w:val="20"/>
        </w:rPr>
        <w:tab/>
      </w:r>
      <w:r>
        <w:rPr>
          <w:sz w:val="20"/>
        </w:rPr>
        <w:t>Huawei, HiSilicon</w:t>
      </w:r>
      <w:r>
        <w:rPr>
          <w:sz w:val="20"/>
        </w:rPr>
        <w:tab/>
      </w:r>
      <w:r>
        <w:rPr>
          <w:sz w:val="20"/>
        </w:rPr>
        <w:t>CR</w:t>
      </w:r>
      <w:r>
        <w:rPr>
          <w:sz w:val="20"/>
        </w:rPr>
        <w:tab/>
      </w:r>
      <w:r>
        <w:rPr>
          <w:sz w:val="20"/>
        </w:rPr>
        <w:t>Rel-15</w:t>
      </w:r>
      <w:r>
        <w:rPr>
          <w:sz w:val="20"/>
        </w:rPr>
        <w:tab/>
      </w:r>
      <w:r>
        <w:rPr>
          <w:sz w:val="20"/>
        </w:rPr>
        <w:t>36.331</w:t>
      </w:r>
      <w:r>
        <w:rPr>
          <w:sz w:val="20"/>
        </w:rPr>
        <w:tab/>
      </w:r>
      <w:r>
        <w:rPr>
          <w:sz w:val="20"/>
        </w:rPr>
        <w:t>15.14.0</w:t>
      </w:r>
      <w:r>
        <w:rPr>
          <w:sz w:val="20"/>
        </w:rPr>
        <w:tab/>
      </w:r>
      <w:r>
        <w:rPr>
          <w:sz w:val="20"/>
        </w:rPr>
        <w:t>4716</w:t>
      </w:r>
      <w:r>
        <w:rPr>
          <w:sz w:val="20"/>
        </w:rPr>
        <w:tab/>
      </w:r>
      <w:r>
        <w:rPr>
          <w:sz w:val="20"/>
        </w:rPr>
        <w:t>-</w:t>
      </w:r>
      <w:r>
        <w:rPr>
          <w:sz w:val="20"/>
        </w:rPr>
        <w:tab/>
      </w:r>
      <w:r>
        <w:rPr>
          <w:sz w:val="20"/>
        </w:rPr>
        <w:t>F</w:t>
      </w:r>
      <w:r>
        <w:rPr>
          <w:sz w:val="20"/>
        </w:rPr>
        <w:tab/>
      </w:r>
      <w:r>
        <w:rPr>
          <w:sz w:val="20"/>
        </w:rPr>
        <w:t>NR_newRAT-Core</w:t>
      </w:r>
    </w:p>
    <w:p>
      <w:pPr>
        <w:pStyle w:val="68"/>
        <w:rPr>
          <w:sz w:val="20"/>
        </w:rPr>
      </w:pPr>
      <w:r>
        <w:rPr>
          <w:sz w:val="20"/>
        </w:rPr>
        <w:t>R2-2108575</w:t>
      </w:r>
      <w:r>
        <w:rPr>
          <w:sz w:val="20"/>
        </w:rPr>
        <w:tab/>
      </w:r>
      <w:r>
        <w:rPr>
          <w:sz w:val="20"/>
        </w:rPr>
        <w:t>Introduction of NR channel bandwidth capability for LTE-to-NR HO case</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36.331</w:t>
      </w:r>
      <w:r>
        <w:rPr>
          <w:sz w:val="20"/>
        </w:rPr>
        <w:tab/>
      </w:r>
      <w:r>
        <w:rPr>
          <w:sz w:val="20"/>
        </w:rPr>
        <w:t>16.5.0</w:t>
      </w:r>
      <w:r>
        <w:rPr>
          <w:sz w:val="20"/>
        </w:rPr>
        <w:tab/>
      </w:r>
      <w:r>
        <w:rPr>
          <w:sz w:val="20"/>
        </w:rPr>
        <w:t>4717</w:t>
      </w:r>
      <w:r>
        <w:rPr>
          <w:sz w:val="20"/>
        </w:rPr>
        <w:tab/>
      </w:r>
      <w:r>
        <w:rPr>
          <w:sz w:val="20"/>
        </w:rPr>
        <w:t>-</w:t>
      </w:r>
      <w:r>
        <w:rPr>
          <w:sz w:val="20"/>
        </w:rPr>
        <w:tab/>
      </w:r>
      <w:r>
        <w:rPr>
          <w:sz w:val="20"/>
        </w:rPr>
        <w:t>A</w:t>
      </w:r>
      <w:r>
        <w:rPr>
          <w:sz w:val="20"/>
        </w:rPr>
        <w:tab/>
      </w:r>
      <w:r>
        <w:rPr>
          <w:sz w:val="20"/>
        </w:rPr>
        <w:t>NR_newRAT-Core</w:t>
      </w:r>
    </w:p>
    <w:p>
      <w:pPr>
        <w:pStyle w:val="68"/>
        <w:rPr>
          <w:sz w:val="20"/>
        </w:rPr>
      </w:pPr>
      <w:r>
        <w:rPr>
          <w:sz w:val="20"/>
        </w:rPr>
        <w:t>R2-2107390</w:t>
      </w:r>
      <w:r>
        <w:rPr>
          <w:sz w:val="20"/>
        </w:rPr>
        <w:tab/>
      </w:r>
      <w:r>
        <w:rPr>
          <w:sz w:val="20"/>
        </w:rPr>
        <w:t>UE Capability filtering solution for EN-DC BC selection issue</w:t>
      </w:r>
      <w:r>
        <w:rPr>
          <w:sz w:val="20"/>
        </w:rPr>
        <w:tab/>
      </w:r>
      <w:r>
        <w:rPr>
          <w:sz w:val="20"/>
        </w:rPr>
        <w:t>NTT DOCOMO, Inc.</w:t>
      </w:r>
      <w:r>
        <w:rPr>
          <w:sz w:val="20"/>
        </w:rPr>
        <w:tab/>
      </w:r>
      <w:r>
        <w:rPr>
          <w:sz w:val="20"/>
        </w:rPr>
        <w:t>discussion</w:t>
      </w:r>
      <w:r>
        <w:rPr>
          <w:sz w:val="20"/>
        </w:rPr>
        <w:tab/>
      </w:r>
      <w:r>
        <w:rPr>
          <w:sz w:val="20"/>
        </w:rPr>
        <w:t>Rel-17</w:t>
      </w:r>
      <w:r>
        <w:rPr>
          <w:sz w:val="20"/>
        </w:rPr>
        <w:tab/>
      </w:r>
      <w:r>
        <w:rPr>
          <w:sz w:val="20"/>
        </w:rPr>
        <w:t>TEI17</w:t>
      </w:r>
    </w:p>
    <w:p>
      <w:pPr>
        <w:pStyle w:val="68"/>
        <w:rPr>
          <w:sz w:val="20"/>
        </w:rPr>
      </w:pPr>
      <w:r>
        <w:rPr>
          <w:sz w:val="20"/>
        </w:rPr>
        <w:t>R2-2108578</w:t>
      </w:r>
      <w:r>
        <w:rPr>
          <w:sz w:val="20"/>
        </w:rPr>
        <w:tab/>
      </w:r>
      <w:r>
        <w:rPr>
          <w:sz w:val="20"/>
        </w:rPr>
        <w:t>Support of newly introuduced 100M bandwidth for band n40</w:t>
      </w:r>
      <w:r>
        <w:rPr>
          <w:sz w:val="20"/>
        </w:rPr>
        <w:tab/>
      </w:r>
      <w:r>
        <w:rPr>
          <w:sz w:val="20"/>
        </w:rPr>
        <w:t>Huawei, HiSilicon</w:t>
      </w:r>
      <w:r>
        <w:rPr>
          <w:sz w:val="20"/>
        </w:rPr>
        <w:tab/>
      </w:r>
      <w:r>
        <w:rPr>
          <w:sz w:val="20"/>
        </w:rPr>
        <w:t>discussion</w:t>
      </w:r>
      <w:r>
        <w:rPr>
          <w:sz w:val="20"/>
        </w:rPr>
        <w:tab/>
      </w:r>
      <w:r>
        <w:rPr>
          <w:sz w:val="20"/>
        </w:rPr>
        <w:t>Rel-15</w:t>
      </w:r>
      <w:r>
        <w:rPr>
          <w:sz w:val="20"/>
        </w:rPr>
        <w:tab/>
      </w:r>
      <w:r>
        <w:rPr>
          <w:sz w:val="20"/>
        </w:rPr>
        <w:t>NR_newRAT-Core</w:t>
      </w:r>
    </w:p>
    <w:p>
      <w:pPr>
        <w:pStyle w:val="68"/>
        <w:rPr>
          <w:sz w:val="20"/>
        </w:rPr>
      </w:pPr>
      <w:r>
        <w:rPr>
          <w:sz w:val="20"/>
        </w:rPr>
        <w:t>R2-2107980</w:t>
      </w:r>
      <w:r>
        <w:rPr>
          <w:sz w:val="20"/>
        </w:rPr>
        <w:tab/>
      </w:r>
      <w:r>
        <w:rPr>
          <w:sz w:val="20"/>
        </w:rPr>
        <w:t>Allowed bandwidth in BWP configuration</w:t>
      </w:r>
      <w:r>
        <w:rPr>
          <w:sz w:val="20"/>
        </w:rPr>
        <w:tab/>
      </w:r>
      <w:r>
        <w:rPr>
          <w:sz w:val="20"/>
        </w:rPr>
        <w:t>Ericsson</w:t>
      </w:r>
      <w:r>
        <w:rPr>
          <w:sz w:val="20"/>
        </w:rPr>
        <w:tab/>
      </w:r>
      <w:r>
        <w:rPr>
          <w:sz w:val="20"/>
        </w:rPr>
        <w:t>discussion</w:t>
      </w:r>
    </w:p>
    <w:p>
      <w:pPr>
        <w:pStyle w:val="68"/>
        <w:numPr>
          <w:ilvl w:val="0"/>
          <w:numId w:val="0"/>
        </w:numPr>
        <w:rPr>
          <w:sz w:val="20"/>
        </w:rPr>
      </w:pPr>
      <w:r>
        <w:rPr>
          <w:sz w:val="20"/>
        </w:rPr>
        <w:t>SimultaneousRxTx</w:t>
      </w:r>
    </w:p>
    <w:p>
      <w:pPr>
        <w:pStyle w:val="68"/>
        <w:rPr>
          <w:sz w:val="20"/>
        </w:rPr>
      </w:pPr>
      <w:r>
        <w:rPr>
          <w:sz w:val="20"/>
        </w:rPr>
        <w:t>R2-2106958</w:t>
      </w:r>
      <w:r>
        <w:rPr>
          <w:sz w:val="20"/>
        </w:rPr>
        <w:tab/>
      </w:r>
      <w:r>
        <w:rPr>
          <w:sz w:val="20"/>
        </w:rPr>
        <w:t>Reply LS on simultaneous Rx/Tx capability (R4-2108003; contact: Qualcomm)</w:t>
      </w:r>
      <w:r>
        <w:rPr>
          <w:sz w:val="20"/>
        </w:rPr>
        <w:tab/>
      </w:r>
      <w:r>
        <w:rPr>
          <w:sz w:val="20"/>
        </w:rPr>
        <w:t>RAN4</w:t>
      </w:r>
      <w:r>
        <w:rPr>
          <w:sz w:val="20"/>
        </w:rPr>
        <w:tab/>
      </w:r>
      <w:r>
        <w:rPr>
          <w:sz w:val="20"/>
        </w:rPr>
        <w:t>LS in</w:t>
      </w:r>
      <w:r>
        <w:rPr>
          <w:sz w:val="20"/>
        </w:rPr>
        <w:tab/>
      </w:r>
      <w:r>
        <w:rPr>
          <w:sz w:val="20"/>
        </w:rPr>
        <w:t>Rel-15</w:t>
      </w:r>
      <w:r>
        <w:rPr>
          <w:sz w:val="20"/>
        </w:rPr>
        <w:tab/>
      </w:r>
      <w:r>
        <w:rPr>
          <w:sz w:val="20"/>
        </w:rPr>
        <w:t>NR_newRAT</w:t>
      </w:r>
      <w:r>
        <w:rPr>
          <w:sz w:val="20"/>
        </w:rPr>
        <w:tab/>
      </w:r>
      <w:r>
        <w:rPr>
          <w:sz w:val="20"/>
        </w:rPr>
        <w:t>To:RAN2</w:t>
      </w:r>
    </w:p>
    <w:p>
      <w:pPr>
        <w:pStyle w:val="68"/>
        <w:rPr>
          <w:sz w:val="20"/>
        </w:rPr>
      </w:pPr>
      <w:r>
        <w:rPr>
          <w:sz w:val="20"/>
        </w:rPr>
        <w:t>R2-2106963</w:t>
      </w:r>
      <w:r>
        <w:rPr>
          <w:sz w:val="20"/>
        </w:rPr>
        <w:tab/>
      </w:r>
      <w:r>
        <w:rPr>
          <w:sz w:val="20"/>
        </w:rPr>
        <w:t>Reply LS on simultaneous Rx/Tx capability (R4-2111452; contact: Huawei)</w:t>
      </w:r>
      <w:r>
        <w:rPr>
          <w:sz w:val="20"/>
        </w:rPr>
        <w:tab/>
      </w:r>
      <w:r>
        <w:rPr>
          <w:sz w:val="20"/>
        </w:rPr>
        <w:t>RAN4</w:t>
      </w:r>
      <w:r>
        <w:rPr>
          <w:sz w:val="20"/>
        </w:rPr>
        <w:tab/>
      </w:r>
      <w:r>
        <w:rPr>
          <w:sz w:val="20"/>
        </w:rPr>
        <w:t>LS in</w:t>
      </w:r>
      <w:r>
        <w:rPr>
          <w:sz w:val="20"/>
        </w:rPr>
        <w:tab/>
      </w:r>
      <w:r>
        <w:rPr>
          <w:sz w:val="20"/>
        </w:rPr>
        <w:t>Rel-15</w:t>
      </w:r>
      <w:r>
        <w:rPr>
          <w:sz w:val="20"/>
        </w:rPr>
        <w:tab/>
      </w:r>
      <w:r>
        <w:rPr>
          <w:sz w:val="20"/>
        </w:rPr>
        <w:t>NR_newRAT</w:t>
      </w:r>
      <w:r>
        <w:rPr>
          <w:sz w:val="20"/>
        </w:rPr>
        <w:tab/>
      </w:r>
      <w:r>
        <w:rPr>
          <w:sz w:val="20"/>
        </w:rPr>
        <w:t>To:RAN2</w:t>
      </w:r>
    </w:p>
    <w:p>
      <w:pPr>
        <w:pStyle w:val="68"/>
        <w:rPr>
          <w:sz w:val="20"/>
        </w:rPr>
      </w:pPr>
      <w:r>
        <w:rPr>
          <w:sz w:val="20"/>
        </w:rPr>
        <w:t>R2-2108572</w:t>
      </w:r>
      <w:r>
        <w:rPr>
          <w:sz w:val="20"/>
        </w:rPr>
        <w:tab/>
      </w:r>
      <w:r>
        <w:rPr>
          <w:sz w:val="20"/>
        </w:rPr>
        <w:t>Clarification on the simultaneousRxTxInterBandCA capability in NR-DC</w:t>
      </w:r>
      <w:r>
        <w:rPr>
          <w:sz w:val="20"/>
        </w:rPr>
        <w:tab/>
      </w:r>
      <w:r>
        <w:rPr>
          <w:sz w:val="20"/>
        </w:rPr>
        <w:t>Huawei, HiSilicon, Ericsson</w:t>
      </w:r>
      <w:r>
        <w:rPr>
          <w:sz w:val="20"/>
        </w:rPr>
        <w:tab/>
      </w:r>
      <w:r>
        <w:rPr>
          <w:sz w:val="20"/>
        </w:rPr>
        <w:t>CR</w:t>
      </w:r>
      <w:r>
        <w:rPr>
          <w:sz w:val="20"/>
        </w:rPr>
        <w:tab/>
      </w:r>
      <w:r>
        <w:rPr>
          <w:sz w:val="20"/>
        </w:rPr>
        <w:t>Rel-15</w:t>
      </w:r>
      <w:r>
        <w:rPr>
          <w:sz w:val="20"/>
        </w:rPr>
        <w:tab/>
      </w:r>
      <w:r>
        <w:rPr>
          <w:sz w:val="20"/>
        </w:rPr>
        <w:t>38.306</w:t>
      </w:r>
      <w:r>
        <w:rPr>
          <w:sz w:val="20"/>
        </w:rPr>
        <w:tab/>
      </w:r>
      <w:r>
        <w:rPr>
          <w:sz w:val="20"/>
        </w:rPr>
        <w:t>15.14.0</w:t>
      </w:r>
      <w:r>
        <w:rPr>
          <w:sz w:val="20"/>
        </w:rPr>
        <w:tab/>
      </w:r>
      <w:r>
        <w:rPr>
          <w:sz w:val="20"/>
        </w:rPr>
        <w:t>0561</w:t>
      </w:r>
      <w:r>
        <w:rPr>
          <w:sz w:val="20"/>
        </w:rPr>
        <w:tab/>
      </w:r>
      <w:r>
        <w:rPr>
          <w:sz w:val="20"/>
        </w:rPr>
        <w:t>2</w:t>
      </w:r>
      <w:r>
        <w:rPr>
          <w:sz w:val="20"/>
        </w:rPr>
        <w:tab/>
      </w:r>
      <w:r>
        <w:rPr>
          <w:sz w:val="20"/>
        </w:rPr>
        <w:t>F</w:t>
      </w:r>
      <w:r>
        <w:rPr>
          <w:sz w:val="20"/>
        </w:rPr>
        <w:tab/>
      </w:r>
      <w:r>
        <w:rPr>
          <w:sz w:val="20"/>
        </w:rPr>
        <w:t>NR_newRAT-Core</w:t>
      </w:r>
      <w:r>
        <w:rPr>
          <w:sz w:val="20"/>
        </w:rPr>
        <w:tab/>
      </w:r>
      <w:r>
        <w:rPr>
          <w:sz w:val="20"/>
        </w:rPr>
        <w:t>R2-2106128</w:t>
      </w:r>
    </w:p>
    <w:p>
      <w:pPr>
        <w:pStyle w:val="68"/>
        <w:rPr>
          <w:sz w:val="20"/>
        </w:rPr>
      </w:pPr>
      <w:r>
        <w:rPr>
          <w:sz w:val="20"/>
        </w:rPr>
        <w:t>R2-2108573</w:t>
      </w:r>
      <w:r>
        <w:rPr>
          <w:sz w:val="20"/>
        </w:rPr>
        <w:tab/>
      </w:r>
      <w:r>
        <w:rPr>
          <w:sz w:val="20"/>
        </w:rPr>
        <w:t>Clarification on the simultaneousRxTxInterBandCA capability in NR-DC</w:t>
      </w:r>
      <w:r>
        <w:rPr>
          <w:sz w:val="20"/>
        </w:rPr>
        <w:tab/>
      </w:r>
      <w:r>
        <w:rPr>
          <w:sz w:val="20"/>
        </w:rPr>
        <w:t>Huawei, HiSilicon, Ericsson</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0562</w:t>
      </w:r>
      <w:r>
        <w:rPr>
          <w:sz w:val="20"/>
        </w:rPr>
        <w:tab/>
      </w:r>
      <w:r>
        <w:rPr>
          <w:sz w:val="20"/>
        </w:rPr>
        <w:t>2</w:t>
      </w:r>
      <w:r>
        <w:rPr>
          <w:sz w:val="20"/>
        </w:rPr>
        <w:tab/>
      </w:r>
      <w:r>
        <w:rPr>
          <w:sz w:val="20"/>
        </w:rPr>
        <w:t>A</w:t>
      </w:r>
      <w:r>
        <w:rPr>
          <w:sz w:val="20"/>
        </w:rPr>
        <w:tab/>
      </w:r>
      <w:r>
        <w:rPr>
          <w:sz w:val="20"/>
        </w:rPr>
        <w:t>NR_newRAT-Core</w:t>
      </w:r>
      <w:r>
        <w:rPr>
          <w:sz w:val="20"/>
        </w:rPr>
        <w:tab/>
      </w:r>
      <w:r>
        <w:rPr>
          <w:sz w:val="20"/>
        </w:rPr>
        <w:t>R2-2106129</w:t>
      </w:r>
    </w:p>
    <w:p>
      <w:pPr>
        <w:pStyle w:val="68"/>
        <w:rPr>
          <w:sz w:val="20"/>
        </w:rPr>
      </w:pPr>
      <w:r>
        <w:rPr>
          <w:sz w:val="20"/>
        </w:rPr>
        <w:t>R2-2107130</w:t>
      </w:r>
      <w:r>
        <w:rPr>
          <w:sz w:val="20"/>
        </w:rPr>
        <w:tab/>
      </w:r>
      <w:r>
        <w:rPr>
          <w:sz w:val="20"/>
        </w:rPr>
        <w:t>Simultaneous Rx/Tx UE capability</w:t>
      </w:r>
      <w:r>
        <w:rPr>
          <w:sz w:val="20"/>
        </w:rPr>
        <w:tab/>
      </w:r>
      <w:r>
        <w:rPr>
          <w:sz w:val="20"/>
        </w:rPr>
        <w:t>Qualcomm Incorporated</w:t>
      </w:r>
      <w:r>
        <w:rPr>
          <w:sz w:val="20"/>
        </w:rPr>
        <w:tab/>
      </w:r>
      <w:r>
        <w:rPr>
          <w:sz w:val="20"/>
        </w:rPr>
        <w:t>discussion</w:t>
      </w:r>
      <w:r>
        <w:rPr>
          <w:sz w:val="20"/>
        </w:rPr>
        <w:tab/>
      </w:r>
      <w:r>
        <w:rPr>
          <w:sz w:val="20"/>
        </w:rPr>
        <w:t>Rel-15</w:t>
      </w:r>
      <w:r>
        <w:rPr>
          <w:sz w:val="20"/>
        </w:rPr>
        <w:tab/>
      </w:r>
      <w:r>
        <w:rPr>
          <w:sz w:val="20"/>
        </w:rPr>
        <w:t>NR_newRAT-Core</w:t>
      </w:r>
    </w:p>
    <w:p>
      <w:pPr>
        <w:pStyle w:val="68"/>
        <w:rPr>
          <w:sz w:val="20"/>
        </w:rPr>
      </w:pPr>
      <w:r>
        <w:rPr>
          <w:sz w:val="20"/>
        </w:rPr>
        <w:t>R2-2107389</w:t>
      </w:r>
      <w:r>
        <w:rPr>
          <w:sz w:val="20"/>
        </w:rPr>
        <w:tab/>
      </w:r>
      <w:r>
        <w:rPr>
          <w:sz w:val="20"/>
        </w:rPr>
        <w:t>Considerations on simultaneous Rx/Tx capability per band pair</w:t>
      </w:r>
      <w:r>
        <w:rPr>
          <w:sz w:val="20"/>
        </w:rPr>
        <w:tab/>
      </w:r>
      <w:r>
        <w:rPr>
          <w:sz w:val="20"/>
        </w:rPr>
        <w:t>NTT DOCOMO, Inc.</w:t>
      </w:r>
      <w:r>
        <w:rPr>
          <w:sz w:val="20"/>
        </w:rPr>
        <w:tab/>
      </w:r>
      <w:r>
        <w:rPr>
          <w:sz w:val="20"/>
        </w:rPr>
        <w:t>discussion</w:t>
      </w:r>
      <w:r>
        <w:rPr>
          <w:sz w:val="20"/>
        </w:rPr>
        <w:tab/>
      </w:r>
      <w:r>
        <w:rPr>
          <w:sz w:val="20"/>
        </w:rPr>
        <w:t>Rel-15</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7"/>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6"/>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2F41D1B"/>
    <w:multiLevelType w:val="multilevel"/>
    <w:tmpl w:val="52F41D1B"/>
    <w:lvl w:ilvl="0" w:tentative="0">
      <w:start w:val="0"/>
      <w:numFmt w:val="bullet"/>
      <w:lvlText w:val="-"/>
      <w:lvlJc w:val="left"/>
      <w:pPr>
        <w:ind w:left="360" w:hanging="360"/>
      </w:pPr>
      <w:rPr>
        <w:rFonts w:hint="default" w:ascii="CG Times (WN)" w:hAnsi="CG Times (W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3"/>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0">
    <w:nsid w:val="7BC330F5"/>
    <w:multiLevelType w:val="multilevel"/>
    <w:tmpl w:val="7BC330F5"/>
    <w:lvl w:ilvl="0" w:tentative="0">
      <w:start w:val="1"/>
      <w:numFmt w:val="bullet"/>
      <w:pStyle w:val="113"/>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1E1"/>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70F"/>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5CEC"/>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1FAB619D"/>
    <w:rsid w:val="367B245B"/>
    <w:rsid w:val="42A5456C"/>
    <w:rsid w:val="59AD4A98"/>
    <w:rsid w:val="60F24CF4"/>
    <w:rsid w:val="6D6E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4"/>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5"/>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4"/>
    <w:qFormat/>
    <w:uiPriority w:val="0"/>
    <w:pPr>
      <w:spacing w:after="120"/>
    </w:pPr>
    <w:rPr>
      <w:rFonts w:eastAsia="MS Mincho"/>
      <w:szCs w:val="24"/>
      <w:lang w:val="en-US"/>
    </w:rPr>
  </w:style>
  <w:style w:type="paragraph" w:styleId="29">
    <w:name w:val="Plain Text"/>
    <w:basedOn w:val="1"/>
    <w:link w:val="138"/>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9"/>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Emphasis"/>
    <w:qFormat/>
    <w:uiPriority w:val="0"/>
    <w:rPr>
      <w:i/>
      <w:iCs/>
    </w:rPr>
  </w:style>
  <w:style w:type="character" w:styleId="49">
    <w:name w:val="Hyperlink"/>
    <w:qFormat/>
    <w:uiPriority w:val="0"/>
    <w:rPr>
      <w:rFonts w:eastAsia="宋体"/>
      <w:color w:val="0000FF"/>
      <w:u w:val="single"/>
      <w:lang w:val="en-US" w:eastAsia="zh-CN" w:bidi="ar-SA"/>
    </w:rPr>
  </w:style>
  <w:style w:type="character" w:styleId="50">
    <w:name w:val="annotation reference"/>
    <w:semiHidden/>
    <w:qFormat/>
    <w:uiPriority w:val="0"/>
    <w:rPr>
      <w:rFonts w:eastAsia="宋体"/>
      <w:sz w:val="16"/>
      <w:lang w:val="en-US" w:eastAsia="zh-CN" w:bidi="ar-SA"/>
    </w:rPr>
  </w:style>
  <w:style w:type="character" w:styleId="51">
    <w:name w:val="footnote reference"/>
    <w:semiHidden/>
    <w:qFormat/>
    <w:uiPriority w:val="0"/>
    <w:rPr>
      <w:rFonts w:eastAsia="宋体"/>
      <w:b/>
      <w:position w:val="6"/>
      <w:sz w:val="16"/>
      <w:lang w:val="en-US" w:eastAsia="zh-CN" w:bidi="ar-SA"/>
    </w:rPr>
  </w:style>
  <w:style w:type="paragraph" w:customStyle="1" w:styleId="5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4">
    <w:name w:val="标题 1 Char"/>
    <w:link w:val="2"/>
    <w:qFormat/>
    <w:uiPriority w:val="0"/>
    <w:rPr>
      <w:rFonts w:ascii="Arial" w:hAnsi="Arial"/>
      <w:sz w:val="32"/>
      <w:lang w:val="en-GB" w:eastAsia="en-US" w:bidi="ar-SA"/>
    </w:rPr>
  </w:style>
  <w:style w:type="paragraph" w:customStyle="1" w:styleId="55">
    <w:name w:val="TAH"/>
    <w:basedOn w:val="56"/>
    <w:link w:val="127"/>
    <w:qFormat/>
    <w:uiPriority w:val="0"/>
    <w:rPr>
      <w:b/>
    </w:rPr>
  </w:style>
  <w:style w:type="paragraph" w:customStyle="1" w:styleId="56">
    <w:name w:val="TAC"/>
    <w:basedOn w:val="57"/>
    <w:link w:val="148"/>
    <w:qFormat/>
    <w:uiPriority w:val="0"/>
    <w:pPr>
      <w:jc w:val="center"/>
    </w:pPr>
  </w:style>
  <w:style w:type="paragraph" w:customStyle="1" w:styleId="57">
    <w:name w:val="TAL"/>
    <w:basedOn w:val="1"/>
    <w:link w:val="96"/>
    <w:qFormat/>
    <w:uiPriority w:val="0"/>
    <w:pPr>
      <w:keepNext/>
      <w:keepLines/>
      <w:spacing w:after="0"/>
    </w:pPr>
    <w:rPr>
      <w:rFonts w:ascii="Arial" w:hAnsi="Arial"/>
      <w:sz w:val="18"/>
    </w:rPr>
  </w:style>
  <w:style w:type="paragraph" w:customStyle="1" w:styleId="58">
    <w:name w:val="TF"/>
    <w:basedOn w:val="59"/>
    <w:link w:val="132"/>
    <w:qFormat/>
    <w:uiPriority w:val="0"/>
    <w:pPr>
      <w:keepNext w:val="0"/>
      <w:spacing w:before="0" w:after="240"/>
    </w:pPr>
    <w:rPr>
      <w:lang w:val="zh-CN"/>
    </w:rPr>
  </w:style>
  <w:style w:type="paragraph" w:customStyle="1" w:styleId="59">
    <w:name w:val="TH"/>
    <w:basedOn w:val="1"/>
    <w:link w:val="112"/>
    <w:qFormat/>
    <w:uiPriority w:val="0"/>
    <w:pPr>
      <w:keepNext/>
      <w:keepLines/>
      <w:spacing w:before="60"/>
      <w:jc w:val="center"/>
    </w:pPr>
    <w:rPr>
      <w:rFonts w:ascii="Arial" w:hAnsi="Arial"/>
      <w:b/>
    </w:rPr>
  </w:style>
  <w:style w:type="paragraph" w:customStyle="1" w:styleId="60">
    <w:name w:val="NO"/>
    <w:basedOn w:val="1"/>
    <w:link w:val="61"/>
    <w:qFormat/>
    <w:uiPriority w:val="0"/>
    <w:pPr>
      <w:keepLines/>
      <w:ind w:left="1135" w:hanging="851"/>
    </w:pPr>
  </w:style>
  <w:style w:type="character" w:customStyle="1" w:styleId="61">
    <w:name w:val="NO Char"/>
    <w:link w:val="60"/>
    <w:qFormat/>
    <w:uiPriority w:val="0"/>
    <w:rPr>
      <w:rFonts w:eastAsia="宋体"/>
      <w:lang w:val="en-GB" w:eastAsia="en-US" w:bidi="ar-SA"/>
    </w:rPr>
  </w:style>
  <w:style w:type="paragraph" w:customStyle="1" w:styleId="62">
    <w:name w:val="EX"/>
    <w:basedOn w:val="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5">
    <w:name w:val="NW"/>
    <w:basedOn w:val="60"/>
    <w:qFormat/>
    <w:uiPriority w:val="0"/>
    <w:pPr>
      <w:spacing w:after="0"/>
    </w:pPr>
  </w:style>
  <w:style w:type="paragraph" w:customStyle="1" w:styleId="66">
    <w:name w:val="EW"/>
    <w:basedOn w:val="62"/>
    <w:qFormat/>
    <w:uiPriority w:val="0"/>
    <w:pPr>
      <w:spacing w:after="0"/>
    </w:pPr>
  </w:style>
  <w:style w:type="paragraph" w:customStyle="1" w:styleId="67">
    <w:name w:val="编号2"/>
    <w:basedOn w:val="1"/>
    <w:qFormat/>
    <w:uiPriority w:val="0"/>
    <w:pPr>
      <w:numPr>
        <w:ilvl w:val="0"/>
        <w:numId w:val="3"/>
      </w:numPr>
      <w:tabs>
        <w:tab w:val="left" w:pos="704"/>
        <w:tab w:val="clear" w:pos="840"/>
      </w:tabs>
      <w:ind w:left="704" w:hanging="420"/>
    </w:pPr>
    <w:rPr>
      <w:lang w:eastAsia="zh-CN"/>
    </w:rPr>
  </w:style>
  <w:style w:type="paragraph" w:customStyle="1" w:styleId="68">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0"/>
    <w:qFormat/>
    <w:uiPriority w:val="0"/>
    <w:pPr>
      <w:keepNext/>
      <w:spacing w:after="0"/>
    </w:pPr>
    <w:rPr>
      <w:rFonts w:ascii="Arial" w:hAnsi="Arial"/>
      <w:sz w:val="18"/>
    </w:rPr>
  </w:style>
  <w:style w:type="paragraph" w:customStyle="1" w:styleId="71">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2">
    <w:name w:val="TAR"/>
    <w:basedOn w:val="57"/>
    <w:qFormat/>
    <w:uiPriority w:val="0"/>
    <w:pPr>
      <w:jc w:val="right"/>
    </w:pPr>
  </w:style>
  <w:style w:type="paragraph" w:customStyle="1" w:styleId="73">
    <w:name w:val="TAN"/>
    <w:basedOn w:val="57"/>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6">
    <w:name w:val="ZD"/>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1">
    <w:name w:val="Editor's Note"/>
    <w:basedOn w:val="60"/>
    <w:link w:val="82"/>
    <w:qFormat/>
    <w:uiPriority w:val="0"/>
    <w:rPr>
      <w:color w:val="FF0000"/>
    </w:rPr>
  </w:style>
  <w:style w:type="character" w:customStyle="1" w:styleId="82">
    <w:name w:val="Editor's Note Char"/>
    <w:link w:val="81"/>
    <w:qFormat/>
    <w:uiPriority w:val="0"/>
    <w:rPr>
      <w:rFonts w:eastAsia="宋体"/>
      <w:color w:val="FF0000"/>
      <w:lang w:val="en-GB" w:eastAsia="en-US" w:bidi="ar-SA"/>
    </w:rPr>
  </w:style>
  <w:style w:type="character" w:customStyle="1" w:styleId="83">
    <w:name w:val="样式 宋体 蓝色"/>
    <w:qFormat/>
    <w:uiPriority w:val="0"/>
    <w:rPr>
      <w:rFonts w:ascii="Times New Roman" w:hAnsi="Times New Roman" w:eastAsia="宋体"/>
      <w:color w:val="0000FF"/>
      <w:lang w:val="en-US" w:eastAsia="zh-CN" w:bidi="ar-SA"/>
    </w:rPr>
  </w:style>
  <w:style w:type="paragraph" w:customStyle="1" w:styleId="84">
    <w:name w:val="样式 列表 + (西文) MS Mincho"/>
    <w:basedOn w:val="14"/>
    <w:link w:val="86"/>
    <w:qFormat/>
    <w:uiPriority w:val="0"/>
  </w:style>
  <w:style w:type="character" w:customStyle="1" w:styleId="85">
    <w:name w:val="列表 Char"/>
    <w:link w:val="14"/>
    <w:qFormat/>
    <w:uiPriority w:val="0"/>
    <w:rPr>
      <w:rFonts w:eastAsia="宋体"/>
      <w:lang w:val="en-GB" w:eastAsia="en-US" w:bidi="ar-SA"/>
    </w:rPr>
  </w:style>
  <w:style w:type="character" w:customStyle="1" w:styleId="86">
    <w:name w:val="样式 列表 + (西文) MS Mincho Char"/>
    <w:basedOn w:val="85"/>
    <w:link w:val="84"/>
    <w:qFormat/>
    <w:uiPriority w:val="0"/>
    <w:rPr>
      <w:rFonts w:eastAsia="宋体"/>
      <w:lang w:val="en-GB" w:eastAsia="en-US" w:bidi="ar-SA"/>
    </w:rPr>
  </w:style>
  <w:style w:type="paragraph" w:customStyle="1" w:styleId="87">
    <w:name w:val="B4"/>
    <w:basedOn w:val="36"/>
    <w:link w:val="88"/>
    <w:qFormat/>
    <w:uiPriority w:val="0"/>
  </w:style>
  <w:style w:type="character" w:customStyle="1" w:styleId="88">
    <w:name w:val="B4 Char"/>
    <w:link w:val="87"/>
    <w:qFormat/>
    <w:uiPriority w:val="0"/>
    <w:rPr>
      <w:rFonts w:eastAsia="宋体"/>
      <w:lang w:val="en-GB" w:eastAsia="en-US" w:bidi="ar-SA"/>
    </w:rPr>
  </w:style>
  <w:style w:type="paragraph" w:customStyle="1" w:styleId="89">
    <w:name w:val="B5"/>
    <w:basedOn w:val="35"/>
    <w:qFormat/>
    <w:uiPriority w:val="0"/>
  </w:style>
  <w:style w:type="paragraph" w:customStyle="1" w:styleId="90">
    <w:name w:val="ZTD"/>
    <w:basedOn w:val="75"/>
    <w:qFormat/>
    <w:uiPriority w:val="0"/>
    <w:pPr>
      <w:framePr w:hRule="auto" w:y="852"/>
    </w:pPr>
    <w:rPr>
      <w:i w:val="0"/>
      <w:sz w:val="40"/>
    </w:rPr>
  </w:style>
  <w:style w:type="paragraph" w:customStyle="1" w:styleId="91">
    <w:name w:val="CR Cover Page"/>
    <w:link w:val="159"/>
    <w:qFormat/>
    <w:uiPriority w:val="0"/>
    <w:pPr>
      <w:spacing w:after="120" w:line="259" w:lineRule="auto"/>
      <w:jc w:val="both"/>
    </w:pPr>
    <w:rPr>
      <w:rFonts w:ascii="Arial" w:hAnsi="Arial" w:eastAsia="MS Mincho" w:cs="Times New Roman"/>
      <w:lang w:val="en-GB" w:eastAsia="en-US" w:bidi="ar-SA"/>
    </w:rPr>
  </w:style>
  <w:style w:type="paragraph" w:customStyle="1" w:styleId="92">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3">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4">
    <w:name w:val="TAL Char Char"/>
    <w:basedOn w:val="1"/>
    <w:link w:val="98"/>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5">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6">
    <w:name w:val="TAL Car"/>
    <w:link w:val="57"/>
    <w:qFormat/>
    <w:uiPriority w:val="0"/>
    <w:rPr>
      <w:rFonts w:ascii="Arial" w:hAnsi="Arial" w:eastAsia="宋体"/>
      <w:sz w:val="18"/>
      <w:lang w:val="en-GB" w:eastAsia="en-US" w:bidi="ar-SA"/>
    </w:rPr>
  </w:style>
  <w:style w:type="paragraph" w:customStyle="1" w:styleId="97">
    <w:name w:val="body"/>
    <w:basedOn w:val="1"/>
    <w:link w:val="144"/>
    <w:qFormat/>
    <w:uiPriority w:val="0"/>
    <w:pPr>
      <w:tabs>
        <w:tab w:val="left" w:pos="2160"/>
      </w:tabs>
      <w:spacing w:after="120"/>
      <w:ind w:left="288"/>
    </w:pPr>
    <w:rPr>
      <w:rFonts w:ascii="Bookman Old Style" w:hAnsi="Bookman Old Style" w:eastAsia="Times New Roman"/>
      <w:lang w:val="en-US"/>
    </w:rPr>
  </w:style>
  <w:style w:type="character" w:customStyle="1" w:styleId="98">
    <w:name w:val="TAL Char Char Char"/>
    <w:link w:val="94"/>
    <w:qFormat/>
    <w:uiPriority w:val="0"/>
    <w:rPr>
      <w:rFonts w:ascii="Arial" w:hAnsi="Arial" w:eastAsia="宋体"/>
      <w:sz w:val="18"/>
      <w:lang w:val="en-GB" w:eastAsia="en-US" w:bidi="ar-SA"/>
    </w:rPr>
  </w:style>
  <w:style w:type="paragraph" w:customStyle="1" w:styleId="99">
    <w:name w:val="样式 图表标题 + (中文) 宋体"/>
    <w:basedOn w:val="100"/>
    <w:qFormat/>
    <w:uiPriority w:val="0"/>
    <w:rPr>
      <w:rFonts w:eastAsia="Arial"/>
    </w:rPr>
  </w:style>
  <w:style w:type="paragraph" w:customStyle="1" w:styleId="100">
    <w:name w:val="图表标题"/>
    <w:basedOn w:val="1"/>
    <w:next w:val="1"/>
    <w:qFormat/>
    <w:uiPriority w:val="0"/>
    <w:pPr>
      <w:spacing w:before="60" w:after="60"/>
      <w:jc w:val="center"/>
    </w:pPr>
    <w:rPr>
      <w:rFonts w:ascii="Arial" w:hAnsi="Arial" w:eastAsia="Batang" w:cs="宋体"/>
    </w:rPr>
  </w:style>
  <w:style w:type="character" w:customStyle="1" w:styleId="101">
    <w:name w:val="PL Char"/>
    <w:link w:val="71"/>
    <w:qFormat/>
    <w:uiPriority w:val="0"/>
    <w:rPr>
      <w:rFonts w:ascii="Courier New" w:hAnsi="Courier New" w:eastAsia="宋体"/>
      <w:sz w:val="16"/>
      <w:lang w:val="en-GB" w:eastAsia="en-US" w:bidi="ar-SA"/>
    </w:rPr>
  </w:style>
  <w:style w:type="paragraph" w:customStyle="1" w:styleId="102">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3">
    <w:name w:val="MTDisplayEquation"/>
    <w:basedOn w:val="1"/>
    <w:qFormat/>
    <w:uiPriority w:val="0"/>
    <w:pPr>
      <w:tabs>
        <w:tab w:val="center" w:pos="4820"/>
        <w:tab w:val="right" w:pos="9640"/>
      </w:tabs>
    </w:pPr>
    <w:rPr>
      <w:lang w:val="en-US"/>
    </w:rPr>
  </w:style>
  <w:style w:type="paragraph" w:customStyle="1" w:styleId="104">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5">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6">
    <w:name w:val="B1"/>
    <w:basedOn w:val="14"/>
    <w:link w:val="107"/>
    <w:qFormat/>
    <w:uiPriority w:val="0"/>
    <w:pPr>
      <w:ind w:left="568" w:hanging="284"/>
    </w:pPr>
    <w:rPr>
      <w:rFonts w:eastAsia="MS Mincho"/>
      <w:lang w:eastAsia="ja-JP"/>
    </w:rPr>
  </w:style>
  <w:style w:type="character" w:customStyle="1" w:styleId="107">
    <w:name w:val="B1 Char1"/>
    <w:link w:val="106"/>
    <w:qFormat/>
    <w:uiPriority w:val="0"/>
    <w:rPr>
      <w:rFonts w:eastAsia="MS Mincho"/>
      <w:lang w:val="en-GB" w:eastAsia="ja-JP" w:bidi="ar-SA"/>
    </w:rPr>
  </w:style>
  <w:style w:type="character" w:customStyle="1" w:styleId="108">
    <w:name w:val="首标题"/>
    <w:qFormat/>
    <w:uiPriority w:val="0"/>
    <w:rPr>
      <w:rFonts w:ascii="Arial" w:hAnsi="Arial" w:eastAsia="宋体"/>
      <w:sz w:val="24"/>
      <w:lang w:val="en-US" w:eastAsia="zh-CN" w:bidi="ar-SA"/>
    </w:rPr>
  </w:style>
  <w:style w:type="paragraph" w:customStyle="1" w:styleId="109">
    <w:name w:val="标题4"/>
    <w:basedOn w:val="1"/>
    <w:qFormat/>
    <w:uiPriority w:val="0"/>
    <w:pPr>
      <w:numPr>
        <w:ilvl w:val="0"/>
        <w:numId w:val="5"/>
      </w:numPr>
    </w:pPr>
  </w:style>
  <w:style w:type="paragraph" w:customStyle="1" w:styleId="110">
    <w:name w:val="插图题注"/>
    <w:basedOn w:val="1"/>
    <w:qFormat/>
    <w:uiPriority w:val="0"/>
  </w:style>
  <w:style w:type="paragraph" w:customStyle="1" w:styleId="111">
    <w:name w:val="表格题注"/>
    <w:basedOn w:val="1"/>
    <w:qFormat/>
    <w:uiPriority w:val="0"/>
  </w:style>
  <w:style w:type="character" w:customStyle="1" w:styleId="112">
    <w:name w:val="TH Char"/>
    <w:link w:val="59"/>
    <w:qFormat/>
    <w:uiPriority w:val="0"/>
    <w:rPr>
      <w:rFonts w:ascii="Arial" w:hAnsi="Arial" w:eastAsia="宋体"/>
      <w:b/>
      <w:lang w:val="en-GB" w:eastAsia="en-US" w:bidi="ar-SA"/>
    </w:rPr>
  </w:style>
  <w:style w:type="paragraph" w:customStyle="1" w:styleId="113">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4">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5">
    <w:name w:val="样式1"/>
    <w:basedOn w:val="1"/>
    <w:qFormat/>
    <w:uiPriority w:val="0"/>
  </w:style>
  <w:style w:type="character" w:customStyle="1" w:styleId="116">
    <w:name w:val="标题 2 Char"/>
    <w:link w:val="3"/>
    <w:qFormat/>
    <w:uiPriority w:val="0"/>
    <w:rPr>
      <w:rFonts w:ascii="Arial" w:hAnsi="Arial"/>
      <w:sz w:val="28"/>
      <w:lang w:val="en-GB" w:eastAsia="en-US"/>
    </w:rPr>
  </w:style>
  <w:style w:type="paragraph" w:customStyle="1" w:styleId="117">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8">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9">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0">
    <w:name w:val="yinbiao"/>
    <w:basedOn w:val="45"/>
    <w:qFormat/>
    <w:uiPriority w:val="0"/>
    <w:rPr>
      <w:rFonts w:eastAsia="宋体"/>
      <w:lang w:val="en-US" w:eastAsia="zh-CN" w:bidi="ar-SA"/>
    </w:rPr>
  </w:style>
  <w:style w:type="character" w:customStyle="1" w:styleId="121">
    <w:name w:val="textbodybold1"/>
    <w:qFormat/>
    <w:uiPriority w:val="0"/>
    <w:rPr>
      <w:rFonts w:hint="default" w:ascii="Arial" w:hAnsi="Arial" w:eastAsia="宋体" w:cs="Arial"/>
      <w:b/>
      <w:bCs/>
      <w:color w:val="902630"/>
      <w:sz w:val="18"/>
      <w:szCs w:val="18"/>
      <w:lang w:val="en-US" w:eastAsia="zh-CN" w:bidi="ar-SA"/>
    </w:rPr>
  </w:style>
  <w:style w:type="paragraph" w:customStyle="1" w:styleId="122">
    <w:name w:val="Guidance"/>
    <w:basedOn w:val="1"/>
    <w:qFormat/>
    <w:uiPriority w:val="0"/>
    <w:rPr>
      <w:i/>
      <w:color w:val="0000FF"/>
    </w:rPr>
  </w:style>
  <w:style w:type="paragraph" w:customStyle="1" w:styleId="123">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4">
    <w:name w:val="正文文本 Char"/>
    <w:link w:val="28"/>
    <w:qFormat/>
    <w:uiPriority w:val="0"/>
    <w:rPr>
      <w:rFonts w:eastAsia="MS Mincho"/>
      <w:szCs w:val="24"/>
      <w:lang w:val="en-US" w:eastAsia="en-US" w:bidi="ar-SA"/>
    </w:rPr>
  </w:style>
  <w:style w:type="paragraph" w:customStyle="1" w:styleId="125">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6">
    <w:name w:val="TAL Char"/>
    <w:qFormat/>
    <w:uiPriority w:val="0"/>
    <w:rPr>
      <w:rFonts w:ascii="Arial" w:hAnsi="Arial"/>
      <w:sz w:val="18"/>
      <w:lang w:val="en-GB" w:eastAsia="en-US" w:bidi="ar-SA"/>
    </w:rPr>
  </w:style>
  <w:style w:type="character" w:customStyle="1" w:styleId="127">
    <w:name w:val="TAH Char"/>
    <w:link w:val="55"/>
    <w:qFormat/>
    <w:uiPriority w:val="0"/>
    <w:rPr>
      <w:rFonts w:ascii="Arial" w:hAnsi="Arial" w:eastAsia="宋体"/>
      <w:b/>
      <w:sz w:val="18"/>
      <w:lang w:val="en-GB" w:eastAsia="en-US" w:bidi="ar-SA"/>
    </w:rPr>
  </w:style>
  <w:style w:type="paragraph" w:customStyle="1" w:styleId="128">
    <w:name w:val="B2"/>
    <w:basedOn w:val="13"/>
    <w:link w:val="137"/>
    <w:qFormat/>
    <w:uiPriority w:val="0"/>
    <w:pPr>
      <w:overflowPunct w:val="0"/>
      <w:autoSpaceDE w:val="0"/>
      <w:autoSpaceDN w:val="0"/>
      <w:adjustRightInd w:val="0"/>
      <w:ind w:hanging="284"/>
      <w:textAlignment w:val="baseline"/>
    </w:pPr>
    <w:rPr>
      <w:lang w:val="zh-CN"/>
    </w:rPr>
  </w:style>
  <w:style w:type="paragraph" w:customStyle="1" w:styleId="129">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30">
    <w:name w:val="TAH Car"/>
    <w:qFormat/>
    <w:uiPriority w:val="0"/>
    <w:rPr>
      <w:rFonts w:ascii="Arial" w:hAnsi="Arial"/>
      <w:b/>
      <w:sz w:val="18"/>
      <w:lang w:val="en-GB" w:eastAsia="ko-KR" w:bidi="ar-SA"/>
    </w:rPr>
  </w:style>
  <w:style w:type="paragraph" w:customStyle="1" w:styleId="131">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2">
    <w:name w:val="TF Char"/>
    <w:link w:val="58"/>
    <w:qFormat/>
    <w:uiPriority w:val="0"/>
    <w:rPr>
      <w:rFonts w:ascii="Arial" w:hAnsi="Arial" w:eastAsia="宋体"/>
      <w:b/>
      <w:lang w:eastAsia="en-US"/>
    </w:rPr>
  </w:style>
  <w:style w:type="character" w:customStyle="1" w:styleId="133">
    <w:name w:val="B1 Zchn"/>
    <w:qFormat/>
    <w:uiPriority w:val="0"/>
    <w:rPr>
      <w:color w:val="000000"/>
      <w:lang w:val="en-GB"/>
    </w:rPr>
  </w:style>
  <w:style w:type="paragraph" w:styleId="134">
    <w:name w:val="List Paragraph"/>
    <w:basedOn w:val="1"/>
    <w:link w:val="154"/>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5">
    <w:name w:val="Doc-text2"/>
    <w:basedOn w:val="1"/>
    <w:link w:val="136"/>
    <w:qFormat/>
    <w:uiPriority w:val="0"/>
    <w:pPr>
      <w:tabs>
        <w:tab w:val="left" w:pos="1622"/>
      </w:tabs>
      <w:spacing w:after="0"/>
      <w:ind w:left="1622" w:hanging="363"/>
    </w:pPr>
    <w:rPr>
      <w:rFonts w:ascii="Arial" w:hAnsi="Arial" w:eastAsia="MS Mincho"/>
      <w:szCs w:val="24"/>
      <w:lang w:eastAsia="en-GB"/>
    </w:rPr>
  </w:style>
  <w:style w:type="character" w:customStyle="1" w:styleId="136">
    <w:name w:val="Doc-text2 Char"/>
    <w:link w:val="135"/>
    <w:qFormat/>
    <w:uiPriority w:val="0"/>
    <w:rPr>
      <w:rFonts w:ascii="Arial" w:hAnsi="Arial"/>
      <w:szCs w:val="24"/>
      <w:lang w:val="en-GB" w:eastAsia="en-GB"/>
    </w:rPr>
  </w:style>
  <w:style w:type="character" w:customStyle="1" w:styleId="137">
    <w:name w:val="B2 Char"/>
    <w:link w:val="128"/>
    <w:qFormat/>
    <w:locked/>
    <w:uiPriority w:val="0"/>
    <w:rPr>
      <w:rFonts w:eastAsia="宋体"/>
      <w:lang w:eastAsia="en-US"/>
    </w:rPr>
  </w:style>
  <w:style w:type="character" w:customStyle="1" w:styleId="138">
    <w:name w:val="纯文本 Char"/>
    <w:link w:val="29"/>
    <w:qFormat/>
    <w:uiPriority w:val="99"/>
    <w:rPr>
      <w:rFonts w:ascii="Calibri" w:hAnsi="Calibri" w:eastAsia="宋体"/>
      <w:sz w:val="22"/>
      <w:szCs w:val="21"/>
      <w:lang w:val="en-US" w:eastAsia="zh-CN" w:bidi="ar-SA"/>
    </w:rPr>
  </w:style>
  <w:style w:type="character" w:customStyle="1" w:styleId="139">
    <w:name w:val="页眉 Char"/>
    <w:link w:val="33"/>
    <w:qFormat/>
    <w:locked/>
    <w:uiPriority w:val="0"/>
    <w:rPr>
      <w:rFonts w:ascii="Arial" w:hAnsi="Arial"/>
      <w:b/>
      <w:sz w:val="18"/>
      <w:lang w:val="en-GB" w:eastAsia="en-US" w:bidi="ar-SA"/>
    </w:rPr>
  </w:style>
  <w:style w:type="character" w:customStyle="1" w:styleId="140">
    <w:name w:val="Style 10.5 pt"/>
    <w:qFormat/>
    <w:uiPriority w:val="0"/>
    <w:rPr>
      <w:rFonts w:eastAsia="宋体"/>
      <w:sz w:val="20"/>
      <w:lang w:val="en-US" w:eastAsia="zh-CN" w:bidi="ar-SA"/>
    </w:rPr>
  </w:style>
  <w:style w:type="character" w:customStyle="1" w:styleId="141">
    <w:name w:val="Style 10.5 pt Bold"/>
    <w:qFormat/>
    <w:uiPriority w:val="0"/>
    <w:rPr>
      <w:rFonts w:eastAsia="宋体"/>
      <w:b/>
      <w:bCs/>
      <w:sz w:val="20"/>
      <w:lang w:val="en-US" w:eastAsia="zh-CN" w:bidi="ar-SA"/>
    </w:rPr>
  </w:style>
  <w:style w:type="paragraph" w:customStyle="1" w:styleId="142">
    <w:name w:val="Style 10.5 pt Bold Left:  0&quot; Hanging:  6.07 ch First line:  -6...."/>
    <w:basedOn w:val="1"/>
    <w:qFormat/>
    <w:uiPriority w:val="0"/>
    <w:pPr>
      <w:ind w:left="1276" w:hanging="1276" w:hangingChars="607"/>
    </w:pPr>
    <w:rPr>
      <w:rFonts w:eastAsia="Times New Roman"/>
      <w:b/>
      <w:bCs/>
    </w:rPr>
  </w:style>
  <w:style w:type="paragraph" w:customStyle="1" w:styleId="143">
    <w:name w:val="Style 10.5 pt Left:  0&quot; Hanging:  6.07 ch First line:  -6.07 ch"/>
    <w:basedOn w:val="1"/>
    <w:qFormat/>
    <w:uiPriority w:val="0"/>
    <w:pPr>
      <w:ind w:left="1275" w:hanging="1275" w:hangingChars="607"/>
    </w:pPr>
    <w:rPr>
      <w:rFonts w:eastAsia="Times New Roman"/>
    </w:rPr>
  </w:style>
  <w:style w:type="character" w:customStyle="1" w:styleId="144">
    <w:name w:val="body Char"/>
    <w:link w:val="97"/>
    <w:qFormat/>
    <w:uiPriority w:val="0"/>
    <w:rPr>
      <w:rFonts w:ascii="Bookman Old Style" w:hAnsi="Bookman Old Style" w:eastAsia="Times New Roman"/>
      <w:lang w:eastAsia="en-US"/>
    </w:rPr>
  </w:style>
  <w:style w:type="character" w:customStyle="1" w:styleId="145">
    <w:name w:val="Editor's Note Char Char"/>
    <w:qFormat/>
    <w:uiPriority w:val="0"/>
    <w:rPr>
      <w:rFonts w:ascii="Times New Roman" w:hAnsi="Times New Roman"/>
      <w:color w:val="FF0000"/>
      <w:lang w:val="en-GB"/>
    </w:rPr>
  </w:style>
  <w:style w:type="paragraph" w:customStyle="1" w:styleId="146">
    <w:name w:val="Doc-title"/>
    <w:basedOn w:val="1"/>
    <w:next w:val="135"/>
    <w:link w:val="147"/>
    <w:qFormat/>
    <w:uiPriority w:val="0"/>
    <w:pPr>
      <w:spacing w:before="60" w:after="0"/>
      <w:ind w:left="1259" w:hanging="1259"/>
    </w:pPr>
    <w:rPr>
      <w:rFonts w:ascii="Arial" w:hAnsi="Arial" w:eastAsia="MS Mincho"/>
      <w:szCs w:val="24"/>
      <w:lang w:eastAsia="en-GB"/>
    </w:rPr>
  </w:style>
  <w:style w:type="character" w:customStyle="1" w:styleId="147">
    <w:name w:val="Doc-title Char"/>
    <w:link w:val="146"/>
    <w:qFormat/>
    <w:uiPriority w:val="0"/>
    <w:rPr>
      <w:rFonts w:ascii="Arial" w:hAnsi="Arial"/>
      <w:szCs w:val="24"/>
      <w:lang w:val="en-GB" w:eastAsia="en-GB"/>
    </w:rPr>
  </w:style>
  <w:style w:type="character" w:customStyle="1" w:styleId="148">
    <w:name w:val="TAC Char"/>
    <w:link w:val="56"/>
    <w:qFormat/>
    <w:uiPriority w:val="0"/>
    <w:rPr>
      <w:rFonts w:ascii="Arial" w:hAnsi="Arial" w:eastAsia="宋体"/>
      <w:sz w:val="18"/>
      <w:lang w:val="en-GB" w:eastAsia="en-US"/>
    </w:rPr>
  </w:style>
  <w:style w:type="character" w:customStyle="1" w:styleId="149">
    <w:name w:val="TF Zchn"/>
    <w:qFormat/>
    <w:uiPriority w:val="0"/>
    <w:rPr>
      <w:rFonts w:ascii="Arial" w:hAnsi="Arial"/>
      <w:b/>
      <w:lang w:eastAsia="en-US"/>
    </w:rPr>
  </w:style>
  <w:style w:type="character" w:customStyle="1" w:styleId="150">
    <w:name w:val="B1 Char"/>
    <w:qFormat/>
    <w:uiPriority w:val="0"/>
    <w:rPr>
      <w:lang w:eastAsia="en-US"/>
    </w:rPr>
  </w:style>
  <w:style w:type="paragraph" w:customStyle="1" w:styleId="151">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2">
    <w:name w:val="apple-tab-span"/>
    <w:qFormat/>
    <w:uiPriority w:val="0"/>
  </w:style>
  <w:style w:type="character" w:customStyle="1" w:styleId="153">
    <w:name w:val="Unresolved Mention1"/>
    <w:semiHidden/>
    <w:unhideWhenUsed/>
    <w:qFormat/>
    <w:uiPriority w:val="99"/>
    <w:rPr>
      <w:rFonts w:eastAsia="宋体"/>
      <w:color w:val="808080"/>
      <w:shd w:val="clear" w:color="auto" w:fill="E6E6E6"/>
      <w:lang w:val="en-US" w:eastAsia="zh-CN" w:bidi="ar-SA"/>
    </w:rPr>
  </w:style>
  <w:style w:type="character" w:customStyle="1" w:styleId="154">
    <w:name w:val="列出段落 Char"/>
    <w:link w:val="134"/>
    <w:qFormat/>
    <w:uiPriority w:val="34"/>
    <w:rPr>
      <w:rFonts w:ascii="Malgun Gothic" w:hAnsi="Malgun Gothic"/>
      <w:sz w:val="22"/>
      <w:szCs w:val="22"/>
    </w:rPr>
  </w:style>
  <w:style w:type="paragraph" w:customStyle="1" w:styleId="155">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6">
    <w:name w:val="EmailDiscussion"/>
    <w:basedOn w:val="1"/>
    <w:next w:val="157"/>
    <w:link w:val="158"/>
    <w:qFormat/>
    <w:uiPriority w:val="0"/>
    <w:pPr>
      <w:numPr>
        <w:ilvl w:val="0"/>
        <w:numId w:val="7"/>
      </w:numPr>
      <w:spacing w:before="40" w:after="0"/>
    </w:pPr>
    <w:rPr>
      <w:rFonts w:ascii="Arial" w:hAnsi="Arial" w:eastAsia="MS Mincho"/>
      <w:b/>
      <w:szCs w:val="24"/>
      <w:lang w:eastAsia="en-GB"/>
    </w:rPr>
  </w:style>
  <w:style w:type="paragraph" w:customStyle="1" w:styleId="157">
    <w:name w:val="EmailDiscussion2"/>
    <w:basedOn w:val="135"/>
    <w:qFormat/>
    <w:uiPriority w:val="99"/>
    <w:pPr>
      <w:ind w:left="1710" w:firstLine="0"/>
    </w:pPr>
  </w:style>
  <w:style w:type="character" w:customStyle="1" w:styleId="158">
    <w:name w:val="EmailDiscussion Char"/>
    <w:link w:val="156"/>
    <w:qFormat/>
    <w:uiPriority w:val="0"/>
    <w:rPr>
      <w:rFonts w:ascii="Arial" w:hAnsi="Arial"/>
      <w:b/>
      <w:szCs w:val="24"/>
      <w:lang w:val="en-GB" w:eastAsia="en-GB"/>
    </w:rPr>
  </w:style>
  <w:style w:type="character" w:customStyle="1" w:styleId="159">
    <w:name w:val="CR Cover Page Zchn"/>
    <w:link w:val="91"/>
    <w:qFormat/>
    <w:locked/>
    <w:uiPriority w:val="0"/>
    <w:rPr>
      <w:rFonts w:ascii="Arial" w:hAnsi="Arial"/>
      <w:lang w:val="en-GB" w:eastAsia="en-US"/>
    </w:rPr>
  </w:style>
  <w:style w:type="paragraph" w:customStyle="1" w:styleId="160">
    <w:name w:val="Comments"/>
    <w:basedOn w:val="1"/>
    <w:link w:val="161"/>
    <w:qFormat/>
    <w:uiPriority w:val="0"/>
    <w:pPr>
      <w:spacing w:before="40" w:after="0"/>
    </w:pPr>
    <w:rPr>
      <w:rFonts w:ascii="Arial" w:hAnsi="Arial" w:eastAsia="MS Mincho"/>
      <w:i/>
      <w:sz w:val="18"/>
      <w:szCs w:val="24"/>
      <w:lang w:eastAsia="en-GB"/>
    </w:rPr>
  </w:style>
  <w:style w:type="character" w:customStyle="1" w:styleId="161">
    <w:name w:val="Comments Char"/>
    <w:link w:val="160"/>
    <w:qFormat/>
    <w:uiPriority w:val="0"/>
    <w:rPr>
      <w:rFonts w:ascii="Arial" w:hAnsi="Arial"/>
      <w:i/>
      <w:sz w:val="18"/>
      <w:szCs w:val="24"/>
      <w:lang w:val="en-GB" w:eastAsia="en-GB"/>
    </w:rPr>
  </w:style>
  <w:style w:type="paragraph" w:customStyle="1" w:styleId="162">
    <w:name w:val="Doc-comment"/>
    <w:basedOn w:val="1"/>
    <w:next w:val="135"/>
    <w:qFormat/>
    <w:uiPriority w:val="0"/>
    <w:pPr>
      <w:tabs>
        <w:tab w:val="left" w:pos="1622"/>
      </w:tabs>
      <w:spacing w:after="0"/>
      <w:ind w:left="1622" w:hanging="363"/>
    </w:pPr>
    <w:rPr>
      <w:rFonts w:ascii="Arial" w:hAnsi="Arial" w:eastAsia="MS Mincho"/>
      <w:i/>
      <w:szCs w:val="24"/>
      <w:lang w:eastAsia="en-GB"/>
    </w:rPr>
  </w:style>
  <w:style w:type="paragraph" w:customStyle="1" w:styleId="163">
    <w:name w:val="Agreement"/>
    <w:basedOn w:val="1"/>
    <w:next w:val="135"/>
    <w:qFormat/>
    <w:uiPriority w:val="0"/>
    <w:pPr>
      <w:numPr>
        <w:ilvl w:val="0"/>
        <w:numId w:val="8"/>
      </w:numPr>
      <w:spacing w:before="60" w:after="0"/>
      <w:ind w:left="1710"/>
    </w:pPr>
    <w:rPr>
      <w:rFonts w:ascii="Arial" w:hAnsi="Arial" w:eastAsia="MS Mincho"/>
      <w:b/>
      <w:szCs w:val="24"/>
      <w:lang w:val="fr-FR" w:eastAsia="en-GB"/>
    </w:rPr>
  </w:style>
  <w:style w:type="character" w:customStyle="1" w:styleId="164">
    <w:name w:val="CR Cover Page Char"/>
    <w:qFormat/>
    <w:locked/>
    <w:uiPriority w:val="0"/>
    <w:rPr>
      <w:rFonts w:ascii="Arial" w:hAnsi="Arial" w:cs="Arial"/>
      <w:lang w:val="en-GB" w:eastAsia="en-US" w:bidi="ar-SA"/>
    </w:rPr>
  </w:style>
  <w:style w:type="paragraph" w:customStyle="1" w:styleId="165">
    <w:name w:val="ComeBack"/>
    <w:basedOn w:val="135"/>
    <w:next w:val="135"/>
    <w:link w:val="166"/>
    <w:qFormat/>
    <w:uiPriority w:val="0"/>
    <w:pPr>
      <w:numPr>
        <w:ilvl w:val="0"/>
        <w:numId w:val="9"/>
      </w:numPr>
      <w:tabs>
        <w:tab w:val="clear" w:pos="1622"/>
      </w:tabs>
    </w:pPr>
  </w:style>
  <w:style w:type="character" w:customStyle="1" w:styleId="166">
    <w:name w:val="ComeBack Char Char"/>
    <w:link w:val="165"/>
    <w:qFormat/>
    <w:uiPriority w:val="0"/>
    <w:rPr>
      <w:rFonts w:ascii="Arial" w:hAnsi="Arial" w:eastAsia="MS Mincho"/>
      <w:szCs w:val="24"/>
      <w:lang w:val="en-GB" w:eastAsia="en-GB"/>
    </w:rPr>
  </w:style>
  <w:style w:type="paragraph" w:customStyle="1" w:styleId="167">
    <w:name w:val="Bold Comments"/>
    <w:basedOn w:val="1"/>
    <w:link w:val="168"/>
    <w:qFormat/>
    <w:uiPriority w:val="0"/>
    <w:pPr>
      <w:spacing w:before="240" w:after="60"/>
      <w:outlineLvl w:val="8"/>
    </w:pPr>
    <w:rPr>
      <w:rFonts w:ascii="Arial" w:hAnsi="Arial" w:eastAsia="MS Mincho"/>
      <w:b/>
      <w:szCs w:val="24"/>
      <w:lang w:eastAsia="en-GB"/>
    </w:rPr>
  </w:style>
  <w:style w:type="character" w:customStyle="1" w:styleId="168">
    <w:name w:val="Bold Comments Char"/>
    <w:link w:val="167"/>
    <w:qFormat/>
    <w:uiPriority w:val="0"/>
    <w:rPr>
      <w:rFonts w:ascii="Arial" w:hAnsi="Arial" w:eastAsia="MS Mincho"/>
      <w:b/>
      <w:szCs w:val="24"/>
      <w:lang w:val="en-GB" w:eastAsia="en-GB"/>
    </w:rPr>
  </w:style>
  <w:style w:type="paragraph" w:customStyle="1" w:styleId="169">
    <w:name w:val="B3"/>
    <w:basedOn w:val="12"/>
    <w:link w:val="170"/>
    <w:qFormat/>
    <w:uiPriority w:val="0"/>
    <w:pPr>
      <w:spacing w:line="240" w:lineRule="auto"/>
      <w:ind w:hanging="284"/>
      <w:jc w:val="left"/>
    </w:pPr>
    <w:rPr>
      <w:rFonts w:eastAsiaTheme="minorEastAsia"/>
    </w:rPr>
  </w:style>
  <w:style w:type="character" w:customStyle="1" w:styleId="170">
    <w:name w:val="B3 Char2"/>
    <w:link w:val="169"/>
    <w:qFormat/>
    <w:uiPriority w:val="0"/>
    <w:rPr>
      <w:rFonts w:eastAsiaTheme="minorEastAsia"/>
      <w:lang w:val="en-GB" w:eastAsia="en-US"/>
    </w:rPr>
  </w:style>
  <w:style w:type="paragraph" w:customStyle="1" w:styleId="171">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2">
    <w:name w:val="apple-converted-space"/>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4C67A-C816-4AAC-9644-90CEF8594353}">
  <ds:schemaRefs/>
</ds:datastoreItem>
</file>

<file path=customXml/itemProps3.xml><?xml version="1.0" encoding="utf-8"?>
<ds:datastoreItem xmlns:ds="http://schemas.openxmlformats.org/officeDocument/2006/customXml" ds:itemID="{5135152D-59E0-46C5-A301-D30C74BBB647}">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1B188F01-69A5-48DC-935D-5191D4EC8CC0}">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3367</Words>
  <Characters>19195</Characters>
  <Lines>159</Lines>
  <Paragraphs>45</Paragraphs>
  <TotalTime>2</TotalTime>
  <ScaleCrop>false</ScaleCrop>
  <LinksUpToDate>false</LinksUpToDate>
  <CharactersWithSpaces>22517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2021-08-18T05:59:00Z</dcterms:created>
  <dc:creator>Huawei</dc:creator>
  <cp:lastModifiedBy>ZTE(Wenting)</cp:lastModifiedBy>
  <cp:lastPrinted>2009-04-22T00:01:00Z</cp:lastPrinted>
  <dcterms:modified xsi:type="dcterms:W3CDTF">2021-08-18T07:58:59Z</dcterms:modified>
  <dc:title>3GPP TSG-RAN WG2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