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w:t>
      </w:r>
      <w:proofErr w:type="gramStart"/>
      <w:r w:rsidRPr="00F85A5B">
        <w:t>May,</w:t>
      </w:r>
      <w:proofErr w:type="gramEnd"/>
      <w:r w:rsidRPr="00F85A5B">
        <w:t xml:space="preserve">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w:t>
      </w:r>
      <w:proofErr w:type="gramStart"/>
      <w:r w:rsidR="006709FC" w:rsidRPr="00F85A5B">
        <w:rPr>
          <w:sz w:val="22"/>
          <w:szCs w:val="22"/>
        </w:rPr>
        <w:t>1</w:t>
      </w:r>
      <w:r w:rsidR="00C364F1" w:rsidRPr="00F85A5B">
        <w:rPr>
          <w:sz w:val="22"/>
          <w:szCs w:val="22"/>
        </w:rPr>
        <w:t>10</w:t>
      </w:r>
      <w:r w:rsidR="006709FC" w:rsidRPr="00F85A5B">
        <w:rPr>
          <w:sz w:val="22"/>
          <w:szCs w:val="22"/>
        </w:rPr>
        <w:t>][</w:t>
      </w:r>
      <w:proofErr w:type="gramEnd"/>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w:t>
      </w:r>
      <w:proofErr w:type="gramStart"/>
      <w:r w:rsidRPr="00F85A5B">
        <w:rPr>
          <w:lang w:val="en-US"/>
        </w:rPr>
        <w:t>110][</w:t>
      </w:r>
      <w:proofErr w:type="spellStart"/>
      <w:proofErr w:type="gramEnd"/>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 xml:space="preserve">Minimum </w:t>
      </w:r>
      <w:proofErr w:type="spellStart"/>
      <w:r w:rsidRPr="00F85A5B">
        <w:rPr>
          <w:rFonts w:eastAsia="SimSun"/>
          <w:lang w:val="en-US"/>
        </w:rPr>
        <w:t>eDRX</w:t>
      </w:r>
      <w:proofErr w:type="spellEnd"/>
      <w:r w:rsidRPr="00F85A5B">
        <w:rPr>
          <w:rFonts w:eastAsia="SimSun"/>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w:t>
      </w:r>
      <w:proofErr w:type="gramStart"/>
      <w:r w:rsidRPr="00F85A5B">
        <w:rPr>
          <w:b/>
          <w:bCs/>
        </w:rPr>
        <w:t>point</w:t>
      </w:r>
      <w:proofErr w:type="gramEnd"/>
      <w:r w:rsidRPr="00F85A5B">
        <w:rPr>
          <w:b/>
          <w:bCs/>
        </w:rPr>
        <w:t xml:space="preserve">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w:t>
            </w:r>
            <w:proofErr w:type="spellStart"/>
            <w:r w:rsidRPr="00F85A5B">
              <w:rPr>
                <w:rFonts w:eastAsia="SimSun"/>
                <w:lang w:val="en-US"/>
              </w:rPr>
              <w:t>eDRX</w:t>
            </w:r>
            <w:proofErr w:type="spellEnd"/>
            <w:r w:rsidRPr="00F85A5B">
              <w:rPr>
                <w:rFonts w:eastAsia="SimSun"/>
                <w:lang w:val="en-US"/>
              </w:rPr>
              <w:t xml:space="preserve"> are not clear to us, remembering UE should request </w:t>
            </w:r>
            <w:proofErr w:type="spellStart"/>
            <w:r w:rsidRPr="00F85A5B">
              <w:rPr>
                <w:rFonts w:eastAsia="SimSun"/>
                <w:lang w:val="en-US"/>
              </w:rPr>
              <w:t>eDRX</w:t>
            </w:r>
            <w:proofErr w:type="spellEnd"/>
            <w:r w:rsidRPr="00F85A5B">
              <w:rPr>
                <w:rFonts w:eastAsia="SimSun"/>
                <w:lang w:val="en-US"/>
              </w:rPr>
              <w:t xml:space="preserve"> only when the MT traffic is delay tolerant</w:t>
            </w:r>
            <w:r>
              <w:rPr>
                <w:rFonts w:eastAsia="SimSun"/>
                <w:lang w:val="en-US"/>
              </w:rPr>
              <w:t>.</w:t>
            </w:r>
          </w:p>
        </w:tc>
      </w:tr>
      <w:tr w:rsidR="002D5D9E" w:rsidRPr="00F85A5B" w14:paraId="6FE0ECC5" w14:textId="77777777" w:rsidTr="004C1E21">
        <w:tc>
          <w:tcPr>
            <w:tcW w:w="1696" w:type="dxa"/>
          </w:tcPr>
          <w:p w14:paraId="1BB61644" w14:textId="580519D6" w:rsidR="002D5D9E" w:rsidRPr="00F85A5B" w:rsidRDefault="002D5D9E" w:rsidP="00115DE5">
            <w:pPr>
              <w:pStyle w:val="BodyText"/>
              <w:rPr>
                <w:rFonts w:eastAsia="Malgun Gothic"/>
                <w:bCs/>
                <w:lang w:val="en-US" w:eastAsia="ko-KR"/>
              </w:rPr>
            </w:pPr>
          </w:p>
        </w:tc>
        <w:tc>
          <w:tcPr>
            <w:tcW w:w="1560" w:type="dxa"/>
          </w:tcPr>
          <w:p w14:paraId="3380E254" w14:textId="7CFEDA2E" w:rsidR="002D5D9E" w:rsidRPr="00F85A5B" w:rsidRDefault="002D5D9E" w:rsidP="00115DE5">
            <w:pPr>
              <w:pStyle w:val="BodyText"/>
              <w:rPr>
                <w:rFonts w:eastAsia="SimSun"/>
                <w:lang w:val="en-US"/>
              </w:rPr>
            </w:pPr>
          </w:p>
        </w:tc>
        <w:tc>
          <w:tcPr>
            <w:tcW w:w="6378" w:type="dxa"/>
          </w:tcPr>
          <w:p w14:paraId="7277901F" w14:textId="507D9661" w:rsidR="002D5D9E" w:rsidRPr="00F85A5B" w:rsidRDefault="002D5D9E" w:rsidP="00A67F33">
            <w:pPr>
              <w:pStyle w:val="BodyText"/>
              <w:rPr>
                <w:rFonts w:eastAsia="SimSun"/>
                <w:lang w:val="en-US"/>
              </w:rPr>
            </w:pPr>
          </w:p>
        </w:tc>
      </w:tr>
      <w:tr w:rsidR="003F5EFC" w:rsidRPr="00F85A5B" w14:paraId="7CD0B923" w14:textId="77777777" w:rsidTr="004C1E21">
        <w:tc>
          <w:tcPr>
            <w:tcW w:w="1696" w:type="dxa"/>
          </w:tcPr>
          <w:p w14:paraId="22E836FB" w14:textId="403889DC" w:rsidR="003F5EFC" w:rsidRPr="00F85A5B" w:rsidRDefault="003F5EFC" w:rsidP="003F5EFC">
            <w:pPr>
              <w:pStyle w:val="BodyText"/>
              <w:rPr>
                <w:rFonts w:eastAsia="Malgun Gothic"/>
                <w:bCs/>
                <w:lang w:val="en-US" w:eastAsia="ko-KR"/>
              </w:rPr>
            </w:pPr>
          </w:p>
        </w:tc>
        <w:tc>
          <w:tcPr>
            <w:tcW w:w="1560" w:type="dxa"/>
          </w:tcPr>
          <w:p w14:paraId="419206F0" w14:textId="2B142E14" w:rsidR="003F5EFC" w:rsidRPr="00F85A5B" w:rsidRDefault="003F5EFC" w:rsidP="003F5EFC">
            <w:pPr>
              <w:pStyle w:val="BodyText"/>
              <w:rPr>
                <w:rFonts w:eastAsia="SimSun"/>
                <w:lang w:val="en-US"/>
              </w:rPr>
            </w:pPr>
          </w:p>
        </w:tc>
        <w:tc>
          <w:tcPr>
            <w:tcW w:w="6378" w:type="dxa"/>
          </w:tcPr>
          <w:p w14:paraId="1A20F12B" w14:textId="56BCFBC9" w:rsidR="003F5EFC" w:rsidRPr="00F85A5B" w:rsidRDefault="003F5EFC" w:rsidP="003F5EFC">
            <w:pPr>
              <w:pStyle w:val="BodyText"/>
              <w:rPr>
                <w:rFonts w:eastAsia="SimSun"/>
                <w:lang w:val="en-US"/>
              </w:rPr>
            </w:pPr>
          </w:p>
        </w:tc>
      </w:tr>
      <w:tr w:rsidR="003F5EFC" w:rsidRPr="00F85A5B" w14:paraId="150FB8AB" w14:textId="77777777" w:rsidTr="004C1E21">
        <w:tc>
          <w:tcPr>
            <w:tcW w:w="1696" w:type="dxa"/>
          </w:tcPr>
          <w:p w14:paraId="6E5B6E98" w14:textId="28C7E3BA" w:rsidR="003F5EFC" w:rsidRPr="00F85A5B" w:rsidRDefault="003F5EFC" w:rsidP="003F5EFC">
            <w:pPr>
              <w:pStyle w:val="BodyText"/>
              <w:rPr>
                <w:rFonts w:eastAsia="Malgun Gothic"/>
                <w:bCs/>
                <w:lang w:val="en-US" w:eastAsia="ko-KR"/>
              </w:rPr>
            </w:pPr>
          </w:p>
        </w:tc>
        <w:tc>
          <w:tcPr>
            <w:tcW w:w="1560" w:type="dxa"/>
          </w:tcPr>
          <w:p w14:paraId="44AEB93A" w14:textId="540D9988" w:rsidR="003F5EFC" w:rsidRPr="00F85A5B" w:rsidRDefault="003F5EFC" w:rsidP="003F5EFC">
            <w:pPr>
              <w:pStyle w:val="BodyText"/>
              <w:rPr>
                <w:rFonts w:eastAsia="SimSun"/>
                <w:lang w:val="en-US"/>
              </w:rPr>
            </w:pPr>
          </w:p>
        </w:tc>
        <w:tc>
          <w:tcPr>
            <w:tcW w:w="6378" w:type="dxa"/>
          </w:tcPr>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78FA1CE8" w:rsidR="00892E52" w:rsidRPr="00F85A5B" w:rsidRDefault="00892E52" w:rsidP="003F5EFC">
            <w:pPr>
              <w:pStyle w:val="BodyText"/>
              <w:rPr>
                <w:rFonts w:eastAsia="Malgun Gothic"/>
                <w:bCs/>
                <w:lang w:val="en-US" w:eastAsia="ko-KR"/>
              </w:rPr>
            </w:pPr>
          </w:p>
        </w:tc>
        <w:tc>
          <w:tcPr>
            <w:tcW w:w="1560" w:type="dxa"/>
          </w:tcPr>
          <w:p w14:paraId="5A1AEC7B" w14:textId="177830F0" w:rsidR="00892E52" w:rsidRPr="00F85A5B" w:rsidRDefault="00892E52" w:rsidP="003F5EFC">
            <w:pPr>
              <w:pStyle w:val="BodyText"/>
              <w:rPr>
                <w:rFonts w:eastAsia="SimSun"/>
                <w:lang w:val="en-US"/>
              </w:rPr>
            </w:pPr>
          </w:p>
        </w:tc>
        <w:tc>
          <w:tcPr>
            <w:tcW w:w="6378" w:type="dxa"/>
          </w:tcPr>
          <w:p w14:paraId="55EF12D5" w14:textId="77777777" w:rsidR="00892E52" w:rsidRPr="00F85A5B" w:rsidRDefault="00892E52" w:rsidP="003F5EFC">
            <w:pPr>
              <w:pStyle w:val="BodyText"/>
              <w:rPr>
                <w:rFonts w:eastAsia="SimSun"/>
                <w:lang w:val="en-US"/>
              </w:rPr>
            </w:pPr>
          </w:p>
        </w:tc>
      </w:tr>
      <w:tr w:rsidR="004F2F9A" w:rsidRPr="00F85A5B" w14:paraId="5BB761CB" w14:textId="77777777" w:rsidTr="004C1E21">
        <w:tc>
          <w:tcPr>
            <w:tcW w:w="1696" w:type="dxa"/>
          </w:tcPr>
          <w:p w14:paraId="595B40B1" w14:textId="6CF3F700" w:rsidR="004F2F9A" w:rsidRPr="00F85A5B" w:rsidRDefault="004F2F9A" w:rsidP="004F2F9A">
            <w:pPr>
              <w:pStyle w:val="BodyText"/>
              <w:rPr>
                <w:rFonts w:eastAsia="Malgun Gothic"/>
                <w:bCs/>
                <w:lang w:val="en-US" w:eastAsia="ko-KR"/>
              </w:rPr>
            </w:pPr>
          </w:p>
        </w:tc>
        <w:tc>
          <w:tcPr>
            <w:tcW w:w="1560" w:type="dxa"/>
          </w:tcPr>
          <w:p w14:paraId="1CCD9FB1" w14:textId="1AF96713" w:rsidR="004F2F9A" w:rsidRPr="00F85A5B" w:rsidRDefault="004F2F9A" w:rsidP="004F2F9A">
            <w:pPr>
              <w:pStyle w:val="BodyText"/>
              <w:rPr>
                <w:rFonts w:eastAsia="SimSun"/>
                <w:lang w:val="en-US"/>
              </w:rPr>
            </w:pPr>
          </w:p>
        </w:tc>
        <w:tc>
          <w:tcPr>
            <w:tcW w:w="6378" w:type="dxa"/>
          </w:tcPr>
          <w:p w14:paraId="17741787" w14:textId="2E33F98D" w:rsidR="004F2F9A" w:rsidRPr="00F85A5B" w:rsidRDefault="004F2F9A" w:rsidP="004F2F9A">
            <w:pPr>
              <w:pStyle w:val="BodyText"/>
              <w:rPr>
                <w:rFonts w:eastAsia="SimSun"/>
                <w:lang w:val="en-US"/>
              </w:rPr>
            </w:pPr>
          </w:p>
        </w:tc>
      </w:tr>
      <w:tr w:rsidR="00383B16" w:rsidRPr="00F85A5B" w14:paraId="717A13E3" w14:textId="77777777" w:rsidTr="004C1E21">
        <w:tc>
          <w:tcPr>
            <w:tcW w:w="1696" w:type="dxa"/>
          </w:tcPr>
          <w:p w14:paraId="627507CD" w14:textId="70AD2759" w:rsidR="00383B16" w:rsidRPr="00F85A5B" w:rsidRDefault="00383B16" w:rsidP="00383B16">
            <w:pPr>
              <w:pStyle w:val="BodyText"/>
              <w:rPr>
                <w:rFonts w:eastAsia="DengXian"/>
                <w:bCs/>
                <w:lang w:val="en-US"/>
              </w:rPr>
            </w:pPr>
          </w:p>
        </w:tc>
        <w:tc>
          <w:tcPr>
            <w:tcW w:w="1560" w:type="dxa"/>
          </w:tcPr>
          <w:p w14:paraId="3EB91C7D" w14:textId="4E0353A8" w:rsidR="00383B16" w:rsidRPr="00F85A5B" w:rsidRDefault="00383B16" w:rsidP="00383B16">
            <w:pPr>
              <w:pStyle w:val="BodyText"/>
              <w:rPr>
                <w:rFonts w:eastAsia="SimSun"/>
                <w:lang w:val="en-US"/>
              </w:rPr>
            </w:pPr>
          </w:p>
        </w:tc>
        <w:tc>
          <w:tcPr>
            <w:tcW w:w="6378" w:type="dxa"/>
          </w:tcPr>
          <w:p w14:paraId="5E86B928" w14:textId="6657B68E" w:rsidR="00383B16" w:rsidRPr="00F85A5B" w:rsidRDefault="00383B16" w:rsidP="00383B16">
            <w:pPr>
              <w:pStyle w:val="BodyText"/>
              <w:rPr>
                <w:rFonts w:eastAsia="SimSun"/>
                <w:lang w:val="en-US"/>
              </w:rPr>
            </w:pPr>
          </w:p>
        </w:tc>
      </w:tr>
      <w:tr w:rsidR="0078379E" w:rsidRPr="00F85A5B" w14:paraId="3EB4FA5C" w14:textId="77777777" w:rsidTr="004C1E21">
        <w:tc>
          <w:tcPr>
            <w:tcW w:w="1696" w:type="dxa"/>
          </w:tcPr>
          <w:p w14:paraId="7853105D" w14:textId="7945F72F" w:rsidR="0078379E" w:rsidRPr="00F85A5B" w:rsidRDefault="0078379E" w:rsidP="0078379E">
            <w:pPr>
              <w:pStyle w:val="BodyText"/>
              <w:rPr>
                <w:rFonts w:eastAsia="Malgun Gothic"/>
                <w:bCs/>
                <w:lang w:val="en-US" w:eastAsia="ko-KR"/>
              </w:rPr>
            </w:pPr>
          </w:p>
        </w:tc>
        <w:tc>
          <w:tcPr>
            <w:tcW w:w="1560" w:type="dxa"/>
          </w:tcPr>
          <w:p w14:paraId="25A7C370" w14:textId="431E378D" w:rsidR="0078379E" w:rsidRPr="00F85A5B" w:rsidRDefault="0078379E" w:rsidP="0078379E">
            <w:pPr>
              <w:pStyle w:val="BodyText"/>
              <w:rPr>
                <w:rFonts w:eastAsia="SimSun"/>
                <w:lang w:val="en-US"/>
              </w:rPr>
            </w:pPr>
          </w:p>
        </w:tc>
        <w:tc>
          <w:tcPr>
            <w:tcW w:w="6378" w:type="dxa"/>
          </w:tcPr>
          <w:p w14:paraId="300158B6" w14:textId="3DCB80EF" w:rsidR="0078379E" w:rsidRPr="00F85A5B" w:rsidRDefault="0078379E" w:rsidP="0078379E">
            <w:pPr>
              <w:pStyle w:val="BodyText"/>
              <w:rPr>
                <w:rFonts w:eastAsia="SimSun"/>
                <w:lang w:val="en-US"/>
              </w:rPr>
            </w:pPr>
          </w:p>
        </w:tc>
      </w:tr>
      <w:tr w:rsidR="00A01923" w:rsidRPr="00F85A5B" w14:paraId="763F5489" w14:textId="77777777" w:rsidTr="004C1E21">
        <w:tc>
          <w:tcPr>
            <w:tcW w:w="1696" w:type="dxa"/>
          </w:tcPr>
          <w:p w14:paraId="07C121EB" w14:textId="107CC3E0" w:rsidR="00A01923" w:rsidRPr="00F85A5B" w:rsidRDefault="00A01923" w:rsidP="00A01923">
            <w:pPr>
              <w:pStyle w:val="BodyText"/>
              <w:rPr>
                <w:rFonts w:eastAsiaTheme="minorEastAsia"/>
                <w:bCs/>
                <w:lang w:val="en-US" w:eastAsia="ja-JP"/>
              </w:rPr>
            </w:pPr>
          </w:p>
        </w:tc>
        <w:tc>
          <w:tcPr>
            <w:tcW w:w="1560" w:type="dxa"/>
          </w:tcPr>
          <w:p w14:paraId="173EEF31" w14:textId="77777777" w:rsidR="00A01923" w:rsidRPr="00F85A5B" w:rsidRDefault="00A01923" w:rsidP="00A01923">
            <w:pPr>
              <w:pStyle w:val="BodyText"/>
              <w:rPr>
                <w:rFonts w:eastAsiaTheme="minorEastAsia"/>
                <w:lang w:val="en-US" w:eastAsia="ja-JP"/>
              </w:rPr>
            </w:pPr>
          </w:p>
        </w:tc>
        <w:tc>
          <w:tcPr>
            <w:tcW w:w="6378" w:type="dxa"/>
          </w:tcPr>
          <w:p w14:paraId="646AF4D4" w14:textId="0C28B38C" w:rsidR="00A01923" w:rsidRPr="00F85A5B" w:rsidRDefault="00A01923" w:rsidP="00A01923">
            <w:pPr>
              <w:pStyle w:val="BodyText"/>
              <w:rPr>
                <w:rFonts w:eastAsiaTheme="minorEastAsia"/>
                <w:lang w:val="en-US" w:eastAsia="ja-JP"/>
              </w:rPr>
            </w:pPr>
          </w:p>
        </w:tc>
      </w:tr>
      <w:tr w:rsidR="00EF3818" w:rsidRPr="00F85A5B" w14:paraId="07628E46" w14:textId="77777777" w:rsidTr="004C1E21">
        <w:tc>
          <w:tcPr>
            <w:tcW w:w="1696" w:type="dxa"/>
          </w:tcPr>
          <w:p w14:paraId="7F5383B1" w14:textId="13FEBD9F" w:rsidR="00EF3818" w:rsidRPr="00F85A5B" w:rsidRDefault="00EF3818" w:rsidP="00833843">
            <w:pPr>
              <w:pStyle w:val="BodyText"/>
              <w:rPr>
                <w:rFonts w:eastAsia="DengXian"/>
                <w:bCs/>
                <w:lang w:val="en-US"/>
              </w:rPr>
            </w:pPr>
          </w:p>
        </w:tc>
        <w:tc>
          <w:tcPr>
            <w:tcW w:w="1560" w:type="dxa"/>
          </w:tcPr>
          <w:p w14:paraId="41F00B85" w14:textId="6425AA2F" w:rsidR="00EF3818" w:rsidRPr="00F85A5B" w:rsidRDefault="00EF3818" w:rsidP="00833843">
            <w:pPr>
              <w:pStyle w:val="BodyText"/>
              <w:rPr>
                <w:rFonts w:eastAsia="DengXian"/>
                <w:bCs/>
                <w:lang w:val="en-US"/>
              </w:rPr>
            </w:pPr>
          </w:p>
        </w:tc>
        <w:tc>
          <w:tcPr>
            <w:tcW w:w="6378" w:type="dxa"/>
          </w:tcPr>
          <w:p w14:paraId="30F6CEA6" w14:textId="1D731CD4" w:rsidR="00EF3818" w:rsidRPr="00F85A5B" w:rsidRDefault="00EF3818" w:rsidP="00833843">
            <w:pPr>
              <w:pStyle w:val="BodyText"/>
              <w:rPr>
                <w:rFonts w:eastAsia="DengXian"/>
                <w:bCs/>
                <w:lang w:val="en-US"/>
              </w:rPr>
            </w:pPr>
          </w:p>
        </w:tc>
      </w:tr>
      <w:tr w:rsidR="00F15C86" w:rsidRPr="00F85A5B" w14:paraId="55D89B00" w14:textId="77777777" w:rsidTr="004C1E21">
        <w:tc>
          <w:tcPr>
            <w:tcW w:w="1696" w:type="dxa"/>
          </w:tcPr>
          <w:p w14:paraId="09F7B926" w14:textId="1EBE3B9C" w:rsidR="00F15C86" w:rsidRPr="00F85A5B" w:rsidRDefault="00F15C86" w:rsidP="00833843">
            <w:pPr>
              <w:pStyle w:val="BodyText"/>
              <w:rPr>
                <w:rFonts w:eastAsia="DengXian"/>
                <w:bCs/>
                <w:lang w:val="en-US"/>
              </w:rPr>
            </w:pPr>
          </w:p>
        </w:tc>
        <w:tc>
          <w:tcPr>
            <w:tcW w:w="1560" w:type="dxa"/>
          </w:tcPr>
          <w:p w14:paraId="7F86A85D" w14:textId="29EDB179" w:rsidR="00F15C86" w:rsidRPr="00F85A5B" w:rsidRDefault="00F15C86" w:rsidP="00833843">
            <w:pPr>
              <w:pStyle w:val="BodyText"/>
              <w:rPr>
                <w:rFonts w:eastAsia="DengXian"/>
                <w:bCs/>
                <w:lang w:val="en-US"/>
              </w:rPr>
            </w:pPr>
          </w:p>
        </w:tc>
        <w:tc>
          <w:tcPr>
            <w:tcW w:w="6378" w:type="dxa"/>
          </w:tcPr>
          <w:p w14:paraId="6BF5F583" w14:textId="2EBD297F" w:rsidR="00F15C86" w:rsidRPr="00F85A5B" w:rsidRDefault="00F15C86" w:rsidP="00F15C86">
            <w:pPr>
              <w:pStyle w:val="BodyText"/>
              <w:rPr>
                <w:rFonts w:eastAsia="DengXian"/>
                <w:bCs/>
                <w:lang w:val="en-US"/>
              </w:rPr>
            </w:pPr>
          </w:p>
        </w:tc>
      </w:tr>
      <w:tr w:rsidR="00AF3E66" w:rsidRPr="00F85A5B" w14:paraId="4FC5C441" w14:textId="77777777" w:rsidTr="004C1E21">
        <w:tc>
          <w:tcPr>
            <w:tcW w:w="1696" w:type="dxa"/>
          </w:tcPr>
          <w:p w14:paraId="6F82DD20" w14:textId="70C58449" w:rsidR="00AF3E66" w:rsidRPr="00F85A5B" w:rsidRDefault="00AF3E66" w:rsidP="00AF3E66">
            <w:pPr>
              <w:pStyle w:val="BodyText"/>
              <w:rPr>
                <w:rFonts w:eastAsia="DengXian"/>
                <w:bCs/>
                <w:lang w:val="en-US"/>
              </w:rPr>
            </w:pPr>
          </w:p>
        </w:tc>
        <w:tc>
          <w:tcPr>
            <w:tcW w:w="1560" w:type="dxa"/>
          </w:tcPr>
          <w:p w14:paraId="0A6A0924" w14:textId="77777777" w:rsidR="00AF3E66" w:rsidRPr="00F85A5B" w:rsidRDefault="00AF3E66" w:rsidP="00AF3E66">
            <w:pPr>
              <w:pStyle w:val="BodyText"/>
              <w:rPr>
                <w:rFonts w:eastAsia="DengXian"/>
                <w:bCs/>
                <w:lang w:val="en-US"/>
              </w:rPr>
            </w:pPr>
          </w:p>
        </w:tc>
        <w:tc>
          <w:tcPr>
            <w:tcW w:w="6378" w:type="dxa"/>
          </w:tcPr>
          <w:p w14:paraId="20ED6EF0" w14:textId="0301A28C" w:rsidR="00AF3E66" w:rsidRPr="00F85A5B" w:rsidRDefault="00AF3E66" w:rsidP="00AF3E66">
            <w:pPr>
              <w:pStyle w:val="BodyText"/>
              <w:rPr>
                <w:rFonts w:eastAsia="SimSun"/>
                <w:lang w:val="en-US"/>
              </w:rPr>
            </w:pPr>
          </w:p>
        </w:tc>
      </w:tr>
      <w:tr w:rsidR="00764301" w:rsidRPr="00F85A5B" w14:paraId="2D69A8C2" w14:textId="77777777" w:rsidTr="004C1E21">
        <w:tc>
          <w:tcPr>
            <w:tcW w:w="1696" w:type="dxa"/>
          </w:tcPr>
          <w:p w14:paraId="4B24C95B" w14:textId="59E3D761" w:rsidR="00764301" w:rsidRPr="00F85A5B" w:rsidRDefault="00764301" w:rsidP="00764301">
            <w:pPr>
              <w:pStyle w:val="BodyText"/>
              <w:rPr>
                <w:rFonts w:eastAsia="DengXian"/>
                <w:bCs/>
                <w:lang w:val="en-US"/>
              </w:rPr>
            </w:pPr>
          </w:p>
        </w:tc>
        <w:tc>
          <w:tcPr>
            <w:tcW w:w="1560" w:type="dxa"/>
          </w:tcPr>
          <w:p w14:paraId="5D4D8053" w14:textId="6470E3E6" w:rsidR="00764301" w:rsidRPr="00F85A5B" w:rsidRDefault="00764301" w:rsidP="00764301">
            <w:pPr>
              <w:pStyle w:val="BodyText"/>
              <w:rPr>
                <w:rFonts w:eastAsia="DengXian"/>
                <w:bCs/>
                <w:lang w:val="en-US"/>
              </w:rPr>
            </w:pPr>
          </w:p>
        </w:tc>
        <w:tc>
          <w:tcPr>
            <w:tcW w:w="6378" w:type="dxa"/>
          </w:tcPr>
          <w:p w14:paraId="0140C8F2" w14:textId="77777777" w:rsidR="00764301" w:rsidRPr="00F85A5B" w:rsidRDefault="00764301" w:rsidP="00764301">
            <w:pPr>
              <w:pStyle w:val="BodyText"/>
              <w:rPr>
                <w:rFonts w:eastAsia="SimSun"/>
                <w:lang w:val="en-US"/>
              </w:rPr>
            </w:pPr>
          </w:p>
        </w:tc>
      </w:tr>
      <w:tr w:rsidR="006237DC" w:rsidRPr="00F85A5B" w14:paraId="594C8130" w14:textId="77777777" w:rsidTr="004C1E21">
        <w:tc>
          <w:tcPr>
            <w:tcW w:w="1696" w:type="dxa"/>
          </w:tcPr>
          <w:p w14:paraId="40877F93" w14:textId="37FD2F4F" w:rsidR="006237DC" w:rsidRPr="00F85A5B" w:rsidRDefault="006237DC" w:rsidP="006237DC">
            <w:pPr>
              <w:pStyle w:val="BodyText"/>
              <w:rPr>
                <w:rFonts w:eastAsia="Malgun Gothic"/>
                <w:bCs/>
                <w:lang w:val="en-US" w:eastAsia="ko-KR"/>
              </w:rPr>
            </w:pPr>
          </w:p>
        </w:tc>
        <w:tc>
          <w:tcPr>
            <w:tcW w:w="1560" w:type="dxa"/>
          </w:tcPr>
          <w:p w14:paraId="2935F987" w14:textId="14CA8280" w:rsidR="006237DC" w:rsidRPr="00F85A5B" w:rsidRDefault="006237DC" w:rsidP="006237DC">
            <w:pPr>
              <w:pStyle w:val="BodyText"/>
              <w:rPr>
                <w:rFonts w:eastAsia="SimSun"/>
                <w:lang w:val="en-US"/>
              </w:rPr>
            </w:pPr>
          </w:p>
        </w:tc>
        <w:tc>
          <w:tcPr>
            <w:tcW w:w="6378" w:type="dxa"/>
          </w:tcPr>
          <w:p w14:paraId="16B282B1" w14:textId="77777777" w:rsidR="006237DC" w:rsidRPr="00F85A5B" w:rsidRDefault="006237DC" w:rsidP="006237DC">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w:t>
      </w:r>
      <w:proofErr w:type="gramStart"/>
      <w:r w:rsidRPr="00F85A5B">
        <w:t>e.g.</w:t>
      </w:r>
      <w:proofErr w:type="gramEnd"/>
      <w:r w:rsidRPr="00F85A5B">
        <w:t xml:space="preserve"> during RAN2#113bis-e in Offline 101. However, no consensus </w:t>
      </w:r>
      <w:r w:rsidR="0090157A">
        <w:t xml:space="preserve">has been </w:t>
      </w:r>
      <w:proofErr w:type="spellStart"/>
      <w:r w:rsidR="008543C5">
        <w:t>s</w:t>
      </w:r>
      <w:r w:rsidRPr="00F85A5B">
        <w:t>reached</w:t>
      </w:r>
      <w:proofErr w:type="spellEnd"/>
      <w:r w:rsidRPr="00F85A5B">
        <w:t xml:space="preserve"> </w:t>
      </w:r>
      <w:proofErr w:type="gramStart"/>
      <w:r w:rsidRPr="00F85A5B">
        <w:t>e.g.</w:t>
      </w:r>
      <w:proofErr w:type="gramEnd"/>
      <w:r w:rsidRPr="00F85A5B">
        <w:t xml:space="preserve">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w:t>
            </w:r>
            <w:proofErr w:type="gramStart"/>
            <w:r w:rsidRPr="00F85A5B">
              <w:rPr>
                <w:rFonts w:eastAsiaTheme="minorHAnsi"/>
                <w:lang w:val="en-US"/>
              </w:rPr>
              <w:t>e.g.</w:t>
            </w:r>
            <w:proofErr w:type="gramEnd"/>
            <w:r w:rsidRPr="00F85A5B">
              <w:rPr>
                <w:rFonts w:eastAsiaTheme="minorHAnsi"/>
                <w:lang w:val="en-US"/>
              </w:rPr>
              <w:t xml:space="preserve">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w:t>
      </w:r>
      <w:proofErr w:type="gramStart"/>
      <w:r w:rsidRPr="00F85A5B">
        <w:t>i.e.</w:t>
      </w:r>
      <w:proofErr w:type="gramEnd"/>
      <w:r w:rsidRPr="00F85A5B">
        <w:t xml:space="preserve"> the starting location </w:t>
      </w:r>
      <w:proofErr w:type="spellStart"/>
      <w:r w:rsidRPr="00F85A5B">
        <w:t>PTW_start</w:t>
      </w:r>
      <w:proofErr w:type="spellEnd"/>
      <w:r w:rsidRPr="00F85A5B">
        <w:t xml:space="preserve"> in TS 36.304):</w:t>
      </w:r>
    </w:p>
    <w:p w14:paraId="4C98A07B" w14:textId="77777777" w:rsidR="00B87564" w:rsidRPr="00F85A5B" w:rsidRDefault="00BB1229" w:rsidP="00B87564">
      <w:pPr>
        <w:keepNext/>
      </w:pPr>
      <w:r w:rsidRPr="00F85A5B">
        <w:rPr>
          <w:noProof/>
        </w:rPr>
      </w:r>
      <w:r w:rsidR="00BB1229"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5.05pt;mso-width-percent:0;mso-height-percent:0;mso-width-percent:0;mso-height-percent:0" o:ole="">
            <v:imagedata r:id="rId11" o:title=""/>
          </v:shape>
          <o:OLEObject Type="Embed" ProgID="Visio.Drawing.15" ShapeID="_x0000_i1025" DrawAspect="Content" ObjectID="_1683108235"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w:t>
      </w:r>
      <w:proofErr w:type="gramStart"/>
      <w:r w:rsidRPr="00F85A5B">
        <w:t>i.e.</w:t>
      </w:r>
      <w:proofErr w:type="gramEnd"/>
      <w:r w:rsidRPr="00F85A5B">
        <w:t xml:space="preserv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w:t>
      </w:r>
      <w:proofErr w:type="gramStart"/>
      <w:r w:rsidRPr="00F85A5B">
        <w:rPr>
          <w:b/>
          <w:bCs/>
        </w:rPr>
        <w:t>point</w:t>
      </w:r>
      <w:proofErr w:type="gramEnd"/>
      <w:r w:rsidRPr="00F85A5B">
        <w:rPr>
          <w:b/>
          <w:bCs/>
        </w:rPr>
        <w:t xml:space="preserve">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proofErr w:type="gramStart"/>
            <w:r w:rsidRPr="00F85A5B">
              <w:rPr>
                <w:rFonts w:eastAsia="SimSun"/>
                <w:lang w:val="en-US"/>
              </w:rPr>
              <w:t>In particular we</w:t>
            </w:r>
            <w:proofErr w:type="gramEnd"/>
            <w:r w:rsidRPr="00F85A5B">
              <w:rPr>
                <w:rFonts w:eastAsia="SimSun"/>
                <w:lang w:val="en-US"/>
              </w:rPr>
              <w:t xml:space="preserv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w:t>
              </w:r>
              <w:r w:rsidRPr="00326180">
                <w:rPr>
                  <w:rStyle w:val="Hyperlink"/>
                  <w:rFonts w:eastAsia="SimSun"/>
                  <w:lang w:val="en-US"/>
                </w:rPr>
                <w:t>2</w:t>
              </w:r>
              <w:r w:rsidRPr="00326180">
                <w:rPr>
                  <w:rStyle w:val="Hyperlink"/>
                  <w:rFonts w:eastAsia="SimSun"/>
                  <w:lang w:val="en-US"/>
                </w:rPr>
                <w:t>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w:t>
            </w:r>
            <w:proofErr w:type="gramStart"/>
            <w:r w:rsidRPr="00F85A5B">
              <w:rPr>
                <w:rFonts w:eastAsia="Yu Mincho"/>
                <w:i/>
                <w:iCs/>
                <w:lang w:val="en-US"/>
              </w:rPr>
              <w:t>s</w:t>
            </w:r>
            <w:proofErr w:type="gramEnd"/>
            <w:r w:rsidRPr="00F85A5B">
              <w:rPr>
                <w:rFonts w:eastAsia="Yu Mincho"/>
                <w:i/>
                <w:iCs/>
                <w:lang w:val="en-US"/>
              </w:rPr>
              <w:t xml:space="preserve">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50EBFD51" w:rsidR="00BB1229" w:rsidRPr="00F85A5B" w:rsidRDefault="00BB1229" w:rsidP="00BB1229">
            <w:pPr>
              <w:pStyle w:val="BodyText"/>
              <w:jc w:val="center"/>
              <w:rPr>
                <w:rFonts w:eastAsia="Malgun Gothic"/>
                <w:bCs/>
                <w:lang w:val="en-US" w:eastAsia="ko-KR"/>
              </w:rPr>
            </w:pPr>
          </w:p>
        </w:tc>
        <w:tc>
          <w:tcPr>
            <w:tcW w:w="2127" w:type="dxa"/>
          </w:tcPr>
          <w:p w14:paraId="5BD6CA1B" w14:textId="6C388FA7" w:rsidR="00BB1229" w:rsidRPr="00F85A5B" w:rsidRDefault="00BB1229" w:rsidP="00BB1229">
            <w:pPr>
              <w:pStyle w:val="BodyText"/>
              <w:rPr>
                <w:rFonts w:eastAsia="SimSun"/>
                <w:lang w:val="en-US"/>
              </w:rPr>
            </w:pPr>
          </w:p>
        </w:tc>
        <w:tc>
          <w:tcPr>
            <w:tcW w:w="5811" w:type="dxa"/>
          </w:tcPr>
          <w:p w14:paraId="5A145223" w14:textId="605031E2" w:rsidR="00BB1229" w:rsidRPr="00F85A5B" w:rsidRDefault="00BB1229" w:rsidP="00BB1229">
            <w:pPr>
              <w:pStyle w:val="BodyText"/>
              <w:rPr>
                <w:rFonts w:eastAsia="SimSun"/>
                <w:lang w:val="en-US"/>
              </w:rPr>
            </w:pPr>
          </w:p>
        </w:tc>
      </w:tr>
      <w:tr w:rsidR="00BB1229" w:rsidRPr="00F85A5B" w14:paraId="1780C897" w14:textId="77777777" w:rsidTr="00115DE5">
        <w:tc>
          <w:tcPr>
            <w:tcW w:w="1696" w:type="dxa"/>
          </w:tcPr>
          <w:p w14:paraId="0A0244E8" w14:textId="32C9282D" w:rsidR="00BB1229" w:rsidRPr="00F85A5B" w:rsidRDefault="00BB1229" w:rsidP="00BB1229">
            <w:pPr>
              <w:pStyle w:val="BodyText"/>
              <w:rPr>
                <w:rFonts w:eastAsia="Malgun Gothic"/>
                <w:bCs/>
                <w:lang w:val="en-US" w:eastAsia="ko-KR"/>
              </w:rPr>
            </w:pPr>
          </w:p>
        </w:tc>
        <w:tc>
          <w:tcPr>
            <w:tcW w:w="2127" w:type="dxa"/>
          </w:tcPr>
          <w:p w14:paraId="141A2E3C" w14:textId="2FA046CE" w:rsidR="00BB1229" w:rsidRPr="00F85A5B" w:rsidRDefault="00BB1229" w:rsidP="00BB1229">
            <w:pPr>
              <w:pStyle w:val="BodyText"/>
              <w:rPr>
                <w:rFonts w:eastAsia="SimSun"/>
                <w:lang w:val="en-US"/>
              </w:rPr>
            </w:pPr>
          </w:p>
        </w:tc>
        <w:tc>
          <w:tcPr>
            <w:tcW w:w="5811" w:type="dxa"/>
          </w:tcPr>
          <w:p w14:paraId="4B6C5EE1" w14:textId="0861EBD0" w:rsidR="00BB1229" w:rsidRPr="00F85A5B" w:rsidRDefault="00BB1229" w:rsidP="00BB1229">
            <w:pPr>
              <w:pStyle w:val="BodyText"/>
              <w:rPr>
                <w:rFonts w:eastAsia="SimSun"/>
                <w:lang w:val="en-US"/>
              </w:rPr>
            </w:pPr>
          </w:p>
        </w:tc>
      </w:tr>
      <w:tr w:rsidR="00BB1229" w:rsidRPr="00F85A5B" w14:paraId="1765B35E" w14:textId="77777777" w:rsidTr="00115DE5">
        <w:tc>
          <w:tcPr>
            <w:tcW w:w="1696" w:type="dxa"/>
          </w:tcPr>
          <w:p w14:paraId="429BFD15" w14:textId="38DF6909" w:rsidR="00BB1229" w:rsidRPr="00F85A5B" w:rsidRDefault="00BB1229" w:rsidP="00BB1229">
            <w:pPr>
              <w:pStyle w:val="BodyText"/>
              <w:rPr>
                <w:rFonts w:eastAsia="Malgun Gothic"/>
                <w:bCs/>
                <w:lang w:val="en-US" w:eastAsia="ko-KR"/>
              </w:rPr>
            </w:pPr>
          </w:p>
        </w:tc>
        <w:tc>
          <w:tcPr>
            <w:tcW w:w="2127" w:type="dxa"/>
          </w:tcPr>
          <w:p w14:paraId="7548D941" w14:textId="10E4E986" w:rsidR="00BB1229" w:rsidRPr="00F85A5B" w:rsidRDefault="00BB1229" w:rsidP="00BB1229">
            <w:pPr>
              <w:pStyle w:val="BodyText"/>
              <w:rPr>
                <w:rFonts w:eastAsia="SimSun"/>
                <w:lang w:val="en-US"/>
              </w:rPr>
            </w:pPr>
          </w:p>
        </w:tc>
        <w:tc>
          <w:tcPr>
            <w:tcW w:w="5811" w:type="dxa"/>
          </w:tcPr>
          <w:p w14:paraId="06C38F86" w14:textId="6A1709EE" w:rsidR="00BB1229" w:rsidRPr="00F85A5B" w:rsidRDefault="00BB1229" w:rsidP="00BB1229">
            <w:pPr>
              <w:pStyle w:val="BodyText"/>
              <w:rPr>
                <w:rFonts w:eastAsia="SimSun"/>
                <w:lang w:val="en-US"/>
              </w:rPr>
            </w:pPr>
          </w:p>
        </w:tc>
      </w:tr>
      <w:tr w:rsidR="00BB1229" w:rsidRPr="00F85A5B" w14:paraId="5BC46148" w14:textId="77777777" w:rsidTr="00115DE5">
        <w:tc>
          <w:tcPr>
            <w:tcW w:w="1696" w:type="dxa"/>
          </w:tcPr>
          <w:p w14:paraId="28A6324E" w14:textId="22646262" w:rsidR="00BB1229" w:rsidRPr="00F85A5B" w:rsidRDefault="00BB1229" w:rsidP="00BB1229">
            <w:pPr>
              <w:pStyle w:val="BodyText"/>
              <w:rPr>
                <w:rFonts w:eastAsia="Malgun Gothic"/>
                <w:bCs/>
                <w:lang w:val="en-US" w:eastAsia="ko-KR"/>
              </w:rPr>
            </w:pPr>
          </w:p>
        </w:tc>
        <w:tc>
          <w:tcPr>
            <w:tcW w:w="2127" w:type="dxa"/>
          </w:tcPr>
          <w:p w14:paraId="0AE4B2C1" w14:textId="788F094A" w:rsidR="00BB1229" w:rsidRPr="00F85A5B" w:rsidRDefault="00BB1229" w:rsidP="00BB1229">
            <w:pPr>
              <w:pStyle w:val="BodyText"/>
              <w:rPr>
                <w:rFonts w:eastAsia="SimSun"/>
                <w:lang w:val="en-US"/>
              </w:rPr>
            </w:pPr>
          </w:p>
        </w:tc>
        <w:tc>
          <w:tcPr>
            <w:tcW w:w="5811" w:type="dxa"/>
          </w:tcPr>
          <w:p w14:paraId="02AA567B" w14:textId="6DCD5050" w:rsidR="00BB1229" w:rsidRPr="00F85A5B" w:rsidRDefault="00BB1229" w:rsidP="00BB1229">
            <w:pPr>
              <w:pStyle w:val="BodyText"/>
              <w:rPr>
                <w:rFonts w:eastAsia="SimSun"/>
                <w:lang w:val="en-US"/>
              </w:rPr>
            </w:pPr>
          </w:p>
        </w:tc>
      </w:tr>
      <w:tr w:rsidR="00BB1229" w:rsidRPr="00F85A5B" w14:paraId="534FA1FF" w14:textId="77777777" w:rsidTr="00115DE5">
        <w:tc>
          <w:tcPr>
            <w:tcW w:w="1696" w:type="dxa"/>
          </w:tcPr>
          <w:p w14:paraId="42A5562A" w14:textId="4024B6D5" w:rsidR="00BB1229" w:rsidRPr="00F85A5B" w:rsidRDefault="00BB1229" w:rsidP="00BB1229">
            <w:pPr>
              <w:pStyle w:val="BodyText"/>
              <w:rPr>
                <w:rFonts w:eastAsia="Malgun Gothic"/>
                <w:bCs/>
                <w:lang w:val="en-US" w:eastAsia="ko-KR"/>
              </w:rPr>
            </w:pPr>
          </w:p>
        </w:tc>
        <w:tc>
          <w:tcPr>
            <w:tcW w:w="2127" w:type="dxa"/>
          </w:tcPr>
          <w:p w14:paraId="5BE7571B" w14:textId="001EFEE1" w:rsidR="00BB1229" w:rsidRPr="00F85A5B" w:rsidRDefault="00BB1229" w:rsidP="00BB1229">
            <w:pPr>
              <w:pStyle w:val="BodyText"/>
              <w:rPr>
                <w:rFonts w:eastAsia="SimSun"/>
                <w:lang w:val="en-US"/>
              </w:rPr>
            </w:pPr>
          </w:p>
        </w:tc>
        <w:tc>
          <w:tcPr>
            <w:tcW w:w="5811" w:type="dxa"/>
          </w:tcPr>
          <w:p w14:paraId="55059C72" w14:textId="77777777" w:rsidR="00BB1229" w:rsidRPr="00F85A5B" w:rsidRDefault="00BB1229" w:rsidP="00BB1229">
            <w:pPr>
              <w:pStyle w:val="BodyText"/>
              <w:rPr>
                <w:rFonts w:eastAsia="SimSun"/>
                <w:lang w:val="en-US"/>
              </w:rPr>
            </w:pPr>
          </w:p>
        </w:tc>
      </w:tr>
      <w:tr w:rsidR="00BB1229" w:rsidRPr="00F85A5B" w14:paraId="7FB1FFD8" w14:textId="77777777" w:rsidTr="00115DE5">
        <w:tc>
          <w:tcPr>
            <w:tcW w:w="1696" w:type="dxa"/>
          </w:tcPr>
          <w:p w14:paraId="5FBBE9AB" w14:textId="5F30100D" w:rsidR="00BB1229" w:rsidRPr="00F85A5B" w:rsidRDefault="00BB1229" w:rsidP="00BB1229">
            <w:pPr>
              <w:pStyle w:val="BodyText"/>
              <w:rPr>
                <w:rFonts w:eastAsia="Malgun Gothic"/>
                <w:bCs/>
                <w:lang w:val="en-US" w:eastAsia="ko-KR"/>
              </w:rPr>
            </w:pPr>
          </w:p>
        </w:tc>
        <w:tc>
          <w:tcPr>
            <w:tcW w:w="2127" w:type="dxa"/>
          </w:tcPr>
          <w:p w14:paraId="47001C56" w14:textId="6323603E" w:rsidR="00BB1229" w:rsidRPr="00F85A5B" w:rsidRDefault="00BB1229" w:rsidP="00BB1229">
            <w:pPr>
              <w:pStyle w:val="BodyText"/>
              <w:rPr>
                <w:rFonts w:eastAsia="SimSun"/>
                <w:lang w:val="en-US"/>
              </w:rPr>
            </w:pPr>
          </w:p>
        </w:tc>
        <w:tc>
          <w:tcPr>
            <w:tcW w:w="5811" w:type="dxa"/>
          </w:tcPr>
          <w:p w14:paraId="6A4BF990" w14:textId="5B86F2F4" w:rsidR="00BB1229" w:rsidRPr="00F85A5B" w:rsidRDefault="00BB1229" w:rsidP="00BB1229">
            <w:pPr>
              <w:pStyle w:val="BodyText"/>
              <w:rPr>
                <w:rFonts w:eastAsia="SimSun"/>
                <w:lang w:val="en-US"/>
              </w:rPr>
            </w:pPr>
          </w:p>
        </w:tc>
      </w:tr>
      <w:tr w:rsidR="00BB1229" w:rsidRPr="00F85A5B" w14:paraId="7116CA14" w14:textId="77777777" w:rsidTr="00115DE5">
        <w:tc>
          <w:tcPr>
            <w:tcW w:w="1696" w:type="dxa"/>
          </w:tcPr>
          <w:p w14:paraId="1F501642" w14:textId="2CADD90D" w:rsidR="00BB1229" w:rsidRPr="00F85A5B" w:rsidRDefault="00BB1229" w:rsidP="00BB1229">
            <w:pPr>
              <w:pStyle w:val="BodyText"/>
              <w:rPr>
                <w:rFonts w:eastAsia="Malgun Gothic"/>
                <w:bCs/>
                <w:lang w:val="en-US" w:eastAsia="ko-KR"/>
              </w:rPr>
            </w:pPr>
          </w:p>
        </w:tc>
        <w:tc>
          <w:tcPr>
            <w:tcW w:w="2127" w:type="dxa"/>
          </w:tcPr>
          <w:p w14:paraId="5E729FA4" w14:textId="4B0C29D6" w:rsidR="00BB1229" w:rsidRPr="00F85A5B" w:rsidRDefault="00BB1229" w:rsidP="00BB1229">
            <w:pPr>
              <w:pStyle w:val="BodyText"/>
              <w:rPr>
                <w:rFonts w:eastAsia="SimSun"/>
                <w:lang w:val="en-US"/>
              </w:rPr>
            </w:pPr>
          </w:p>
        </w:tc>
        <w:tc>
          <w:tcPr>
            <w:tcW w:w="5811" w:type="dxa"/>
          </w:tcPr>
          <w:p w14:paraId="6E634339" w14:textId="51E4A148" w:rsidR="00BB1229" w:rsidRPr="00F85A5B" w:rsidRDefault="00BB1229" w:rsidP="00BB1229">
            <w:pPr>
              <w:pStyle w:val="BodyText"/>
              <w:rPr>
                <w:rFonts w:eastAsia="SimSun"/>
                <w:lang w:val="en-US"/>
              </w:rPr>
            </w:pPr>
          </w:p>
        </w:tc>
      </w:tr>
      <w:tr w:rsidR="00BB1229" w:rsidRPr="00F85A5B" w14:paraId="319AE669" w14:textId="77777777" w:rsidTr="00115DE5">
        <w:tc>
          <w:tcPr>
            <w:tcW w:w="1696" w:type="dxa"/>
          </w:tcPr>
          <w:p w14:paraId="052E0417" w14:textId="5C051D6C" w:rsidR="00BB1229" w:rsidRPr="00F85A5B" w:rsidRDefault="00BB1229" w:rsidP="00BB1229">
            <w:pPr>
              <w:pStyle w:val="BodyText"/>
              <w:rPr>
                <w:rFonts w:eastAsiaTheme="minorEastAsia"/>
                <w:bCs/>
                <w:lang w:val="en-US" w:eastAsia="ja-JP"/>
              </w:rPr>
            </w:pPr>
          </w:p>
        </w:tc>
        <w:tc>
          <w:tcPr>
            <w:tcW w:w="2127" w:type="dxa"/>
          </w:tcPr>
          <w:p w14:paraId="515F9842" w14:textId="728B1081" w:rsidR="00BB1229" w:rsidRPr="00F85A5B" w:rsidRDefault="00BB1229" w:rsidP="00BB1229">
            <w:pPr>
              <w:pStyle w:val="BodyText"/>
              <w:rPr>
                <w:rFonts w:eastAsiaTheme="minorEastAsia"/>
                <w:lang w:val="en-US" w:eastAsia="ja-JP"/>
              </w:rPr>
            </w:pPr>
          </w:p>
        </w:tc>
        <w:tc>
          <w:tcPr>
            <w:tcW w:w="5811" w:type="dxa"/>
          </w:tcPr>
          <w:p w14:paraId="5B60F4C4" w14:textId="246C8730" w:rsidR="00BB1229" w:rsidRPr="00F85A5B" w:rsidRDefault="00BB1229" w:rsidP="00BB1229">
            <w:pPr>
              <w:pStyle w:val="BodyText"/>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w:t>
      </w:r>
      <w:proofErr w:type="gramStart"/>
      <w:r w:rsidR="00980C31" w:rsidRPr="00F85A5B">
        <w:t>i.e.</w:t>
      </w:r>
      <w:proofErr w:type="gramEnd"/>
      <w:r w:rsidR="00980C31" w:rsidRPr="00F85A5B">
        <w:t xml:space="preserv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 xml:space="preserve">Discussion </w:t>
      </w:r>
      <w:proofErr w:type="gramStart"/>
      <w:r w:rsidRPr="00F85A5B">
        <w:rPr>
          <w:b/>
          <w:bCs/>
        </w:rPr>
        <w:t>point</w:t>
      </w:r>
      <w:proofErr w:type="gramEnd"/>
      <w:r w:rsidRPr="00F85A5B">
        <w:rPr>
          <w:b/>
          <w:bCs/>
        </w:rPr>
        <w:t xml:space="preserve">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lastRenderedPageBreak/>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w:t>
            </w:r>
            <w:proofErr w:type="spellStart"/>
            <w:r w:rsidRPr="00F85A5B">
              <w:rPr>
                <w:rFonts w:eastAsia="SimSun"/>
                <w:lang w:val="en-US"/>
              </w:rPr>
              <w:t>Tdocs</w:t>
            </w:r>
            <w:proofErr w:type="spellEnd"/>
            <w:r w:rsidRPr="00F85A5B">
              <w:rPr>
                <w:rFonts w:eastAsia="SimSun"/>
                <w:lang w:val="en-US"/>
              </w:rPr>
              <w:t xml:space="preserve">. </w:t>
            </w:r>
          </w:p>
          <w:p w14:paraId="66DF887D" w14:textId="77777777" w:rsidR="00BB1229" w:rsidRPr="00F85A5B" w:rsidRDefault="00BB1229" w:rsidP="00BB1229">
            <w:pPr>
              <w:pStyle w:val="BodyText"/>
              <w:rPr>
                <w:rFonts w:eastAsia="SimSun"/>
                <w:lang w:val="en-US"/>
              </w:rPr>
            </w:pPr>
            <w:r w:rsidRPr="00F85A5B">
              <w:rPr>
                <w:rFonts w:eastAsia="SimSun"/>
                <w:lang w:val="en-US"/>
              </w:rPr>
              <w:t xml:space="preserve">But it is also possible to leave this configuration up to NW </w:t>
            </w:r>
            <w:proofErr w:type="gramStart"/>
            <w:r w:rsidRPr="00F85A5B">
              <w:rPr>
                <w:rFonts w:eastAsia="SimSun"/>
                <w:lang w:val="en-US"/>
              </w:rPr>
              <w:t>e.g.</w:t>
            </w:r>
            <w:proofErr w:type="gramEnd"/>
            <w:r w:rsidRPr="00F85A5B">
              <w:rPr>
                <w:rFonts w:eastAsia="SimSun"/>
                <w:lang w:val="en-US"/>
              </w:rPr>
              <w:t xml:space="preserve">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39992CF0" w:rsidR="00BB1229" w:rsidRPr="00F85A5B" w:rsidRDefault="00BB1229" w:rsidP="00BB1229">
            <w:pPr>
              <w:pStyle w:val="BodyText"/>
              <w:rPr>
                <w:rFonts w:eastAsia="Malgun Gothic"/>
                <w:bCs/>
                <w:lang w:val="en-US" w:eastAsia="ko-KR"/>
              </w:rPr>
            </w:pPr>
          </w:p>
        </w:tc>
        <w:tc>
          <w:tcPr>
            <w:tcW w:w="2127" w:type="dxa"/>
          </w:tcPr>
          <w:p w14:paraId="144FE4AA" w14:textId="14FFEFA4" w:rsidR="00BB1229" w:rsidRPr="00F85A5B" w:rsidRDefault="00BB1229" w:rsidP="00BB1229">
            <w:pPr>
              <w:pStyle w:val="BodyText"/>
              <w:rPr>
                <w:rFonts w:eastAsia="SimSun"/>
                <w:lang w:val="en-US"/>
              </w:rPr>
            </w:pPr>
          </w:p>
        </w:tc>
        <w:tc>
          <w:tcPr>
            <w:tcW w:w="5811" w:type="dxa"/>
          </w:tcPr>
          <w:p w14:paraId="5803FC70" w14:textId="77777777" w:rsidR="00BB1229" w:rsidRPr="00F85A5B" w:rsidRDefault="00BB1229" w:rsidP="00BB1229">
            <w:pPr>
              <w:pStyle w:val="BodyText"/>
              <w:rPr>
                <w:rFonts w:eastAsia="SimSun"/>
                <w:lang w:val="en-US"/>
              </w:rPr>
            </w:pPr>
          </w:p>
        </w:tc>
      </w:tr>
      <w:tr w:rsidR="00BB1229" w:rsidRPr="00F85A5B" w14:paraId="43306F8A" w14:textId="77777777" w:rsidTr="00115DE5">
        <w:tc>
          <w:tcPr>
            <w:tcW w:w="1696" w:type="dxa"/>
          </w:tcPr>
          <w:p w14:paraId="6C0C57FA" w14:textId="732EA0F8" w:rsidR="00BB1229" w:rsidRPr="00F85A5B" w:rsidRDefault="00BB1229" w:rsidP="00BB1229">
            <w:pPr>
              <w:pStyle w:val="BodyText"/>
              <w:rPr>
                <w:rFonts w:eastAsia="Malgun Gothic"/>
                <w:bCs/>
                <w:lang w:val="en-US" w:eastAsia="ko-KR"/>
              </w:rPr>
            </w:pPr>
          </w:p>
        </w:tc>
        <w:tc>
          <w:tcPr>
            <w:tcW w:w="2127" w:type="dxa"/>
          </w:tcPr>
          <w:p w14:paraId="309814CC" w14:textId="5B089450" w:rsidR="00BB1229" w:rsidRPr="00F85A5B" w:rsidRDefault="00BB1229" w:rsidP="00BB1229">
            <w:pPr>
              <w:pStyle w:val="BodyText"/>
              <w:rPr>
                <w:rFonts w:eastAsia="SimSun"/>
                <w:lang w:val="en-US"/>
              </w:rPr>
            </w:pPr>
          </w:p>
        </w:tc>
        <w:tc>
          <w:tcPr>
            <w:tcW w:w="5811" w:type="dxa"/>
          </w:tcPr>
          <w:p w14:paraId="55629D11" w14:textId="445DBC2B" w:rsidR="00BB1229" w:rsidRPr="00F85A5B" w:rsidRDefault="00BB1229" w:rsidP="00BB1229">
            <w:pPr>
              <w:pStyle w:val="BodyText"/>
              <w:rPr>
                <w:rFonts w:eastAsia="SimSun"/>
                <w:lang w:val="en-US"/>
              </w:rPr>
            </w:pPr>
          </w:p>
        </w:tc>
      </w:tr>
      <w:tr w:rsidR="00BB1229" w:rsidRPr="00F85A5B" w14:paraId="686F708B" w14:textId="77777777" w:rsidTr="00115DE5">
        <w:tc>
          <w:tcPr>
            <w:tcW w:w="1696" w:type="dxa"/>
          </w:tcPr>
          <w:p w14:paraId="3433DD39" w14:textId="27693877" w:rsidR="00BB1229" w:rsidRPr="00F85A5B" w:rsidRDefault="00BB1229" w:rsidP="00BB1229">
            <w:pPr>
              <w:pStyle w:val="BodyText"/>
              <w:rPr>
                <w:rFonts w:eastAsia="Malgun Gothic"/>
                <w:bCs/>
                <w:lang w:val="en-US" w:eastAsia="ko-KR"/>
              </w:rPr>
            </w:pPr>
          </w:p>
        </w:tc>
        <w:tc>
          <w:tcPr>
            <w:tcW w:w="2127" w:type="dxa"/>
          </w:tcPr>
          <w:p w14:paraId="44BA9040" w14:textId="5EE2371D" w:rsidR="00BB1229" w:rsidRPr="00F85A5B" w:rsidRDefault="00BB1229" w:rsidP="00BB1229">
            <w:pPr>
              <w:pStyle w:val="BodyText"/>
              <w:rPr>
                <w:rFonts w:eastAsia="SimSun"/>
                <w:lang w:val="en-US"/>
              </w:rPr>
            </w:pPr>
          </w:p>
        </w:tc>
        <w:tc>
          <w:tcPr>
            <w:tcW w:w="5811" w:type="dxa"/>
          </w:tcPr>
          <w:p w14:paraId="443CB819" w14:textId="77777777" w:rsidR="00BB1229" w:rsidRPr="00F85A5B" w:rsidRDefault="00BB1229" w:rsidP="00BB1229">
            <w:pPr>
              <w:pStyle w:val="BodyText"/>
              <w:rPr>
                <w:rFonts w:eastAsia="SimSun"/>
                <w:lang w:val="en-US"/>
              </w:rPr>
            </w:pPr>
          </w:p>
        </w:tc>
      </w:tr>
      <w:tr w:rsidR="00BB1229" w:rsidRPr="00F85A5B" w14:paraId="5705C833" w14:textId="77777777" w:rsidTr="00115DE5">
        <w:tc>
          <w:tcPr>
            <w:tcW w:w="1696" w:type="dxa"/>
          </w:tcPr>
          <w:p w14:paraId="5C1335AE" w14:textId="693E4511" w:rsidR="00BB1229" w:rsidRPr="00F85A5B" w:rsidRDefault="00BB1229" w:rsidP="00BB1229">
            <w:pPr>
              <w:pStyle w:val="BodyText"/>
              <w:rPr>
                <w:rFonts w:eastAsia="Malgun Gothic"/>
                <w:bCs/>
                <w:lang w:val="en-US" w:eastAsia="ko-KR"/>
              </w:rPr>
            </w:pPr>
          </w:p>
        </w:tc>
        <w:tc>
          <w:tcPr>
            <w:tcW w:w="2127" w:type="dxa"/>
          </w:tcPr>
          <w:p w14:paraId="67FF4128" w14:textId="0AA7FA69" w:rsidR="00BB1229" w:rsidRPr="00F85A5B" w:rsidRDefault="00BB1229" w:rsidP="00BB1229">
            <w:pPr>
              <w:pStyle w:val="BodyText"/>
              <w:rPr>
                <w:rFonts w:eastAsia="SimSun"/>
                <w:lang w:val="en-US"/>
              </w:rPr>
            </w:pPr>
          </w:p>
        </w:tc>
        <w:tc>
          <w:tcPr>
            <w:tcW w:w="5811" w:type="dxa"/>
          </w:tcPr>
          <w:p w14:paraId="4673796B" w14:textId="77777777" w:rsidR="00BB1229" w:rsidRPr="00F85A5B" w:rsidRDefault="00BB1229" w:rsidP="00BB1229">
            <w:pPr>
              <w:pStyle w:val="BodyText"/>
              <w:rPr>
                <w:rFonts w:eastAsia="SimSun"/>
                <w:lang w:val="en-US"/>
              </w:rPr>
            </w:pPr>
          </w:p>
        </w:tc>
      </w:tr>
      <w:tr w:rsidR="00BB1229" w:rsidRPr="00F85A5B" w14:paraId="3109849B" w14:textId="77777777" w:rsidTr="00115DE5">
        <w:tc>
          <w:tcPr>
            <w:tcW w:w="1696" w:type="dxa"/>
          </w:tcPr>
          <w:p w14:paraId="0460C74E" w14:textId="296C2509" w:rsidR="00BB1229" w:rsidRPr="00F85A5B" w:rsidRDefault="00BB1229" w:rsidP="00BB1229">
            <w:pPr>
              <w:pStyle w:val="BodyText"/>
              <w:rPr>
                <w:rFonts w:eastAsia="Malgun Gothic"/>
                <w:bCs/>
                <w:lang w:val="en-US" w:eastAsia="ko-KR"/>
              </w:rPr>
            </w:pPr>
          </w:p>
        </w:tc>
        <w:tc>
          <w:tcPr>
            <w:tcW w:w="2127" w:type="dxa"/>
          </w:tcPr>
          <w:p w14:paraId="0FCAA90C" w14:textId="4F707CAF" w:rsidR="00BB1229" w:rsidRPr="00F85A5B" w:rsidRDefault="00BB1229" w:rsidP="00BB1229">
            <w:pPr>
              <w:pStyle w:val="BodyText"/>
              <w:rPr>
                <w:rFonts w:eastAsia="SimSun"/>
                <w:lang w:val="en-US"/>
              </w:rPr>
            </w:pPr>
          </w:p>
        </w:tc>
        <w:tc>
          <w:tcPr>
            <w:tcW w:w="5811" w:type="dxa"/>
          </w:tcPr>
          <w:p w14:paraId="6CC3DD31" w14:textId="14EC7C7D" w:rsidR="00BB1229" w:rsidRPr="00F85A5B" w:rsidRDefault="00BB1229" w:rsidP="00BB1229">
            <w:pPr>
              <w:pStyle w:val="BodyText"/>
              <w:rPr>
                <w:rFonts w:eastAsia="SimSun"/>
                <w:lang w:val="en-US"/>
              </w:rPr>
            </w:pPr>
          </w:p>
        </w:tc>
      </w:tr>
      <w:tr w:rsidR="00BB1229" w:rsidRPr="00F85A5B" w14:paraId="403BCAED" w14:textId="77777777" w:rsidTr="00115DE5">
        <w:tc>
          <w:tcPr>
            <w:tcW w:w="1696" w:type="dxa"/>
          </w:tcPr>
          <w:p w14:paraId="119C9255" w14:textId="7FA17EE6" w:rsidR="00BB1229" w:rsidRPr="00F85A5B" w:rsidRDefault="00BB1229" w:rsidP="00BB1229">
            <w:pPr>
              <w:pStyle w:val="BodyText"/>
              <w:rPr>
                <w:rFonts w:eastAsia="Malgun Gothic"/>
                <w:bCs/>
                <w:lang w:val="en-US" w:eastAsia="ko-KR"/>
              </w:rPr>
            </w:pPr>
          </w:p>
        </w:tc>
        <w:tc>
          <w:tcPr>
            <w:tcW w:w="2127" w:type="dxa"/>
          </w:tcPr>
          <w:p w14:paraId="3EA68F2F" w14:textId="34D58D7B" w:rsidR="00BB1229" w:rsidRPr="00F85A5B" w:rsidRDefault="00BB1229" w:rsidP="00BB1229">
            <w:pPr>
              <w:pStyle w:val="BodyText"/>
              <w:rPr>
                <w:rFonts w:eastAsia="SimSun"/>
                <w:lang w:val="en-US"/>
              </w:rPr>
            </w:pPr>
          </w:p>
        </w:tc>
        <w:tc>
          <w:tcPr>
            <w:tcW w:w="5811" w:type="dxa"/>
          </w:tcPr>
          <w:p w14:paraId="16CFE2C8" w14:textId="77777777" w:rsidR="00BB1229" w:rsidRPr="00F85A5B" w:rsidRDefault="00BB1229" w:rsidP="00BB1229">
            <w:pPr>
              <w:pStyle w:val="BodyText"/>
              <w:rPr>
                <w:rFonts w:eastAsia="SimSun"/>
                <w:lang w:val="en-US"/>
              </w:rPr>
            </w:pPr>
          </w:p>
        </w:tc>
      </w:tr>
      <w:tr w:rsidR="00BB1229" w:rsidRPr="00F85A5B" w14:paraId="3608F146" w14:textId="77777777" w:rsidTr="00115DE5">
        <w:tc>
          <w:tcPr>
            <w:tcW w:w="1696" w:type="dxa"/>
          </w:tcPr>
          <w:p w14:paraId="1C0D0C58" w14:textId="759CB2FC" w:rsidR="00BB1229" w:rsidRPr="00F85A5B" w:rsidRDefault="00BB1229" w:rsidP="00BB1229">
            <w:pPr>
              <w:pStyle w:val="BodyText"/>
              <w:rPr>
                <w:rFonts w:eastAsia="Malgun Gothic"/>
                <w:bCs/>
                <w:lang w:val="en-US" w:eastAsia="ko-KR"/>
              </w:rPr>
            </w:pPr>
          </w:p>
        </w:tc>
        <w:tc>
          <w:tcPr>
            <w:tcW w:w="2127" w:type="dxa"/>
          </w:tcPr>
          <w:p w14:paraId="3B9F3F85" w14:textId="718E27E0" w:rsidR="00BB1229" w:rsidRPr="00F85A5B" w:rsidRDefault="00BB1229" w:rsidP="00BB1229">
            <w:pPr>
              <w:pStyle w:val="BodyText"/>
              <w:rPr>
                <w:rFonts w:eastAsia="SimSun"/>
                <w:lang w:val="en-US"/>
              </w:rPr>
            </w:pPr>
          </w:p>
        </w:tc>
        <w:tc>
          <w:tcPr>
            <w:tcW w:w="5811" w:type="dxa"/>
          </w:tcPr>
          <w:p w14:paraId="6754A9F4" w14:textId="77777777" w:rsidR="00BB1229" w:rsidRPr="00F85A5B" w:rsidRDefault="00BB1229" w:rsidP="00BB1229">
            <w:pPr>
              <w:pStyle w:val="BodyText"/>
              <w:rPr>
                <w:rFonts w:eastAsia="SimSun"/>
                <w:lang w:val="en-US"/>
              </w:rPr>
            </w:pP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w:t>
      </w:r>
      <w:proofErr w:type="gramStart"/>
      <w:r w:rsidR="006F0E19" w:rsidRPr="00F85A5B">
        <w:t>e.g.</w:t>
      </w:r>
      <w:proofErr w:type="gramEnd"/>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w:t>
      </w:r>
      <w:proofErr w:type="gramStart"/>
      <w:r w:rsidR="006F0E19" w:rsidRPr="00F85A5B">
        <w:t>e.g.</w:t>
      </w:r>
      <w:proofErr w:type="gramEnd"/>
      <w:r w:rsidR="006F0E19" w:rsidRPr="00F85A5B">
        <w:t xml:space="preserve">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w:t>
      </w:r>
      <w:proofErr w:type="gramStart"/>
      <w:r w:rsidRPr="00F85A5B">
        <w:rPr>
          <w:b/>
          <w:bCs/>
        </w:rPr>
        <w:t>point</w:t>
      </w:r>
      <w:proofErr w:type="gramEnd"/>
      <w:r w:rsidRPr="00F85A5B">
        <w:rPr>
          <w:b/>
          <w:bCs/>
        </w:rPr>
        <w:t xml:space="preserve">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C342FF">
        <w:tc>
          <w:tcPr>
            <w:tcW w:w="1696" w:type="dxa"/>
            <w:shd w:val="clear" w:color="auto" w:fill="A5A5A5" w:themeFill="accent3"/>
          </w:tcPr>
          <w:p w14:paraId="36D80B46" w14:textId="77777777" w:rsidR="00714F1A" w:rsidRPr="00F85A5B" w:rsidRDefault="00714F1A" w:rsidP="00C342FF">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C342FF">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C342FF">
            <w:pPr>
              <w:pStyle w:val="BodyText"/>
              <w:rPr>
                <w:b/>
                <w:bCs/>
                <w:lang w:val="en-US"/>
              </w:rPr>
            </w:pPr>
            <w:r w:rsidRPr="00F85A5B">
              <w:rPr>
                <w:b/>
                <w:bCs/>
                <w:lang w:val="en-US"/>
              </w:rPr>
              <w:t xml:space="preserve">Comments </w:t>
            </w:r>
          </w:p>
        </w:tc>
      </w:tr>
      <w:tr w:rsidR="00BB1229" w:rsidRPr="00F85A5B" w14:paraId="1A0C922A" w14:textId="77777777" w:rsidTr="00C342FF">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 xml:space="preserve">In case it is agreed the starting locations are same and </w:t>
            </w:r>
            <w:proofErr w:type="gramStart"/>
            <w:r w:rsidRPr="00F85A5B">
              <w:rPr>
                <w:rFonts w:eastAsia="SimSun"/>
                <w:lang w:val="en-US"/>
              </w:rPr>
              <w:t>e.g.</w:t>
            </w:r>
            <w:proofErr w:type="gramEnd"/>
            <w:r w:rsidRPr="00F85A5B">
              <w:rPr>
                <w:rFonts w:eastAsia="SimSun"/>
                <w:lang w:val="en-US"/>
              </w:rPr>
              <w:t xml:space="preserve">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w:t>
            </w:r>
            <w:proofErr w:type="spellStart"/>
            <w:r>
              <w:rPr>
                <w:rFonts w:eastAsia="SimSun"/>
                <w:lang w:val="en-US"/>
              </w:rPr>
              <w:t>eDRX</w:t>
            </w:r>
            <w:proofErr w:type="spellEnd"/>
            <w:r>
              <w:rPr>
                <w:rFonts w:eastAsia="SimSun"/>
                <w:lang w:val="en-US"/>
              </w:rPr>
              <w:t xml:space="preserve"> cycles is agreed what to do </w:t>
            </w:r>
            <w:proofErr w:type="gramStart"/>
            <w:r>
              <w:rPr>
                <w:rFonts w:eastAsia="SimSun"/>
                <w:lang w:val="en-US"/>
              </w:rPr>
              <w:t>e.g.</w:t>
            </w:r>
            <w:proofErr w:type="gramEnd"/>
            <w:r>
              <w:rPr>
                <w:rFonts w:eastAsia="SimSun"/>
                <w:lang w:val="en-US"/>
              </w:rPr>
              <w:t xml:space="preserve">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C342FF">
        <w:tc>
          <w:tcPr>
            <w:tcW w:w="1696" w:type="dxa"/>
          </w:tcPr>
          <w:p w14:paraId="6F502428" w14:textId="77777777" w:rsidR="00BB1229" w:rsidRPr="00F85A5B" w:rsidRDefault="00BB1229" w:rsidP="00BB1229">
            <w:pPr>
              <w:pStyle w:val="BodyText"/>
              <w:rPr>
                <w:rFonts w:eastAsia="Malgun Gothic"/>
                <w:bCs/>
                <w:lang w:val="en-US" w:eastAsia="ko-KR"/>
              </w:rPr>
            </w:pPr>
          </w:p>
        </w:tc>
        <w:tc>
          <w:tcPr>
            <w:tcW w:w="2127" w:type="dxa"/>
          </w:tcPr>
          <w:p w14:paraId="7087F6A2" w14:textId="77777777" w:rsidR="00BB1229" w:rsidRPr="00F85A5B" w:rsidRDefault="00BB1229" w:rsidP="00BB1229">
            <w:pPr>
              <w:pStyle w:val="BodyText"/>
              <w:rPr>
                <w:rFonts w:eastAsia="SimSun"/>
                <w:lang w:val="en-US"/>
              </w:rPr>
            </w:pPr>
          </w:p>
        </w:tc>
        <w:tc>
          <w:tcPr>
            <w:tcW w:w="5811" w:type="dxa"/>
          </w:tcPr>
          <w:p w14:paraId="2B0D9878" w14:textId="77777777" w:rsidR="00BB1229" w:rsidRPr="00F85A5B" w:rsidRDefault="00BB1229" w:rsidP="00BB1229">
            <w:pPr>
              <w:pStyle w:val="BodyText"/>
              <w:rPr>
                <w:rFonts w:eastAsia="SimSun"/>
                <w:lang w:val="en-US"/>
              </w:rPr>
            </w:pPr>
          </w:p>
        </w:tc>
      </w:tr>
      <w:tr w:rsidR="00BB1229" w:rsidRPr="00F85A5B" w14:paraId="7F3CFA0D" w14:textId="77777777" w:rsidTr="00C342FF">
        <w:tc>
          <w:tcPr>
            <w:tcW w:w="1696" w:type="dxa"/>
          </w:tcPr>
          <w:p w14:paraId="43A5DD1B" w14:textId="77777777" w:rsidR="00BB1229" w:rsidRPr="00F85A5B" w:rsidRDefault="00BB1229" w:rsidP="00BB1229">
            <w:pPr>
              <w:pStyle w:val="BodyText"/>
              <w:rPr>
                <w:rFonts w:eastAsia="Malgun Gothic"/>
                <w:bCs/>
                <w:lang w:val="en-US" w:eastAsia="ko-KR"/>
              </w:rPr>
            </w:pPr>
          </w:p>
        </w:tc>
        <w:tc>
          <w:tcPr>
            <w:tcW w:w="2127" w:type="dxa"/>
          </w:tcPr>
          <w:p w14:paraId="4D202CB3" w14:textId="77777777" w:rsidR="00BB1229" w:rsidRPr="00F85A5B" w:rsidRDefault="00BB1229" w:rsidP="00BB1229">
            <w:pPr>
              <w:pStyle w:val="BodyText"/>
              <w:rPr>
                <w:rFonts w:eastAsia="SimSun"/>
                <w:lang w:val="en-US"/>
              </w:rPr>
            </w:pPr>
          </w:p>
        </w:tc>
        <w:tc>
          <w:tcPr>
            <w:tcW w:w="5811" w:type="dxa"/>
          </w:tcPr>
          <w:p w14:paraId="665FAB56" w14:textId="77777777" w:rsidR="00BB1229" w:rsidRPr="00F85A5B" w:rsidRDefault="00BB1229" w:rsidP="00BB1229">
            <w:pPr>
              <w:pStyle w:val="BodyText"/>
              <w:rPr>
                <w:rFonts w:eastAsia="SimSun"/>
                <w:lang w:val="en-US"/>
              </w:rPr>
            </w:pPr>
          </w:p>
        </w:tc>
      </w:tr>
      <w:tr w:rsidR="00BB1229" w:rsidRPr="00F85A5B" w14:paraId="3A8DC639" w14:textId="77777777" w:rsidTr="00C342FF">
        <w:tc>
          <w:tcPr>
            <w:tcW w:w="1696" w:type="dxa"/>
          </w:tcPr>
          <w:p w14:paraId="6151AF92" w14:textId="77777777" w:rsidR="00BB1229" w:rsidRPr="00F85A5B" w:rsidRDefault="00BB1229" w:rsidP="00BB1229">
            <w:pPr>
              <w:pStyle w:val="BodyText"/>
              <w:rPr>
                <w:rFonts w:eastAsia="Malgun Gothic"/>
                <w:bCs/>
                <w:lang w:val="en-US" w:eastAsia="ko-KR"/>
              </w:rPr>
            </w:pPr>
          </w:p>
        </w:tc>
        <w:tc>
          <w:tcPr>
            <w:tcW w:w="2127" w:type="dxa"/>
          </w:tcPr>
          <w:p w14:paraId="15C94EC8" w14:textId="77777777" w:rsidR="00BB1229" w:rsidRPr="00F85A5B" w:rsidRDefault="00BB1229" w:rsidP="00BB1229">
            <w:pPr>
              <w:pStyle w:val="BodyText"/>
              <w:rPr>
                <w:rFonts w:eastAsia="SimSun"/>
                <w:lang w:val="en-US"/>
              </w:rPr>
            </w:pPr>
          </w:p>
        </w:tc>
        <w:tc>
          <w:tcPr>
            <w:tcW w:w="5811" w:type="dxa"/>
          </w:tcPr>
          <w:p w14:paraId="66E000DB" w14:textId="77777777" w:rsidR="00BB1229" w:rsidRPr="00F85A5B" w:rsidRDefault="00BB1229" w:rsidP="00BB1229">
            <w:pPr>
              <w:pStyle w:val="BodyText"/>
              <w:rPr>
                <w:rFonts w:eastAsia="SimSun"/>
                <w:lang w:val="en-US"/>
              </w:rPr>
            </w:pPr>
          </w:p>
        </w:tc>
      </w:tr>
      <w:tr w:rsidR="00BB1229" w:rsidRPr="00F85A5B" w14:paraId="62A35504" w14:textId="77777777" w:rsidTr="00C342FF">
        <w:tc>
          <w:tcPr>
            <w:tcW w:w="1696" w:type="dxa"/>
          </w:tcPr>
          <w:p w14:paraId="6BFA4B6D" w14:textId="77777777" w:rsidR="00BB1229" w:rsidRPr="00F85A5B" w:rsidRDefault="00BB1229" w:rsidP="00BB1229">
            <w:pPr>
              <w:pStyle w:val="BodyText"/>
              <w:rPr>
                <w:rFonts w:eastAsia="Malgun Gothic"/>
                <w:bCs/>
                <w:lang w:val="en-US" w:eastAsia="ko-KR"/>
              </w:rPr>
            </w:pPr>
          </w:p>
        </w:tc>
        <w:tc>
          <w:tcPr>
            <w:tcW w:w="2127" w:type="dxa"/>
          </w:tcPr>
          <w:p w14:paraId="7C2C82D0" w14:textId="77777777" w:rsidR="00BB1229" w:rsidRPr="00F85A5B" w:rsidRDefault="00BB1229" w:rsidP="00BB1229">
            <w:pPr>
              <w:pStyle w:val="BodyText"/>
              <w:rPr>
                <w:rFonts w:eastAsia="SimSun"/>
                <w:lang w:val="en-US"/>
              </w:rPr>
            </w:pPr>
          </w:p>
        </w:tc>
        <w:tc>
          <w:tcPr>
            <w:tcW w:w="5811" w:type="dxa"/>
          </w:tcPr>
          <w:p w14:paraId="52A36D42" w14:textId="77777777" w:rsidR="00BB1229" w:rsidRPr="00F85A5B" w:rsidRDefault="00BB1229" w:rsidP="00BB1229">
            <w:pPr>
              <w:pStyle w:val="BodyText"/>
              <w:rPr>
                <w:rFonts w:eastAsia="SimSun"/>
                <w:lang w:val="en-US"/>
              </w:rPr>
            </w:pPr>
          </w:p>
        </w:tc>
      </w:tr>
      <w:tr w:rsidR="00BB1229" w:rsidRPr="00F85A5B" w14:paraId="1B281579" w14:textId="77777777" w:rsidTr="00C342FF">
        <w:tc>
          <w:tcPr>
            <w:tcW w:w="1696" w:type="dxa"/>
          </w:tcPr>
          <w:p w14:paraId="2F0164B4" w14:textId="77777777" w:rsidR="00BB1229" w:rsidRPr="00F85A5B" w:rsidRDefault="00BB1229" w:rsidP="00BB1229">
            <w:pPr>
              <w:pStyle w:val="BodyText"/>
              <w:rPr>
                <w:rFonts w:eastAsia="Malgun Gothic"/>
                <w:bCs/>
                <w:lang w:val="en-US" w:eastAsia="ko-KR"/>
              </w:rPr>
            </w:pPr>
          </w:p>
        </w:tc>
        <w:tc>
          <w:tcPr>
            <w:tcW w:w="2127" w:type="dxa"/>
          </w:tcPr>
          <w:p w14:paraId="63811698" w14:textId="77777777" w:rsidR="00BB1229" w:rsidRPr="00F85A5B" w:rsidRDefault="00BB1229" w:rsidP="00BB1229">
            <w:pPr>
              <w:pStyle w:val="BodyText"/>
              <w:rPr>
                <w:rFonts w:eastAsia="SimSun"/>
                <w:lang w:val="en-US"/>
              </w:rPr>
            </w:pPr>
          </w:p>
        </w:tc>
        <w:tc>
          <w:tcPr>
            <w:tcW w:w="5811" w:type="dxa"/>
          </w:tcPr>
          <w:p w14:paraId="6A4CB0D0" w14:textId="77777777" w:rsidR="00BB1229" w:rsidRPr="00F85A5B" w:rsidRDefault="00BB1229" w:rsidP="00BB1229">
            <w:pPr>
              <w:pStyle w:val="BodyText"/>
              <w:rPr>
                <w:rFonts w:eastAsia="SimSun"/>
                <w:lang w:val="en-US"/>
              </w:rPr>
            </w:pPr>
          </w:p>
        </w:tc>
      </w:tr>
      <w:tr w:rsidR="00BB1229" w:rsidRPr="00F85A5B" w14:paraId="7CFB0A96" w14:textId="77777777" w:rsidTr="00C342FF">
        <w:tc>
          <w:tcPr>
            <w:tcW w:w="1696" w:type="dxa"/>
          </w:tcPr>
          <w:p w14:paraId="6BCC8ABC" w14:textId="77777777" w:rsidR="00BB1229" w:rsidRPr="00F85A5B" w:rsidRDefault="00BB1229" w:rsidP="00BB1229">
            <w:pPr>
              <w:pStyle w:val="BodyText"/>
              <w:rPr>
                <w:rFonts w:eastAsia="Malgun Gothic"/>
                <w:bCs/>
                <w:lang w:val="en-US" w:eastAsia="ko-KR"/>
              </w:rPr>
            </w:pPr>
          </w:p>
        </w:tc>
        <w:tc>
          <w:tcPr>
            <w:tcW w:w="2127" w:type="dxa"/>
          </w:tcPr>
          <w:p w14:paraId="20F34EF3" w14:textId="77777777" w:rsidR="00BB1229" w:rsidRPr="00F85A5B" w:rsidRDefault="00BB1229" w:rsidP="00BB1229">
            <w:pPr>
              <w:pStyle w:val="BodyText"/>
              <w:rPr>
                <w:rFonts w:eastAsia="SimSun"/>
                <w:lang w:val="en-US"/>
              </w:rPr>
            </w:pPr>
          </w:p>
        </w:tc>
        <w:tc>
          <w:tcPr>
            <w:tcW w:w="5811" w:type="dxa"/>
          </w:tcPr>
          <w:p w14:paraId="31289579" w14:textId="77777777" w:rsidR="00BB1229" w:rsidRPr="00F85A5B" w:rsidRDefault="00BB1229" w:rsidP="00BB1229">
            <w:pPr>
              <w:pStyle w:val="BodyText"/>
              <w:rPr>
                <w:rFonts w:eastAsia="SimSun"/>
                <w:lang w:val="en-US"/>
              </w:rPr>
            </w:pPr>
          </w:p>
        </w:tc>
      </w:tr>
      <w:tr w:rsidR="00BB1229" w:rsidRPr="00F85A5B" w14:paraId="7506E077" w14:textId="77777777" w:rsidTr="00C342FF">
        <w:tc>
          <w:tcPr>
            <w:tcW w:w="1696" w:type="dxa"/>
          </w:tcPr>
          <w:p w14:paraId="45D20F35" w14:textId="77777777" w:rsidR="00BB1229" w:rsidRPr="00F85A5B" w:rsidRDefault="00BB1229" w:rsidP="00BB1229">
            <w:pPr>
              <w:pStyle w:val="BodyText"/>
              <w:rPr>
                <w:rFonts w:eastAsia="Malgun Gothic"/>
                <w:bCs/>
                <w:lang w:val="en-US" w:eastAsia="ko-KR"/>
              </w:rPr>
            </w:pPr>
          </w:p>
        </w:tc>
        <w:tc>
          <w:tcPr>
            <w:tcW w:w="2127" w:type="dxa"/>
          </w:tcPr>
          <w:p w14:paraId="269E41B1" w14:textId="77777777" w:rsidR="00BB1229" w:rsidRPr="00F85A5B" w:rsidRDefault="00BB1229" w:rsidP="00BB1229">
            <w:pPr>
              <w:pStyle w:val="BodyText"/>
              <w:rPr>
                <w:rFonts w:eastAsia="SimSun"/>
                <w:lang w:val="en-US"/>
              </w:rPr>
            </w:pPr>
          </w:p>
        </w:tc>
        <w:tc>
          <w:tcPr>
            <w:tcW w:w="5811" w:type="dxa"/>
          </w:tcPr>
          <w:p w14:paraId="204AEA2F" w14:textId="77777777" w:rsidR="00BB1229" w:rsidRPr="00F85A5B" w:rsidRDefault="00BB1229" w:rsidP="00BB1229">
            <w:pPr>
              <w:pStyle w:val="BodyText"/>
              <w:rPr>
                <w:rFonts w:eastAsia="SimSun"/>
                <w:lang w:val="en-US"/>
              </w:rPr>
            </w:pP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lastRenderedPageBreak/>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xml:space="preserve">, Discussion on </w:t>
      </w:r>
      <w:proofErr w:type="spellStart"/>
      <w:proofErr w:type="gramStart"/>
      <w:r w:rsidRPr="00F85A5B">
        <w:t>eDRX</w:t>
      </w:r>
      <w:proofErr w:type="spellEnd"/>
      <w:r w:rsidRPr="00F85A5B">
        <w:t xml:space="preserve">  for</w:t>
      </w:r>
      <w:proofErr w:type="gramEnd"/>
      <w:r w:rsidRPr="00F85A5B">
        <w:t xml:space="preserve"> </w:t>
      </w:r>
      <w:proofErr w:type="spellStart"/>
      <w:r w:rsidRPr="00F85A5B">
        <w:t>RedCap</w:t>
      </w:r>
      <w:proofErr w:type="spellEnd"/>
      <w:r w:rsidRPr="00F85A5B">
        <w:t xml:space="preserve">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Inc, </w:t>
      </w:r>
      <w:proofErr w:type="spellStart"/>
      <w:r w:rsidRPr="00F85A5B">
        <w:t>FaceBook</w:t>
      </w:r>
      <w:proofErr w:type="spellEnd"/>
      <w:r w:rsidRPr="00F85A5B">
        <w:t xml:space="preserve">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xml:space="preserve">, Remaining issues for </w:t>
      </w:r>
      <w:proofErr w:type="spellStart"/>
      <w:r w:rsidRPr="00F85A5B">
        <w:t>eDRX</w:t>
      </w:r>
      <w:proofErr w:type="spellEnd"/>
      <w:r w:rsidRPr="00F85A5B">
        <w:t>,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5"/>
    </w:p>
    <w:p w14:paraId="713E7610" w14:textId="0A4BF2F5" w:rsidR="00062C65" w:rsidRPr="00F85A5B" w:rsidRDefault="009C66A0" w:rsidP="00062C65">
      <w:pPr>
        <w:pStyle w:val="Reference"/>
      </w:pPr>
      <w:hyperlink r:id="rId14">
        <w:r w:rsidR="00062C65" w:rsidRPr="00F85A5B">
          <w:rPr>
            <w:rStyle w:val="Hyperlink"/>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F85A5B"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10A668B"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4B31D021" w:rsidR="00F2616E" w:rsidRPr="00F85A5B" w:rsidRDefault="00F2616E" w:rsidP="00115DE5">
            <w:pPr>
              <w:jc w:val="center"/>
              <w:rPr>
                <w:sz w:val="22"/>
                <w:szCs w:val="22"/>
              </w:rPr>
            </w:pP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70CB332"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2E9A080B" w:rsidR="00F2616E" w:rsidRPr="00F85A5B" w:rsidRDefault="00F2616E" w:rsidP="00115DE5">
            <w:pPr>
              <w:jc w:val="center"/>
            </w:pP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4350B1" w:rsidR="00F2616E" w:rsidRPr="00F85A5B" w:rsidRDefault="00F2616E" w:rsidP="00866A1F">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D13E08A" w:rsidR="00F2616E" w:rsidRPr="00F85A5B" w:rsidRDefault="00F2616E" w:rsidP="00115DE5">
            <w:pPr>
              <w:jc w:val="center"/>
              <w:rPr>
                <w:rStyle w:val="Hyperlink"/>
              </w:rPr>
            </w:pP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A7B73BC" w:rsidR="00F2616E" w:rsidRPr="00F85A5B" w:rsidRDefault="00F2616E" w:rsidP="00115DE5">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15719D63" w:rsidR="00F2616E" w:rsidRPr="00F85A5B" w:rsidRDefault="00F2616E" w:rsidP="00115DE5">
            <w:pPr>
              <w:jc w:val="center"/>
              <w:rPr>
                <w:rStyle w:val="Hyperlink"/>
                <w:color w:val="000000" w:themeColor="text1"/>
              </w:rPr>
            </w:pP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Hyperlink"/>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Hyperlink"/>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Hyperlink"/>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Hyperlink"/>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Hyperlink"/>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Hyperlink"/>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580CE" w14:textId="77777777" w:rsidR="00AA4072" w:rsidRDefault="00AA4072" w:rsidP="00796430">
      <w:r>
        <w:separator/>
      </w:r>
    </w:p>
  </w:endnote>
  <w:endnote w:type="continuationSeparator" w:id="0">
    <w:p w14:paraId="3DB7158B" w14:textId="77777777" w:rsidR="00AA4072" w:rsidRDefault="00AA4072" w:rsidP="00796430">
      <w:r>
        <w:continuationSeparator/>
      </w:r>
    </w:p>
  </w:endnote>
  <w:endnote w:type="continuationNotice" w:id="1">
    <w:p w14:paraId="3E176E26" w14:textId="77777777" w:rsidR="00AA4072" w:rsidRDefault="00AA4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D52064" w:rsidRDefault="00D520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83325" w14:textId="77777777" w:rsidR="00AA4072" w:rsidRDefault="00AA4072" w:rsidP="00796430">
      <w:r>
        <w:separator/>
      </w:r>
    </w:p>
  </w:footnote>
  <w:footnote w:type="continuationSeparator" w:id="0">
    <w:p w14:paraId="7748BA2B" w14:textId="77777777" w:rsidR="00AA4072" w:rsidRDefault="00AA4072" w:rsidP="00796430">
      <w:r>
        <w:continuationSeparator/>
      </w:r>
    </w:p>
  </w:footnote>
  <w:footnote w:type="continuationNotice" w:id="1">
    <w:p w14:paraId="73FB60FC" w14:textId="77777777" w:rsidR="00AA4072" w:rsidRDefault="00AA40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D52064" w:rsidRDefault="00D52064"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0453A"/>
    <w:multiLevelType w:val="multilevel"/>
    <w:tmpl w:val="281E86BE"/>
    <w:numStyleLink w:val="Recommendation"/>
  </w:abstractNum>
  <w:abstractNum w:abstractNumId="1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9"/>
  </w:num>
  <w:num w:numId="5">
    <w:abstractNumId w:val="19"/>
  </w:num>
  <w:num w:numId="6">
    <w:abstractNumId w:val="10"/>
  </w:num>
  <w:num w:numId="7">
    <w:abstractNumId w:val="4"/>
  </w:num>
  <w:num w:numId="8">
    <w:abstractNumId w:val="15"/>
  </w:num>
  <w:num w:numId="9">
    <w:abstractNumId w:val="17"/>
    <w:lvlOverride w:ilvl="0">
      <w:startOverride w:val="1"/>
    </w:lvlOverride>
  </w:num>
  <w:num w:numId="10">
    <w:abstractNumId w:val="3"/>
  </w:num>
  <w:num w:numId="11">
    <w:abstractNumId w:val="13"/>
  </w:num>
  <w:num w:numId="12">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7"/>
  </w:num>
  <w:num w:numId="15">
    <w:abstractNumId w:val="16"/>
  </w:num>
  <w:num w:numId="16">
    <w:abstractNumId w:val="18"/>
  </w:num>
  <w:num w:numId="17">
    <w:abstractNumId w:val="12"/>
  </w:num>
  <w:num w:numId="18">
    <w:abstractNumId w:val="8"/>
  </w:num>
  <w:num w:numId="19">
    <w:abstractNumId w:val="2"/>
  </w:num>
  <w:num w:numId="20">
    <w:abstractNumId w:val="5"/>
  </w:num>
  <w:num w:numId="21">
    <w:abstractNumId w:val="6"/>
  </w:num>
  <w:num w:numId="22">
    <w:abstractNumId w:val="22"/>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表段落,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1421</Words>
  <Characters>8755</Characters>
  <Application>Microsoft Office Word</Application>
  <DocSecurity>0</DocSecurity>
  <Lines>397</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10029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Tuomas Tirronen</cp:lastModifiedBy>
  <cp:revision>2</cp:revision>
  <cp:lastPrinted>2016-09-19T16:11:00Z</cp:lastPrinted>
  <dcterms:created xsi:type="dcterms:W3CDTF">2021-05-21T10:14:00Z</dcterms:created>
  <dcterms:modified xsi:type="dcterms:W3CDTF">2021-05-21T10:14:00Z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