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2"/>
        <w:tabs>
          <w:tab w:val="right" w:pos="9639"/>
          <w:tab w:val="right" w:pos="13323"/>
        </w:tabs>
        <w:spacing w:after="0"/>
        <w:rPr>
          <w:rFonts w:hint="default"/>
          <w:b/>
          <w:sz w:val="24"/>
          <w:lang w:val="en-US" w:eastAsia="zh-CN"/>
        </w:rPr>
      </w:pPr>
      <w:r>
        <w:rPr>
          <w:b/>
          <w:bCs/>
          <w:sz w:val="24"/>
          <w:lang w:eastAsia="zh-CN"/>
        </w:rPr>
        <w:t>3GPP</w:t>
      </w:r>
      <w:r>
        <w:rPr>
          <w:rFonts w:cs="黑体"/>
          <w:b/>
          <w:sz w:val="24"/>
          <w:szCs w:val="24"/>
        </w:rPr>
        <w:t xml:space="preserve"> TSG-RAN2 Meeting #1</w:t>
      </w:r>
      <w:r>
        <w:rPr>
          <w:rFonts w:hint="eastAsia" w:cs="黑体"/>
          <w:b/>
          <w:sz w:val="24"/>
          <w:szCs w:val="24"/>
          <w:lang w:val="en-US" w:eastAsia="zh-CN"/>
        </w:rPr>
        <w:t>13bis</w:t>
      </w:r>
      <w:r>
        <w:rPr>
          <w:rFonts w:hint="eastAsia" w:cs="黑体"/>
          <w:b/>
          <w:sz w:val="24"/>
          <w:szCs w:val="24"/>
          <w:lang w:eastAsia="zh-CN"/>
        </w:rPr>
        <w:t xml:space="preserve"> </w:t>
      </w:r>
      <w:r>
        <w:rPr>
          <w:rFonts w:cs="黑体"/>
          <w:b/>
          <w:sz w:val="24"/>
          <w:szCs w:val="24"/>
          <w:lang w:eastAsia="zh-CN"/>
        </w:rPr>
        <w:t>electronic</w:t>
      </w:r>
      <w:r>
        <w:rPr>
          <w:b/>
          <w:sz w:val="24"/>
        </w:rPr>
        <w:tab/>
      </w:r>
      <w:r>
        <w:rPr>
          <w:b/>
          <w:sz w:val="24"/>
        </w:rPr>
        <w:t>R2-2</w:t>
      </w:r>
      <w:r>
        <w:rPr>
          <w:rFonts w:hint="eastAsia"/>
          <w:b/>
          <w:sz w:val="24"/>
          <w:lang w:val="en-US" w:eastAsia="zh-CN"/>
        </w:rPr>
        <w:t>204549(</w:t>
      </w:r>
      <w:r>
        <w:rPr>
          <w:rFonts w:hint="eastAsia"/>
          <w:b/>
          <w:sz w:val="18"/>
          <w:szCs w:val="18"/>
          <w:lang w:val="en-US" w:eastAsia="zh-CN"/>
        </w:rPr>
        <w:t>revision of R2-2104251</w:t>
      </w:r>
      <w:r>
        <w:rPr>
          <w:rFonts w:hint="eastAsia"/>
          <w:b/>
          <w:sz w:val="24"/>
          <w:lang w:val="en-US" w:eastAsia="zh-CN"/>
        </w:rPr>
        <w:t>)</w:t>
      </w:r>
    </w:p>
    <w:p>
      <w:pPr>
        <w:pStyle w:val="82"/>
        <w:tabs>
          <w:tab w:val="right" w:pos="9639"/>
        </w:tabs>
        <w:spacing w:after="0"/>
        <w:jc w:val="both"/>
        <w:rPr>
          <w:b/>
          <w:sz w:val="24"/>
          <w:szCs w:val="22"/>
          <w:lang w:val="en-US"/>
        </w:rPr>
      </w:pPr>
      <w:r>
        <w:rPr>
          <w:b/>
          <w:sz w:val="24"/>
          <w:szCs w:val="22"/>
          <w:lang w:val="de-DE" w:eastAsia="zh-CN"/>
        </w:rPr>
        <w:t xml:space="preserve">Online, </w:t>
      </w:r>
      <w:r>
        <w:rPr>
          <w:rFonts w:hint="eastAsia"/>
          <w:b/>
          <w:sz w:val="24"/>
          <w:szCs w:val="22"/>
          <w:lang w:val="en-US" w:eastAsia="zh-CN"/>
        </w:rPr>
        <w:t>April</w:t>
      </w:r>
      <w:r>
        <w:rPr>
          <w:b/>
          <w:sz w:val="24"/>
          <w:szCs w:val="22"/>
          <w:lang w:val="de-DE" w:eastAsia="zh-CN"/>
        </w:rPr>
        <w:t xml:space="preserve"> </w:t>
      </w:r>
      <w:r>
        <w:rPr>
          <w:rFonts w:hint="eastAsia"/>
          <w:b/>
          <w:sz w:val="24"/>
          <w:szCs w:val="22"/>
          <w:lang w:val="en-US" w:eastAsia="zh-CN"/>
        </w:rPr>
        <w:t>12</w:t>
      </w:r>
      <w:r>
        <w:rPr>
          <w:b/>
          <w:sz w:val="24"/>
          <w:szCs w:val="22"/>
          <w:lang w:val="de-DE" w:eastAsia="zh-CN"/>
        </w:rPr>
        <w:t xml:space="preserve">th - </w:t>
      </w:r>
      <w:r>
        <w:rPr>
          <w:rFonts w:hint="eastAsia"/>
          <w:b/>
          <w:sz w:val="24"/>
          <w:szCs w:val="22"/>
          <w:lang w:val="en-US" w:eastAsia="zh-CN"/>
        </w:rPr>
        <w:t>April 20</w:t>
      </w:r>
      <w:r>
        <w:rPr>
          <w:b/>
          <w:sz w:val="24"/>
          <w:szCs w:val="22"/>
          <w:lang w:val="de-DE" w:eastAsia="zh-CN"/>
        </w:rPr>
        <w:t>th, 202</w:t>
      </w:r>
      <w:r>
        <w:rPr>
          <w:rFonts w:hint="eastAsia"/>
          <w:b/>
          <w:sz w:val="24"/>
          <w:szCs w:val="22"/>
          <w:lang w:val="en-US" w:eastAsia="zh-CN"/>
        </w:rPr>
        <w:t>1</w:t>
      </w:r>
    </w:p>
    <w:tbl>
      <w:tblPr>
        <w:tblStyle w:val="42"/>
        <w:tblW w:w="9641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82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CR-Form-v12.0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82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42" w:type="dxa"/>
            <w:tcBorders>
              <w:left w:val="single" w:color="auto" w:sz="4" w:space="0"/>
            </w:tcBorders>
          </w:tcPr>
          <w:p>
            <w:pPr>
              <w:pStyle w:val="82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>
            <w:pPr>
              <w:pStyle w:val="82"/>
              <w:spacing w:after="0"/>
              <w:jc w:val="right"/>
              <w:rPr>
                <w:b/>
                <w:sz w:val="28"/>
                <w:lang w:val="en-US" w:eastAsia="zh-CN"/>
              </w:rPr>
            </w:pPr>
            <w:r>
              <w:rPr>
                <w:b/>
                <w:sz w:val="28"/>
              </w:rPr>
              <w:t>38.3</w:t>
            </w:r>
            <w:r>
              <w:rPr>
                <w:rFonts w:hint="eastAsia"/>
                <w:b/>
                <w:sz w:val="28"/>
                <w:lang w:val="en-US" w:eastAsia="zh-CN"/>
              </w:rPr>
              <w:t>06</w:t>
            </w:r>
          </w:p>
        </w:tc>
        <w:tc>
          <w:tcPr>
            <w:tcW w:w="709" w:type="dxa"/>
          </w:tcPr>
          <w:p>
            <w:pPr>
              <w:pStyle w:val="82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>
            <w:pPr>
              <w:pStyle w:val="82"/>
              <w:spacing w:after="0"/>
              <w:jc w:val="center"/>
              <w:rPr>
                <w:b/>
                <w:lang w:val="en-US" w:eastAsia="zh-CN"/>
              </w:rPr>
            </w:pPr>
            <w:r>
              <w:rPr>
                <w:rFonts w:hint="eastAsia"/>
                <w:b/>
                <w:sz w:val="28"/>
              </w:rPr>
              <w:t>0568</w:t>
            </w:r>
          </w:p>
        </w:tc>
        <w:tc>
          <w:tcPr>
            <w:tcW w:w="709" w:type="dxa"/>
          </w:tcPr>
          <w:p>
            <w:pPr>
              <w:pStyle w:val="82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>
            <w:pPr>
              <w:pStyle w:val="82"/>
              <w:spacing w:after="0"/>
              <w:jc w:val="center"/>
              <w:rPr>
                <w:b/>
                <w:lang w:eastAsia="zh-CN"/>
              </w:rPr>
            </w:pPr>
            <w:r>
              <w:rPr>
                <w:rFonts w:hint="eastAsia"/>
                <w:b/>
                <w:sz w:val="28"/>
                <w:lang w:val="en-US" w:eastAsia="zh-CN"/>
              </w:rPr>
              <w:t>1</w:t>
            </w:r>
          </w:p>
        </w:tc>
        <w:tc>
          <w:tcPr>
            <w:tcW w:w="2410" w:type="dxa"/>
          </w:tcPr>
          <w:p>
            <w:pPr>
              <w:pStyle w:val="82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>
            <w:pPr>
              <w:pStyle w:val="82"/>
              <w:spacing w:after="0"/>
              <w:jc w:val="center"/>
              <w:rPr>
                <w:sz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lang w:val="en-US" w:eastAsia="zh-CN"/>
              </w:rPr>
              <w:t>16</w:t>
            </w:r>
            <w:r>
              <w:rPr>
                <w:b/>
                <w:sz w:val="28"/>
              </w:rPr>
              <w:t>.</w:t>
            </w:r>
            <w:r>
              <w:rPr>
                <w:rFonts w:hint="eastAsia"/>
                <w:b/>
                <w:sz w:val="28"/>
                <w:lang w:val="en-US" w:eastAsia="zh-CN"/>
              </w:rPr>
              <w:t>4</w:t>
            </w:r>
            <w:r>
              <w:rPr>
                <w:b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color="auto" w:sz="4" w:space="0"/>
            </w:tcBorders>
          </w:tcPr>
          <w:p>
            <w:pPr>
              <w:pStyle w:val="82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82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</w:tcBorders>
          </w:tcPr>
          <w:p>
            <w:pPr>
              <w:pStyle w:val="82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r>
              <w:fldChar w:fldCharType="begin"/>
            </w:r>
            <w:r>
              <w:instrText xml:space="preserve"> HYPERLINK "http://www.3gpp.org/3G_Specs/CRs.htm" \l "_blank" </w:instrText>
            </w:r>
            <w:r>
              <w:fldChar w:fldCharType="separate"/>
            </w:r>
            <w:r>
              <w:rPr>
                <w:rStyle w:val="46"/>
                <w:rFonts w:cs="Arial"/>
                <w:b/>
                <w:i/>
                <w:color w:val="FF0000"/>
              </w:rPr>
              <w:t>HE</w:t>
            </w:r>
            <w:bookmarkStart w:id="0" w:name="_Hlt497126619"/>
            <w:r>
              <w:rPr>
                <w:rStyle w:val="46"/>
                <w:rFonts w:cs="Arial"/>
                <w:b/>
                <w:i/>
                <w:color w:val="FF0000"/>
              </w:rPr>
              <w:t>L</w:t>
            </w:r>
            <w:bookmarkEnd w:id="0"/>
            <w:r>
              <w:rPr>
                <w:rStyle w:val="46"/>
                <w:rFonts w:cs="Arial"/>
                <w:b/>
                <w:i/>
                <w:color w:val="FF0000"/>
              </w:rPr>
              <w:t>P</w:t>
            </w:r>
            <w:r>
              <w:rPr>
                <w:rStyle w:val="46"/>
                <w:rFonts w:cs="Arial"/>
                <w:b/>
                <w:i/>
                <w:color w:val="FF0000"/>
              </w:rPr>
              <w:fldChar w:fldCharType="end"/>
            </w:r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 w:type="textWrapping"/>
            </w:r>
            <w:r>
              <w:fldChar w:fldCharType="begin"/>
            </w:r>
            <w:r>
              <w:instrText xml:space="preserve"> HYPERLINK "http://www.3gpp.org/Change-Requests" </w:instrText>
            </w:r>
            <w:r>
              <w:fldChar w:fldCharType="separate"/>
            </w:r>
            <w:r>
              <w:rPr>
                <w:rStyle w:val="46"/>
                <w:rFonts w:cs="Arial"/>
                <w:i/>
              </w:rPr>
              <w:t>http://www.3gpp.org/Change-Requests</w:t>
            </w:r>
            <w:r>
              <w:rPr>
                <w:rStyle w:val="46"/>
                <w:rFonts w:cs="Arial"/>
                <w:i/>
              </w:rPr>
              <w:fldChar w:fldCharType="end"/>
            </w:r>
            <w:r>
              <w:rPr>
                <w:rFonts w:cs="Arial"/>
                <w:i/>
              </w:rPr>
              <w:t>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</w:tbl>
    <w:p>
      <w:pPr>
        <w:rPr>
          <w:sz w:val="8"/>
          <w:szCs w:val="8"/>
        </w:rPr>
      </w:pPr>
    </w:p>
    <w:tbl>
      <w:tblPr>
        <w:tblStyle w:val="42"/>
        <w:tblW w:w="9639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835" w:type="dxa"/>
          </w:tcPr>
          <w:p>
            <w:pPr>
              <w:pStyle w:val="82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>
            <w:pPr>
              <w:pStyle w:val="82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pct25" w:color="FFFF00" w:fill="auto"/>
          </w:tcPr>
          <w:p>
            <w:pPr>
              <w:pStyle w:val="82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color="auto" w:sz="4" w:space="0"/>
            </w:tcBorders>
          </w:tcPr>
          <w:p>
            <w:pPr>
              <w:pStyle w:val="82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>
            <w:pPr>
              <w:pStyle w:val="82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126" w:type="dxa"/>
          </w:tcPr>
          <w:p>
            <w:pPr>
              <w:pStyle w:val="82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25" w:color="FFFF00" w:fill="auto"/>
          </w:tcPr>
          <w:p>
            <w:pPr>
              <w:pStyle w:val="82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>
            <w:pPr>
              <w:pStyle w:val="82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>
            <w:pPr>
              <w:pStyle w:val="82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>
      <w:pPr>
        <w:rPr>
          <w:sz w:val="8"/>
          <w:szCs w:val="8"/>
        </w:rPr>
      </w:pPr>
    </w:p>
    <w:tbl>
      <w:tblPr>
        <w:tblStyle w:val="42"/>
        <w:tblW w:w="9744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843"/>
        <w:gridCol w:w="240"/>
        <w:gridCol w:w="104"/>
        <w:gridCol w:w="791"/>
        <w:gridCol w:w="284"/>
        <w:gridCol w:w="104"/>
        <w:gridCol w:w="463"/>
        <w:gridCol w:w="1700"/>
        <w:gridCol w:w="567"/>
        <w:gridCol w:w="143"/>
        <w:gridCol w:w="104"/>
        <w:gridCol w:w="177"/>
        <w:gridCol w:w="993"/>
        <w:gridCol w:w="2127"/>
        <w:gridCol w:w="104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gridAfter w:val="1"/>
          <w:wAfter w:w="104" w:type="dxa"/>
        </w:trPr>
        <w:tc>
          <w:tcPr>
            <w:tcW w:w="9640" w:type="dxa"/>
            <w:gridSpan w:val="14"/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gridAfter w:val="1"/>
          <w:wAfter w:w="104" w:type="dxa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82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3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ind w:left="100"/>
              <w:rPr>
                <w:lang w:val="en-US" w:eastAsia="zh-CN"/>
              </w:rPr>
            </w:pPr>
            <w:r>
              <w:rPr>
                <w:rFonts w:hint="eastAsia"/>
              </w:rPr>
              <w:t>CR on the 35M45M supporting-R1</w:t>
            </w:r>
            <w:r>
              <w:rPr>
                <w:rFonts w:hint="eastAsia"/>
                <w:lang w:val="en-US" w:eastAsia="zh-CN"/>
              </w:rPr>
              <w:t>6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gridAfter w:val="1"/>
          <w:wAfter w:w="104" w:type="dxa"/>
        </w:trPr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2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3"/>
            <w:tcBorders>
              <w:right w:val="single" w:color="auto" w:sz="4" w:space="0"/>
            </w:tcBorders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gridAfter w:val="1"/>
          <w:wAfter w:w="104" w:type="dxa"/>
        </w:trPr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2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ind w:left="100"/>
            </w:pPr>
            <w:r>
              <w:t>ZTE Corporation, Sanechips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gridAfter w:val="1"/>
          <w:wAfter w:w="104" w:type="dxa"/>
        </w:trPr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2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ind w:left="100"/>
            </w:pPr>
            <w:r>
              <w:t>RAN2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gridAfter w:val="1"/>
          <w:wAfter w:w="104" w:type="dxa"/>
        </w:trPr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2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3"/>
            <w:tcBorders>
              <w:right w:val="single" w:color="auto" w:sz="4" w:space="0"/>
            </w:tcBorders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gridAfter w:val="1"/>
          <w:wAfter w:w="104" w:type="dxa"/>
        </w:trPr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2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7"/>
            <w:shd w:val="pct30" w:color="FFFF00" w:fill="auto"/>
          </w:tcPr>
          <w:p>
            <w:pPr>
              <w:pStyle w:val="82"/>
              <w:spacing w:after="0"/>
              <w:ind w:left="100"/>
            </w:pPr>
            <w:r>
              <w:t>NR_newRAT-Core</w:t>
            </w:r>
          </w:p>
        </w:tc>
        <w:tc>
          <w:tcPr>
            <w:tcW w:w="567" w:type="dxa"/>
            <w:tcBorders>
              <w:left w:val="nil"/>
            </w:tcBorders>
          </w:tcPr>
          <w:p>
            <w:pPr>
              <w:pStyle w:val="82"/>
              <w:spacing w:after="0"/>
              <w:ind w:right="100"/>
            </w:pPr>
          </w:p>
        </w:tc>
        <w:tc>
          <w:tcPr>
            <w:tcW w:w="1417" w:type="dxa"/>
            <w:gridSpan w:val="4"/>
            <w:tcBorders>
              <w:left w:val="nil"/>
            </w:tcBorders>
          </w:tcPr>
          <w:p>
            <w:pPr>
              <w:pStyle w:val="82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ind w:left="100"/>
              <w:rPr>
                <w:lang w:val="en-US" w:eastAsia="zh-CN"/>
              </w:rPr>
            </w:pPr>
            <w:r>
              <w:t>202</w:t>
            </w:r>
            <w:r>
              <w:rPr>
                <w:rFonts w:hint="eastAsia"/>
                <w:lang w:val="en-US" w:eastAsia="zh-CN"/>
              </w:rPr>
              <w:t>1</w:t>
            </w:r>
            <w:r>
              <w:t>-</w:t>
            </w:r>
            <w:r>
              <w:rPr>
                <w:rFonts w:hint="eastAsia"/>
                <w:lang w:val="en-US" w:eastAsia="zh-CN"/>
              </w:rPr>
              <w:t>4</w:t>
            </w:r>
            <w:r>
              <w:t>-</w:t>
            </w: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gridAfter w:val="1"/>
          <w:wAfter w:w="104" w:type="dxa"/>
        </w:trPr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2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6"/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4"/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color="auto" w:sz="4" w:space="0"/>
            </w:tcBorders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gridAfter w:val="1"/>
          <w:wAfter w:w="104" w:type="dxa"/>
          <w:cantSplit/>
        </w:trPr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2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240" w:type="dxa"/>
            <w:shd w:val="pct30" w:color="FFFF00" w:fill="auto"/>
          </w:tcPr>
          <w:p>
            <w:pPr>
              <w:pStyle w:val="82"/>
              <w:spacing w:after="0"/>
              <w:ind w:right="-609"/>
              <w:rPr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 xml:space="preserve">A </w:t>
            </w:r>
          </w:p>
        </w:tc>
        <w:tc>
          <w:tcPr>
            <w:tcW w:w="4013" w:type="dxa"/>
            <w:gridSpan w:val="7"/>
            <w:tcBorders>
              <w:left w:val="nil"/>
            </w:tcBorders>
          </w:tcPr>
          <w:p>
            <w:pPr>
              <w:pStyle w:val="82"/>
              <w:spacing w:after="0"/>
            </w:pPr>
          </w:p>
        </w:tc>
        <w:tc>
          <w:tcPr>
            <w:tcW w:w="1417" w:type="dxa"/>
            <w:gridSpan w:val="4"/>
            <w:tcBorders>
              <w:left w:val="nil"/>
            </w:tcBorders>
          </w:tcPr>
          <w:p>
            <w:pPr>
              <w:pStyle w:val="82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ind w:left="100"/>
              <w:rPr>
                <w:lang w:val="en-US" w:eastAsia="zh-CN"/>
              </w:rPr>
            </w:pPr>
            <w:r>
              <w:t>Rel-1</w:t>
            </w:r>
            <w:r>
              <w:rPr>
                <w:rFonts w:hint="eastAsia"/>
                <w:lang w:val="en-US" w:eastAsia="zh-CN"/>
              </w:rPr>
              <w:t>6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gridAfter w:val="1"/>
          <w:wAfter w:w="104" w:type="dxa"/>
        </w:trPr>
        <w:tc>
          <w:tcPr>
            <w:tcW w:w="1843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82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11"/>
            <w:tcBorders>
              <w:bottom w:val="single" w:color="auto" w:sz="4" w:space="0"/>
            </w:tcBorders>
          </w:tcPr>
          <w:p>
            <w:pPr>
              <w:pStyle w:val="82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release)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>
            <w:pPr>
              <w:pStyle w:val="82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t xml:space="preserve">be found in 3GPP </w:t>
            </w:r>
            <w:r>
              <w:fldChar w:fldCharType="begin"/>
            </w:r>
            <w:r>
              <w:instrText xml:space="preserve"> HYPERLINK "http://www.3gpp.org/ftp/Specs/html-info/21900.htm" </w:instrText>
            </w:r>
            <w:r>
              <w:fldChar w:fldCharType="separate"/>
            </w:r>
            <w:r>
              <w:rPr>
                <w:rStyle w:val="46"/>
                <w:sz w:val="18"/>
              </w:rPr>
              <w:t>TR 21.900</w:t>
            </w:r>
            <w:r>
              <w:rPr>
                <w:rStyle w:val="46"/>
                <w:sz w:val="18"/>
              </w:rPr>
              <w:fldChar w:fldCharType="end"/>
            </w:r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pStyle w:val="82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Rel-8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8)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Rel-9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9)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Rel-10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10)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Rel-11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11)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Rel-12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12)</w:t>
            </w:r>
            <w:r>
              <w:rPr>
                <w:i/>
                <w:sz w:val="18"/>
              </w:rPr>
              <w:br w:type="textWrapping"/>
            </w:r>
            <w:bookmarkStart w:id="1" w:name="OLE_LINK1"/>
            <w:r>
              <w:rPr>
                <w:i/>
                <w:sz w:val="18"/>
              </w:rPr>
              <w:t>Rel-13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13)</w:t>
            </w:r>
            <w:bookmarkEnd w:id="1"/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Rel-14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14)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Rel-15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15)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Rel-16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16)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gridAfter w:val="1"/>
          <w:wAfter w:w="104" w:type="dxa"/>
        </w:trPr>
        <w:tc>
          <w:tcPr>
            <w:tcW w:w="1843" w:type="dxa"/>
          </w:tcPr>
          <w:p>
            <w:pPr>
              <w:pStyle w:val="82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3"/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gridAfter w:val="1"/>
          <w:wAfter w:w="104" w:type="dxa"/>
        </w:trPr>
        <w:tc>
          <w:tcPr>
            <w:tcW w:w="2083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7557" w:type="dxa"/>
            <w:gridSpan w:val="12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rPr>
                <w:lang w:val="en-US" w:eastAsia="zh-CN"/>
              </w:rPr>
            </w:pPr>
            <w:r>
              <w:rPr>
                <w:rFonts w:ascii="Arial" w:hAnsi="Arial" w:cs="Arial"/>
                <w:lang w:val="en-US" w:eastAsia="zh-CN"/>
              </w:rPr>
              <w:t xml:space="preserve">With the current spec, to indicate supporting of 35M/45M, the UE has to report a </w:t>
            </w:r>
            <w:r>
              <w:rPr>
                <w:rFonts w:ascii="Arial" w:hAnsi="Arial" w:cs="Arial"/>
                <w:lang w:eastAsia="en-GB"/>
              </w:rPr>
              <w:t>SupportedBandwidth</w:t>
            </w:r>
            <w:r>
              <w:rPr>
                <w:rFonts w:ascii="Arial" w:hAnsi="Arial" w:cs="Arial"/>
                <w:lang w:val="en-US" w:eastAsia="zh-CN"/>
              </w:rPr>
              <w:t xml:space="preserve"> wider than channelBW_UL/DL and this </w:t>
            </w:r>
            <w:r>
              <w:rPr>
                <w:rFonts w:ascii="Arial" w:hAnsi="Arial" w:cs="Arial"/>
                <w:lang w:eastAsia="en-GB"/>
              </w:rPr>
              <w:t>SupportedBandwidth</w:t>
            </w:r>
            <w:r>
              <w:rPr>
                <w:rFonts w:ascii="Arial" w:hAnsi="Arial" w:cs="Arial"/>
                <w:lang w:val="en-US" w:eastAsia="zh-CN"/>
              </w:rPr>
              <w:t xml:space="preserve"> may even not be included in the </w:t>
            </w:r>
            <w:r>
              <w:rPr>
                <w:rFonts w:ascii="Arial" w:hAnsi="Arial" w:cs="Arial"/>
              </w:rPr>
              <w:t xml:space="preserve">Table 5.3.5-1 </w:t>
            </w:r>
            <w:r>
              <w:rPr>
                <w:rFonts w:ascii="Arial" w:hAnsi="Arial" w:cs="Arial"/>
                <w:lang w:val="en-US" w:eastAsia="zh-CN"/>
              </w:rPr>
              <w:t xml:space="preserve">of </w:t>
            </w:r>
            <w:r>
              <w:rPr>
                <w:rFonts w:ascii="Arial" w:hAnsi="Arial" w:cs="Arial"/>
              </w:rPr>
              <w:t>TS 38.101-1</w:t>
            </w:r>
            <w:r>
              <w:rPr>
                <w:rFonts w:ascii="Arial" w:hAnsi="Arial" w:cs="Arial"/>
                <w:lang w:val="en-US" w:eastAsia="zh-CN"/>
              </w:rPr>
              <w:t xml:space="preserve"> for the corresponding band. However, it has been clearly specified that “</w:t>
            </w:r>
            <w:r>
              <w:rPr>
                <w:rFonts w:ascii="Arial" w:hAnsi="Arial" w:cs="Arial"/>
                <w:szCs w:val="21"/>
                <w:lang w:val="en-US" w:eastAsia="zh-CN"/>
              </w:rPr>
              <w:t xml:space="preserve">the </w:t>
            </w:r>
            <w:r>
              <w:rPr>
                <w:rFonts w:ascii="Arial" w:hAnsi="Arial" w:cs="Arial"/>
                <w:i/>
                <w:iCs/>
              </w:rPr>
              <w:t>supportedBandwidth</w:t>
            </w:r>
            <w:r>
              <w:rPr>
                <w:rFonts w:ascii="Arial" w:hAnsi="Arial" w:cs="Arial"/>
                <w:i/>
                <w:iCs/>
                <w:lang w:val="en-US" w:eastAsia="zh-CN"/>
              </w:rPr>
              <w:t xml:space="preserve">DL/UL </w:t>
            </w:r>
            <w:r>
              <w:rPr>
                <w:rFonts w:ascii="Arial" w:hAnsi="Arial" w:cs="Arial"/>
                <w:szCs w:val="21"/>
                <w:lang w:val="en-US" w:eastAsia="zh-CN"/>
              </w:rPr>
              <w:t>shall be defined in Table 5.3.5-1 in TS 38.101-1 for FR1 and Table 5.3.5-1 in TS 38.101-2 for FR2.”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gridAfter w:val="1"/>
          <w:wAfter w:w="104" w:type="dxa"/>
        </w:trPr>
        <w:tc>
          <w:tcPr>
            <w:tcW w:w="2083" w:type="dxa"/>
            <w:gridSpan w:val="2"/>
            <w:tcBorders>
              <w:left w:val="single" w:color="auto" w:sz="4" w:space="0"/>
            </w:tcBorders>
          </w:tcPr>
          <w:p>
            <w:pPr>
              <w:pStyle w:val="82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557" w:type="dxa"/>
            <w:gridSpan w:val="12"/>
            <w:tcBorders>
              <w:right w:val="single" w:color="auto" w:sz="4" w:space="0"/>
            </w:tcBorders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gridAfter w:val="1"/>
          <w:wAfter w:w="104" w:type="dxa"/>
        </w:trPr>
        <w:tc>
          <w:tcPr>
            <w:tcW w:w="2083" w:type="dxa"/>
            <w:gridSpan w:val="2"/>
            <w:tcBorders>
              <w:left w:val="single" w:color="auto" w:sz="4" w:space="0"/>
            </w:tcBorders>
          </w:tcPr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  <w:highlight w:val="yellow"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7557" w:type="dxa"/>
            <w:gridSpan w:val="12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rPr>
                <w:rFonts w:cs="Arial"/>
                <w:lang w:val="en-US" w:eastAsia="zh-CN"/>
              </w:rPr>
            </w:pPr>
            <w:r>
              <w:rPr>
                <w:rFonts w:cs="Arial"/>
                <w:lang w:val="en-US" w:eastAsia="zh-CN"/>
              </w:rPr>
              <w:t xml:space="preserve">Add a </w:t>
            </w:r>
            <w:r>
              <w:rPr>
                <w:rFonts w:hint="eastAsia" w:cs="Arial"/>
                <w:lang w:val="en-US" w:eastAsia="zh-CN"/>
              </w:rPr>
              <w:t xml:space="preserve">clarification </w:t>
            </w:r>
            <w:r>
              <w:rPr>
                <w:rFonts w:cs="Arial"/>
                <w:lang w:val="en-US" w:eastAsia="zh-CN"/>
              </w:rPr>
              <w:t xml:space="preserve">to the current field description of  </w:t>
            </w:r>
            <w:r>
              <w:rPr>
                <w:rFonts w:eastAsia="宋体" w:cs="Arial"/>
                <w:bCs/>
                <w:i/>
                <w:iCs/>
                <w:lang w:val="en-US" w:eastAsia="zh-CN"/>
              </w:rPr>
              <w:t xml:space="preserve">supportedBandwidthDL/UL as </w:t>
            </w:r>
            <w:r>
              <w:rPr>
                <w:rFonts w:eastAsia="宋体" w:cs="Arial"/>
                <w:bCs/>
                <w:lang w:val="en-US" w:eastAsia="zh-CN"/>
              </w:rPr>
              <w:t>below</w:t>
            </w:r>
            <w:r>
              <w:rPr>
                <w:rFonts w:hint="eastAsia" w:eastAsia="宋体" w:cs="Arial"/>
                <w:bCs/>
                <w:lang w:val="en-US" w:eastAsia="zh-CN"/>
              </w:rPr>
              <w:t>:</w:t>
            </w:r>
          </w:p>
          <w:p>
            <w:pPr>
              <w:pStyle w:val="82"/>
              <w:spacing w:after="0"/>
              <w:rPr>
                <w:rFonts w:cs="Arial"/>
                <w:lang w:val="en-US" w:eastAsia="zh-CN"/>
              </w:rPr>
            </w:pPr>
          </w:p>
          <w:p>
            <w:pPr>
              <w:keepNext/>
              <w:keepLines/>
              <w:spacing w:after="0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bookmarkStart w:id="8" w:name="_GoBack"/>
            <w:r>
              <w:rPr>
                <w:rFonts w:hint="default" w:ascii="Arial" w:hAnsi="Arial" w:eastAsia="宋体" w:cs="Arial"/>
                <w:color w:val="auto"/>
                <w:sz w:val="21"/>
                <w:szCs w:val="21"/>
                <w:shd w:val="clear" w:fill="FFFFFF"/>
                <w:lang w:val="en-US" w:eastAsia="en-US" w:bidi="ar"/>
              </w:rPr>
              <w:t xml:space="preserve">The UE may report a </w:t>
            </w:r>
            <w:r>
              <w:rPr>
                <w:rFonts w:hint="default" w:ascii="Arial" w:hAnsi="Arial" w:eastAsia="宋体" w:cs="Arial"/>
                <w:i/>
                <w:iCs w:val="0"/>
                <w:color w:val="auto"/>
                <w:sz w:val="21"/>
                <w:szCs w:val="21"/>
                <w:shd w:val="clear" w:fill="FFFFFF"/>
                <w:lang w:val="en-US" w:eastAsia="en-US" w:bidi="ar"/>
              </w:rPr>
              <w:t>supportedBandwidthDL</w:t>
            </w:r>
            <w:r>
              <w:rPr>
                <w:rFonts w:hint="eastAsia" w:ascii="Arial" w:hAnsi="Arial" w:eastAsia="宋体" w:cs="Arial"/>
                <w:i/>
                <w:iCs w:val="0"/>
                <w:color w:val="auto"/>
                <w:sz w:val="21"/>
                <w:szCs w:val="21"/>
                <w:shd w:val="clear" w:fill="FFFFFF"/>
                <w:lang w:val="en-US" w:eastAsia="zh-CN" w:bidi="ar"/>
              </w:rPr>
              <w:t>/UL</w:t>
            </w:r>
            <w:r>
              <w:rPr>
                <w:rFonts w:hint="default" w:ascii="Arial" w:hAnsi="Arial" w:eastAsia="宋体" w:cs="Arial"/>
                <w:color w:val="auto"/>
                <w:sz w:val="21"/>
                <w:szCs w:val="21"/>
                <w:shd w:val="clear" w:fill="FFFFFF"/>
                <w:lang w:val="en-US" w:eastAsia="en-US" w:bidi="ar"/>
              </w:rPr>
              <w:t xml:space="preserve"> wider than the </w:t>
            </w:r>
            <w:r>
              <w:rPr>
                <w:rFonts w:hint="default" w:ascii="Arial" w:hAnsi="Arial" w:eastAsia="宋体" w:cs="Arial"/>
                <w:i/>
                <w:iCs w:val="0"/>
                <w:color w:val="auto"/>
                <w:sz w:val="21"/>
                <w:szCs w:val="21"/>
                <w:shd w:val="clear" w:fill="FFFFFF"/>
                <w:lang w:val="en-US" w:eastAsia="en-US" w:bidi="ar"/>
              </w:rPr>
              <w:t>channelBW_DL</w:t>
            </w:r>
            <w:r>
              <w:rPr>
                <w:rFonts w:hint="eastAsia" w:ascii="Arial" w:hAnsi="Arial" w:eastAsia="宋体" w:cs="Arial"/>
                <w:i/>
                <w:iCs w:val="0"/>
                <w:color w:val="auto"/>
                <w:sz w:val="21"/>
                <w:szCs w:val="21"/>
                <w:shd w:val="clear" w:fill="FFFFFF"/>
                <w:lang w:val="en-US" w:eastAsia="zh-CN" w:bidi="ar"/>
              </w:rPr>
              <w:t>/UL</w:t>
            </w:r>
            <w:r>
              <w:rPr>
                <w:rFonts w:hint="default" w:ascii="Arial" w:hAnsi="Arial" w:eastAsia="宋体" w:cs="Arial"/>
                <w:color w:val="auto"/>
                <w:sz w:val="21"/>
                <w:szCs w:val="21"/>
                <w:shd w:val="clear" w:fill="FFFFFF"/>
                <w:lang w:val="en-US" w:eastAsia="en-US" w:bidi="ar"/>
              </w:rPr>
              <w:t xml:space="preserve">, this </w:t>
            </w:r>
            <w:r>
              <w:rPr>
                <w:rFonts w:hint="default" w:ascii="Arial" w:hAnsi="Arial" w:eastAsia="宋体" w:cs="Arial"/>
                <w:i/>
                <w:iCs w:val="0"/>
                <w:color w:val="auto"/>
                <w:sz w:val="21"/>
                <w:szCs w:val="21"/>
                <w:shd w:val="clear" w:fill="FFFFFF"/>
                <w:lang w:val="en-US" w:eastAsia="en-US" w:bidi="ar"/>
              </w:rPr>
              <w:t>supportedBandwidthDL</w:t>
            </w:r>
            <w:r>
              <w:rPr>
                <w:rFonts w:hint="eastAsia" w:ascii="Arial" w:hAnsi="Arial" w:eastAsia="宋体" w:cs="Arial"/>
                <w:i/>
                <w:iCs w:val="0"/>
                <w:color w:val="auto"/>
                <w:sz w:val="21"/>
                <w:szCs w:val="21"/>
                <w:shd w:val="clear" w:fill="FFFFFF"/>
                <w:lang w:val="en-US" w:eastAsia="zh-CN" w:bidi="ar"/>
              </w:rPr>
              <w:t>/UL</w:t>
            </w:r>
            <w:r>
              <w:rPr>
                <w:rFonts w:hint="default" w:ascii="Arial" w:hAnsi="Arial" w:eastAsia="宋体" w:cs="Arial"/>
                <w:color w:val="auto"/>
                <w:sz w:val="21"/>
                <w:szCs w:val="21"/>
                <w:shd w:val="clear" w:fill="FFFFFF"/>
                <w:lang w:val="en-US" w:eastAsia="en-US" w:bidi="ar"/>
              </w:rPr>
              <w:t> may not be included in the Table 5.3.5-1 of TS 38.101-1[2]/TS 38.101-2[3]</w:t>
            </w:r>
            <w:r>
              <w:rPr>
                <w:rStyle w:val="97"/>
                <w:rFonts w:hint="default" w:ascii="Arial" w:hAnsi="Arial" w:eastAsia="宋体" w:cs="Arial"/>
                <w:color w:val="auto"/>
                <w:sz w:val="21"/>
                <w:szCs w:val="21"/>
                <w:shd w:val="clear" w:fill="FFFFFF"/>
                <w:lang w:val="en-US" w:eastAsia="en-US" w:bidi="ar"/>
              </w:rPr>
              <w:t> </w:t>
            </w:r>
            <w:r>
              <w:rPr>
                <w:rFonts w:hint="default" w:ascii="Arial" w:hAnsi="Arial" w:eastAsia="宋体" w:cs="Arial"/>
                <w:color w:val="auto"/>
                <w:sz w:val="21"/>
                <w:szCs w:val="21"/>
                <w:lang w:eastAsia="zh-CN"/>
              </w:rPr>
              <w:t>for the case that the UE is unable to report the actual supported bandwidth according to the Table 5.3.5-1 of TS 38.101-1[2]/TS 38.101-2[3].</w:t>
            </w:r>
          </w:p>
          <w:bookmarkEnd w:id="8"/>
          <w:p>
            <w:pPr>
              <w:pStyle w:val="82"/>
              <w:spacing w:after="0"/>
              <w:ind w:left="100"/>
              <w:rPr>
                <w:lang w:val="en-US" w:eastAsia="zh-CN"/>
              </w:rPr>
            </w:pPr>
          </w:p>
          <w:p>
            <w:pPr>
              <w:pStyle w:val="82"/>
              <w:spacing w:after="0"/>
              <w:ind w:left="100"/>
              <w:rPr>
                <w:b/>
                <w:u w:val="single"/>
                <w:lang w:eastAsia="zh-CN"/>
              </w:rPr>
            </w:pPr>
            <w:r>
              <w:rPr>
                <w:rFonts w:hint="eastAsia"/>
                <w:b/>
                <w:u w:val="single"/>
                <w:lang w:eastAsia="zh-CN"/>
              </w:rPr>
              <w:t>Impact analysis</w:t>
            </w:r>
          </w:p>
          <w:p>
            <w:pPr>
              <w:pStyle w:val="82"/>
              <w:spacing w:after="0"/>
              <w:ind w:left="100"/>
              <w:rPr>
                <w:u w:val="single"/>
                <w:lang w:eastAsia="zh-CN"/>
              </w:rPr>
            </w:pPr>
            <w:r>
              <w:rPr>
                <w:rFonts w:hint="eastAsia"/>
                <w:u w:val="single"/>
                <w:lang w:eastAsia="zh-CN"/>
              </w:rPr>
              <w:t>I</w:t>
            </w:r>
            <w:r>
              <w:rPr>
                <w:u w:val="single"/>
                <w:lang w:eastAsia="zh-CN"/>
              </w:rPr>
              <w:t>mpacted 5G architecture options:</w:t>
            </w:r>
          </w:p>
          <w:p>
            <w:pPr>
              <w:pStyle w:val="82"/>
              <w:spacing w:after="0"/>
              <w:ind w:left="100"/>
              <w:rPr>
                <w:rFonts w:ascii="Times New Roman" w:hAnsi="Times New Roman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(NG)EN-DC, NE-DC, NR DC, NR SA</w:t>
            </w:r>
          </w:p>
          <w:p>
            <w:pPr>
              <w:pStyle w:val="82"/>
              <w:spacing w:after="0"/>
              <w:ind w:left="100"/>
              <w:rPr>
                <w:rFonts w:ascii="Times New Roman" w:hAnsi="Times New Roman"/>
                <w:lang w:val="en-US" w:eastAsia="zh-CN"/>
              </w:rPr>
            </w:pPr>
          </w:p>
          <w:p>
            <w:pPr>
              <w:pStyle w:val="82"/>
              <w:spacing w:after="0"/>
              <w:ind w:left="100"/>
              <w:rPr>
                <w:u w:val="single"/>
                <w:lang w:eastAsia="zh-CN"/>
              </w:rPr>
            </w:pPr>
            <w:r>
              <w:rPr>
                <w:rFonts w:hint="eastAsia"/>
                <w:u w:val="single"/>
                <w:lang w:eastAsia="zh-CN"/>
              </w:rPr>
              <w:t>Impacted functionality:</w:t>
            </w:r>
          </w:p>
          <w:p>
            <w:pPr>
              <w:pStyle w:val="82"/>
              <w:spacing w:after="0"/>
              <w:ind w:left="100"/>
              <w:rPr>
                <w:rFonts w:ascii="Times New Roman" w:hAnsi="Times New Roman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(NG)EN-DC/NE-DC, NR DC, NR SAConfiguration</w:t>
            </w:r>
          </w:p>
          <w:p>
            <w:pPr>
              <w:pStyle w:val="82"/>
              <w:spacing w:after="0"/>
              <w:ind w:left="100"/>
              <w:rPr>
                <w:u w:val="single"/>
                <w:lang w:eastAsia="zh-CN"/>
              </w:rPr>
            </w:pPr>
          </w:p>
          <w:p>
            <w:pPr>
              <w:pStyle w:val="82"/>
              <w:spacing w:after="0"/>
              <w:ind w:left="100"/>
              <w:rPr>
                <w:u w:val="single"/>
                <w:lang w:eastAsia="zh-CN"/>
              </w:rPr>
            </w:pPr>
            <w:r>
              <w:rPr>
                <w:u w:val="single"/>
                <w:lang w:eastAsia="zh-CN"/>
              </w:rPr>
              <w:t>Inter-operability:</w:t>
            </w:r>
          </w:p>
          <w:p>
            <w:pPr>
              <w:pStyle w:val="82"/>
              <w:numPr>
                <w:ilvl w:val="0"/>
                <w:numId w:val="1"/>
              </w:numPr>
              <w:tabs>
                <w:tab w:val="left" w:pos="384"/>
              </w:tabs>
              <w:spacing w:before="20" w:after="80"/>
              <w:ind w:left="384" w:hanging="284"/>
            </w:pPr>
            <w:r>
              <w:rPr>
                <w:rFonts w:eastAsia="Malgun Gothic"/>
              </w:rPr>
              <w:t xml:space="preserve">If UE </w:t>
            </w:r>
            <w:r>
              <w:rPr>
                <w:rFonts w:hint="eastAsia" w:eastAsia="宋体"/>
                <w:lang w:eastAsia="zh-CN"/>
              </w:rPr>
              <w:t>implements</w:t>
            </w:r>
            <w:r>
              <w:rPr>
                <w:rFonts w:eastAsia="Malgun Gothic"/>
              </w:rPr>
              <w:t xml:space="preserve"> according to the CR and the network does not, </w:t>
            </w:r>
            <w:r>
              <w:rPr>
                <w:rFonts w:hint="eastAsia" w:eastAsia="宋体"/>
                <w:lang w:val="en-US" w:eastAsia="zh-CN"/>
              </w:rPr>
              <w:t>the network may misunderstand the UE supported bandwidth.</w:t>
            </w:r>
          </w:p>
          <w:p>
            <w:pPr>
              <w:pStyle w:val="82"/>
              <w:numPr>
                <w:ilvl w:val="0"/>
                <w:numId w:val="1"/>
              </w:numPr>
              <w:tabs>
                <w:tab w:val="left" w:pos="384"/>
              </w:tabs>
              <w:spacing w:before="20" w:after="80"/>
              <w:ind w:left="384" w:hanging="284"/>
              <w:rPr>
                <w:rFonts w:eastAsia="宋体"/>
                <w:i/>
                <w:iCs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I</w:t>
            </w:r>
            <w:r>
              <w:rPr>
                <w:rFonts w:eastAsia="Malgun Gothic"/>
              </w:rPr>
              <w:t xml:space="preserve">f the network </w:t>
            </w:r>
            <w:r>
              <w:rPr>
                <w:rFonts w:hint="eastAsia" w:eastAsia="宋体"/>
                <w:lang w:eastAsia="zh-CN"/>
              </w:rPr>
              <w:t>implements</w:t>
            </w:r>
            <w:r>
              <w:rPr>
                <w:rFonts w:eastAsia="Malgun Gothic"/>
              </w:rPr>
              <w:t xml:space="preserve"> according to the CR and the UE does not,</w:t>
            </w:r>
            <w:r>
              <w:rPr>
                <w:rFonts w:hint="eastAsia" w:eastAsia="宋体"/>
                <w:lang w:val="en-US" w:eastAsia="zh-CN"/>
              </w:rPr>
              <w:t xml:space="preserve"> the UE is unable to report the bandwidth that wider t</w:t>
            </w:r>
            <w:r>
              <w:rPr>
                <w:rFonts w:hint="eastAsia" w:eastAsia="Malgun Gothic"/>
                <w:lang w:val="en-US" w:eastAsia="zh-CN"/>
              </w:rPr>
              <w:t>han the channelBW_UL/DL, thus can</w:t>
            </w:r>
            <w:r>
              <w:rPr>
                <w:rFonts w:eastAsia="Malgun Gothic"/>
                <w:lang w:val="en-US" w:eastAsia="zh-CN"/>
              </w:rPr>
              <w:t>’</w:t>
            </w:r>
            <w:r>
              <w:rPr>
                <w:rFonts w:hint="eastAsia" w:eastAsia="Malgun Gothic"/>
                <w:lang w:val="en-US" w:eastAsia="zh-CN"/>
              </w:rPr>
              <w:t>t support newly added 35M/45M.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gridAfter w:val="1"/>
          <w:wAfter w:w="104" w:type="dxa"/>
        </w:trPr>
        <w:tc>
          <w:tcPr>
            <w:tcW w:w="2083" w:type="dxa"/>
            <w:gridSpan w:val="2"/>
            <w:tcBorders>
              <w:left w:val="single" w:color="auto" w:sz="4" w:space="0"/>
            </w:tcBorders>
          </w:tcPr>
          <w:p>
            <w:pPr>
              <w:pStyle w:val="82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557" w:type="dxa"/>
            <w:gridSpan w:val="12"/>
            <w:tcBorders>
              <w:right w:val="single" w:color="auto" w:sz="4" w:space="0"/>
            </w:tcBorders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gridAfter w:val="1"/>
          <w:wAfter w:w="104" w:type="dxa"/>
        </w:trPr>
        <w:tc>
          <w:tcPr>
            <w:tcW w:w="2083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7557" w:type="dxa"/>
            <w:gridSpan w:val="12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ind w:left="100"/>
              <w:rPr>
                <w:rFonts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The UE is unable to report the bandwidth that wider t</w:t>
            </w:r>
            <w:r>
              <w:rPr>
                <w:rFonts w:hint="eastAsia" w:eastAsia="Malgun Gothic"/>
                <w:lang w:val="en-US" w:eastAsia="zh-CN"/>
              </w:rPr>
              <w:t>han the channelBW_UL/DL, thus can</w:t>
            </w:r>
            <w:r>
              <w:rPr>
                <w:rFonts w:eastAsia="Malgun Gothic"/>
                <w:lang w:val="en-US" w:eastAsia="zh-CN"/>
              </w:rPr>
              <w:t>’</w:t>
            </w:r>
            <w:r>
              <w:rPr>
                <w:rFonts w:hint="eastAsia" w:eastAsia="Malgun Gothic"/>
                <w:lang w:val="en-US" w:eastAsia="zh-CN"/>
              </w:rPr>
              <w:t>t support newly added 35M/45M feature.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gridAfter w:val="1"/>
          <w:wAfter w:w="104" w:type="dxa"/>
        </w:trPr>
        <w:tc>
          <w:tcPr>
            <w:tcW w:w="2083" w:type="dxa"/>
            <w:gridSpan w:val="2"/>
          </w:tcPr>
          <w:p>
            <w:pPr>
              <w:pStyle w:val="82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557" w:type="dxa"/>
            <w:gridSpan w:val="12"/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gridAfter w:val="1"/>
          <w:wAfter w:w="104" w:type="dxa"/>
          <w:trHeight w:val="215" w:hRule="atLeast"/>
        </w:trPr>
        <w:tc>
          <w:tcPr>
            <w:tcW w:w="2083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7557" w:type="dxa"/>
            <w:gridSpan w:val="12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ind w:left="10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4.2.7.6/4.2.7.8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gridAfter w:val="1"/>
          <w:wAfter w:w="104" w:type="dxa"/>
        </w:trPr>
        <w:tc>
          <w:tcPr>
            <w:tcW w:w="2083" w:type="dxa"/>
            <w:gridSpan w:val="2"/>
            <w:tcBorders>
              <w:left w:val="single" w:color="auto" w:sz="4" w:space="0"/>
            </w:tcBorders>
          </w:tcPr>
          <w:p>
            <w:pPr>
              <w:pStyle w:val="82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557" w:type="dxa"/>
            <w:gridSpan w:val="12"/>
            <w:tcBorders>
              <w:right w:val="single" w:color="auto" w:sz="4" w:space="0"/>
            </w:tcBorders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gridAfter w:val="1"/>
          <w:wAfter w:w="104" w:type="dxa"/>
        </w:trPr>
        <w:tc>
          <w:tcPr>
            <w:tcW w:w="2083" w:type="dxa"/>
            <w:gridSpan w:val="2"/>
            <w:tcBorders>
              <w:left w:val="single" w:color="auto" w:sz="4" w:space="0"/>
            </w:tcBorders>
          </w:tcPr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82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</w:tcPr>
          <w:p>
            <w:pPr>
              <w:pStyle w:val="82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5"/>
          </w:tcPr>
          <w:p>
            <w:pPr>
              <w:pStyle w:val="82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4"/>
            <w:tcBorders>
              <w:right w:val="single" w:color="auto" w:sz="4" w:space="0"/>
            </w:tcBorders>
            <w:shd w:val="clear" w:color="FFFF00" w:fill="auto"/>
          </w:tcPr>
          <w:p>
            <w:pPr>
              <w:pStyle w:val="82"/>
              <w:spacing w:after="0"/>
              <w:ind w:left="99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083" w:type="dxa"/>
            <w:gridSpan w:val="2"/>
            <w:tcBorders>
              <w:left w:val="single" w:color="auto" w:sz="4" w:space="0"/>
            </w:tcBorders>
          </w:tcPr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82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1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5"/>
          </w:tcPr>
          <w:p>
            <w:pPr>
              <w:pStyle w:val="82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4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ind w:left="99"/>
            </w:pPr>
            <w:r>
              <w:t xml:space="preserve">TS/TR ... CR ...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083" w:type="dxa"/>
            <w:gridSpan w:val="2"/>
            <w:tcBorders>
              <w:left w:val="single" w:color="auto" w:sz="4" w:space="0"/>
            </w:tcBorders>
          </w:tcPr>
          <w:p>
            <w:pPr>
              <w:pStyle w:val="82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82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1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5"/>
          </w:tcPr>
          <w:p>
            <w:pPr>
              <w:pStyle w:val="82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4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ind w:left="99"/>
            </w:pPr>
            <w:r>
              <w:t xml:space="preserve">TS/TR ... CR ...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083" w:type="dxa"/>
            <w:gridSpan w:val="2"/>
            <w:tcBorders>
              <w:left w:val="single" w:color="auto" w:sz="4" w:space="0"/>
            </w:tcBorders>
          </w:tcPr>
          <w:p>
            <w:pPr>
              <w:pStyle w:val="82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82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1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5"/>
          </w:tcPr>
          <w:p>
            <w:pPr>
              <w:pStyle w:val="82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4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ind w:left="99"/>
            </w:pPr>
            <w:r>
              <w:t xml:space="preserve">TS/TR ... CR ...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gridAfter w:val="1"/>
          <w:wAfter w:w="104" w:type="dxa"/>
        </w:trPr>
        <w:tc>
          <w:tcPr>
            <w:tcW w:w="2083" w:type="dxa"/>
            <w:gridSpan w:val="2"/>
            <w:tcBorders>
              <w:left w:val="single" w:color="auto" w:sz="4" w:space="0"/>
            </w:tcBorders>
          </w:tcPr>
          <w:p>
            <w:pPr>
              <w:pStyle w:val="82"/>
              <w:spacing w:after="0"/>
              <w:rPr>
                <w:b/>
                <w:i/>
              </w:rPr>
            </w:pPr>
          </w:p>
        </w:tc>
        <w:tc>
          <w:tcPr>
            <w:tcW w:w="7557" w:type="dxa"/>
            <w:gridSpan w:val="12"/>
            <w:tcBorders>
              <w:right w:val="single" w:color="auto" w:sz="4" w:space="0"/>
            </w:tcBorders>
          </w:tcPr>
          <w:p>
            <w:pPr>
              <w:pStyle w:val="82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gridAfter w:val="1"/>
          <w:wAfter w:w="104" w:type="dxa"/>
        </w:trPr>
        <w:tc>
          <w:tcPr>
            <w:tcW w:w="2083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7557" w:type="dxa"/>
            <w:gridSpan w:val="12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ind w:left="10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gridAfter w:val="1"/>
          <w:wAfter w:w="104" w:type="dxa"/>
        </w:trPr>
        <w:tc>
          <w:tcPr>
            <w:tcW w:w="2083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557" w:type="dxa"/>
            <w:gridSpan w:val="12"/>
            <w:tcBorders>
              <w:top w:val="single" w:color="auto" w:sz="4" w:space="0"/>
              <w:bottom w:val="single" w:color="auto" w:sz="4" w:space="0"/>
            </w:tcBorders>
            <w:shd w:val="solid" w:color="FFFFFF" w:themeColor="background1" w:fill="auto"/>
          </w:tcPr>
          <w:p>
            <w:pPr>
              <w:pStyle w:val="82"/>
              <w:spacing w:after="0"/>
              <w:ind w:left="10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gridAfter w:val="1"/>
          <w:wAfter w:w="104" w:type="dxa"/>
        </w:trPr>
        <w:tc>
          <w:tcPr>
            <w:tcW w:w="2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7557" w:type="dxa"/>
            <w:gridSpan w:val="1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ind w:left="10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R2-2104251</w:t>
            </w:r>
          </w:p>
        </w:tc>
      </w:tr>
    </w:tbl>
    <w:p>
      <w:pPr>
        <w:pStyle w:val="82"/>
        <w:spacing w:after="0"/>
        <w:rPr>
          <w:sz w:val="8"/>
          <w:szCs w:val="8"/>
        </w:rPr>
      </w:pPr>
    </w:p>
    <w:p>
      <w:pPr>
        <w:keepNext/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C000"/>
        <w:jc w:val="center"/>
        <w:rPr>
          <w:sz w:val="32"/>
          <w:lang w:eastAsia="zh-CN"/>
        </w:rPr>
      </w:pPr>
      <w:r>
        <w:rPr>
          <w:rFonts w:hint="eastAsia"/>
          <w:sz w:val="32"/>
          <w:lang w:val="en-US" w:eastAsia="zh-CN"/>
        </w:rPr>
        <w:t>First</w:t>
      </w:r>
      <w:r>
        <w:rPr>
          <w:sz w:val="32"/>
          <w:lang w:eastAsia="zh-CN"/>
        </w:rPr>
        <w:t xml:space="preserve"> change</w:t>
      </w:r>
    </w:p>
    <w:p>
      <w:pPr>
        <w:pStyle w:val="5"/>
      </w:pPr>
      <w:bookmarkStart w:id="2" w:name="_Toc60789327"/>
      <w:bookmarkStart w:id="3" w:name="_Toc12750898"/>
      <w:bookmarkStart w:id="4" w:name="_Toc29382262"/>
      <w:bookmarkStart w:id="5" w:name="_Toc52569473"/>
      <w:bookmarkStart w:id="6" w:name="_Toc37093379"/>
      <w:bookmarkStart w:id="7" w:name="_Toc46509442"/>
      <w:r>
        <w:t>4.2.7.6</w:t>
      </w:r>
      <w:r>
        <w:tab/>
      </w:r>
      <w:r>
        <w:rPr>
          <w:i/>
        </w:rPr>
        <w:t>FeatureSetDownlinkPerCC</w:t>
      </w:r>
      <w:r>
        <w:t xml:space="preserve"> parameters</w:t>
      </w:r>
      <w:bookmarkEnd w:id="2"/>
      <w:bookmarkEnd w:id="3"/>
      <w:bookmarkEnd w:id="4"/>
      <w:bookmarkEnd w:id="5"/>
      <w:bookmarkEnd w:id="6"/>
      <w:bookmarkEnd w:id="7"/>
    </w:p>
    <w:p>
      <w:pPr>
        <w:spacing w:before="100" w:beforeAutospacing="1"/>
        <w:rPr>
          <w:rFonts w:ascii="Arial" w:hAnsi="Arial" w:eastAsia="Malgun Gothic"/>
          <w:sz w:val="24"/>
          <w:szCs w:val="24"/>
          <w:lang w:val="en-US" w:eastAsia="zh-CN"/>
        </w:rPr>
      </w:pPr>
      <w:r>
        <w:rPr>
          <w:rFonts w:ascii="Arial" w:hAnsi="Arial" w:eastAsia="Malgun Gothic"/>
          <w:sz w:val="24"/>
          <w:szCs w:val="24"/>
          <w:lang w:val="en-US" w:eastAsia="zh-CN"/>
        </w:rPr>
        <w:t>***************** omitted unchanged parts *****************</w:t>
      </w:r>
    </w:p>
    <w:tbl>
      <w:tblPr>
        <w:tblStyle w:val="42"/>
        <w:tblW w:w="9630" w:type="dxa"/>
        <w:tblInd w:w="-5" w:type="dxa"/>
        <w:tblBorders>
          <w:top w:val="single" w:color="808080" w:sz="4" w:space="0"/>
          <w:left w:val="single" w:color="808080" w:sz="4" w:space="0"/>
          <w:bottom w:val="single" w:color="808080" w:sz="4" w:space="0"/>
          <w:right w:val="single" w:color="808080" w:sz="4" w:space="0"/>
          <w:insideH w:val="single" w:color="808080" w:sz="4" w:space="0"/>
          <w:insideV w:val="single" w:color="80808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17"/>
        <w:gridCol w:w="709"/>
        <w:gridCol w:w="567"/>
        <w:gridCol w:w="709"/>
        <w:gridCol w:w="728"/>
      </w:tblGrid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91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</w:tcPr>
          <w:p>
            <w:pPr>
              <w:widowControl w:val="0"/>
              <w:rPr>
                <w:rFonts w:ascii="Arial" w:hAnsi="Arial" w:eastAsia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eastAsia="Times New Roman"/>
                <w:b/>
                <w:bCs/>
                <w:i/>
                <w:iCs/>
                <w:sz w:val="18"/>
                <w:szCs w:val="18"/>
              </w:rPr>
              <w:t>Definitions for parameters</w:t>
            </w:r>
          </w:p>
        </w:tc>
        <w:tc>
          <w:tcPr>
            <w:tcW w:w="709" w:type="dxa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</w:tcPr>
          <w:p>
            <w:pPr>
              <w:widowControl w:val="0"/>
              <w:jc w:val="center"/>
              <w:rPr>
                <w:rFonts w:ascii="Arial" w:hAnsi="Arial" w:eastAsia="Times New Roman"/>
                <w:sz w:val="18"/>
                <w:szCs w:val="18"/>
              </w:rPr>
            </w:pPr>
            <w:r>
              <w:rPr>
                <w:rFonts w:ascii="Arial" w:hAnsi="Arial" w:eastAsia="Times New Roman"/>
                <w:sz w:val="18"/>
                <w:szCs w:val="18"/>
              </w:rPr>
              <w:t>Per</w:t>
            </w:r>
          </w:p>
        </w:tc>
        <w:tc>
          <w:tcPr>
            <w:tcW w:w="567" w:type="dxa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</w:tcPr>
          <w:p>
            <w:pPr>
              <w:widowControl w:val="0"/>
              <w:jc w:val="center"/>
              <w:rPr>
                <w:rFonts w:ascii="Arial" w:hAnsi="Arial" w:eastAsia="Times New Roman"/>
                <w:sz w:val="18"/>
                <w:szCs w:val="18"/>
              </w:rPr>
            </w:pPr>
            <w:r>
              <w:rPr>
                <w:rFonts w:ascii="Arial" w:hAnsi="Arial" w:eastAsia="Times New Roman"/>
                <w:sz w:val="18"/>
                <w:szCs w:val="18"/>
              </w:rPr>
              <w:t>M</w:t>
            </w:r>
          </w:p>
        </w:tc>
        <w:tc>
          <w:tcPr>
            <w:tcW w:w="709" w:type="dxa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</w:tcPr>
          <w:p>
            <w:pPr>
              <w:widowControl w:val="0"/>
              <w:jc w:val="center"/>
              <w:rPr>
                <w:rFonts w:ascii="Arial" w:hAnsi="Arial" w:eastAsia="Times New Roman"/>
                <w:sz w:val="18"/>
                <w:szCs w:val="18"/>
              </w:rPr>
            </w:pPr>
            <w:r>
              <w:rPr>
                <w:rFonts w:ascii="Arial" w:hAnsi="Arial" w:eastAsia="Times New Roman"/>
                <w:sz w:val="18"/>
                <w:szCs w:val="18"/>
              </w:rPr>
              <w:t>FDD-TDD</w:t>
            </w:r>
          </w:p>
          <w:p>
            <w:pPr>
              <w:widowControl w:val="0"/>
              <w:jc w:val="center"/>
              <w:rPr>
                <w:rFonts w:ascii="Arial" w:hAnsi="Arial" w:eastAsia="Times New Roman"/>
                <w:sz w:val="18"/>
                <w:szCs w:val="18"/>
              </w:rPr>
            </w:pPr>
            <w:r>
              <w:rPr>
                <w:rFonts w:ascii="Arial" w:hAnsi="Arial" w:eastAsia="Times New Roman"/>
                <w:sz w:val="18"/>
                <w:szCs w:val="18"/>
              </w:rPr>
              <w:t>DIFF</w:t>
            </w:r>
          </w:p>
        </w:tc>
        <w:tc>
          <w:tcPr>
            <w:tcW w:w="728" w:type="dxa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</w:tcPr>
          <w:p>
            <w:pPr>
              <w:widowControl w:val="0"/>
              <w:jc w:val="center"/>
              <w:rPr>
                <w:rFonts w:ascii="Arial" w:hAnsi="Arial" w:eastAsia="Times New Roman"/>
                <w:sz w:val="18"/>
                <w:szCs w:val="18"/>
              </w:rPr>
            </w:pPr>
            <w:r>
              <w:rPr>
                <w:rFonts w:ascii="Arial" w:hAnsi="Arial" w:eastAsia="Times New Roman"/>
                <w:sz w:val="18"/>
                <w:szCs w:val="18"/>
              </w:rPr>
              <w:t>FR1-FR2</w:t>
            </w:r>
          </w:p>
          <w:p>
            <w:pPr>
              <w:widowControl w:val="0"/>
              <w:jc w:val="center"/>
              <w:rPr>
                <w:rFonts w:ascii="Arial" w:hAnsi="Arial" w:eastAsia="Times New Roman"/>
                <w:sz w:val="18"/>
                <w:szCs w:val="18"/>
              </w:rPr>
            </w:pPr>
            <w:r>
              <w:rPr>
                <w:rFonts w:ascii="Arial" w:hAnsi="Arial" w:eastAsia="Times New Roman"/>
                <w:sz w:val="18"/>
                <w:szCs w:val="18"/>
              </w:rPr>
              <w:t>DIFF</w:t>
            </w: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6917" w:type="dxa"/>
          </w:tcPr>
          <w:p>
            <w:pPr>
              <w:keepNext/>
              <w:keepLines/>
              <w:spacing w:after="0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supportedBandwidthDL</w:t>
            </w:r>
          </w:p>
          <w:p>
            <w:pPr>
              <w:pStyle w:val="54"/>
            </w:pPr>
            <w:r>
              <w:t>Indicates maximum DL channel bandwidth supported for a given SCS that UE supports within a single CC (and in case of intra-frequency DAPS handover for the source and target cells), which is defined in Table 5.3.5-1 in TS 38.101-1 [2] for FR1 and Table 5.3.5-1 in TS 38.101-2 [3] for FR2.</w:t>
            </w:r>
          </w:p>
          <w:p>
            <w:pPr>
              <w:pStyle w:val="54"/>
            </w:pPr>
            <w:r>
              <w:t>For FR1, all the bandwidths listed in TS38.101-1 Table 5.3.5-1 for each band shall be mandatory with a single CC unless indicated optional. For FR2, the set of mandatory CBW is 50, 100, 200 MHz. When this field is included in a band combination with a single band entry and a single CC entry (i.e. non-CA band combination), the UE shall indicate the maximum channel bandwidth for the band according to TS 38.101-1 [2] and TS 38.101-2 [3].</w:t>
            </w:r>
          </w:p>
          <w:p>
            <w:pPr>
              <w:keepNext/>
              <w:keepLines/>
              <w:spacing w:after="0"/>
              <w:rPr>
                <w:ins w:id="0" w:author="ZTE" w:date="2021-04-01T16:43:00Z"/>
                <w:rFonts w:ascii="Arial" w:hAnsi="Arial"/>
                <w:sz w:val="18"/>
              </w:rPr>
            </w:pPr>
          </w:p>
          <w:p>
            <w:pPr>
              <w:keepNext/>
              <w:keepLines/>
              <w:spacing w:after="0"/>
              <w:rPr>
                <w:ins w:id="1" w:author="ZTE(Wenting)" w:date="2021-04-19T21:56:13Z"/>
                <w:rFonts w:hint="default" w:ascii="Arial" w:hAnsi="Arial" w:cs="Arial"/>
                <w:color w:val="auto"/>
                <w:sz w:val="18"/>
                <w:szCs w:val="18"/>
              </w:rPr>
            </w:pPr>
            <w:ins w:id="2" w:author="ZTE(Wenting)" w:date="2021-04-19T21:56:13Z">
              <w:r>
                <w:rPr>
                  <w:rFonts w:hint="default" w:ascii="Arial" w:hAnsi="Arial" w:eastAsia="宋体" w:cs="Arial"/>
                  <w:color w:val="auto"/>
                  <w:sz w:val="18"/>
                  <w:szCs w:val="18"/>
                  <w:shd w:val="clear" w:fill="FFFFFF"/>
                  <w:lang w:val="en-US" w:eastAsia="en-US" w:bidi="ar"/>
                </w:rPr>
                <w:t xml:space="preserve">The UE may report a </w:t>
              </w:r>
            </w:ins>
            <w:ins w:id="3" w:author="ZTE(Wenting)" w:date="2021-04-19T21:56:13Z">
              <w:r>
                <w:rPr>
                  <w:rFonts w:hint="default" w:ascii="Arial" w:hAnsi="Arial" w:eastAsia="宋体" w:cs="Arial"/>
                  <w:i/>
                  <w:iCs w:val="0"/>
                  <w:color w:val="auto"/>
                  <w:sz w:val="18"/>
                  <w:szCs w:val="18"/>
                  <w:shd w:val="clear" w:fill="FFFFFF"/>
                  <w:lang w:val="en-US" w:eastAsia="en-US" w:bidi="ar"/>
                </w:rPr>
                <w:t>supportedBandwidthDL</w:t>
              </w:r>
            </w:ins>
            <w:ins w:id="4" w:author="ZTE(Wenting)" w:date="2021-04-19T21:56:13Z">
              <w:r>
                <w:rPr>
                  <w:rFonts w:hint="default" w:ascii="Arial" w:hAnsi="Arial" w:eastAsia="宋体" w:cs="Arial"/>
                  <w:color w:val="auto"/>
                  <w:sz w:val="18"/>
                  <w:szCs w:val="18"/>
                  <w:shd w:val="clear" w:fill="FFFFFF"/>
                  <w:lang w:val="en-US" w:eastAsia="en-US" w:bidi="ar"/>
                </w:rPr>
                <w:t xml:space="preserve"> wider than the </w:t>
              </w:r>
            </w:ins>
            <w:ins w:id="5" w:author="ZTE(Wenting)" w:date="2021-04-19T21:56:13Z">
              <w:r>
                <w:rPr>
                  <w:rFonts w:hint="default" w:ascii="Arial" w:hAnsi="Arial" w:eastAsia="宋体" w:cs="Arial"/>
                  <w:i/>
                  <w:iCs w:val="0"/>
                  <w:color w:val="auto"/>
                  <w:sz w:val="18"/>
                  <w:szCs w:val="18"/>
                  <w:shd w:val="clear" w:fill="FFFFFF"/>
                  <w:lang w:val="en-US" w:eastAsia="en-US" w:bidi="ar"/>
                </w:rPr>
                <w:t>channelBW_DL</w:t>
              </w:r>
            </w:ins>
            <w:ins w:id="6" w:author="ZTE(Wenting)" w:date="2021-04-19T21:56:13Z">
              <w:r>
                <w:rPr>
                  <w:rFonts w:hint="default" w:ascii="Arial" w:hAnsi="Arial" w:eastAsia="宋体" w:cs="Arial"/>
                  <w:color w:val="auto"/>
                  <w:sz w:val="18"/>
                  <w:szCs w:val="18"/>
                  <w:shd w:val="clear" w:fill="FFFFFF"/>
                  <w:lang w:val="en-US" w:eastAsia="en-US" w:bidi="ar"/>
                </w:rPr>
                <w:t xml:space="preserve">, this </w:t>
              </w:r>
            </w:ins>
            <w:ins w:id="7" w:author="ZTE(Wenting)" w:date="2021-04-19T21:56:13Z">
              <w:r>
                <w:rPr>
                  <w:rFonts w:hint="default" w:ascii="Arial" w:hAnsi="Arial" w:eastAsia="宋体" w:cs="Arial"/>
                  <w:i/>
                  <w:iCs w:val="0"/>
                  <w:color w:val="auto"/>
                  <w:sz w:val="18"/>
                  <w:szCs w:val="18"/>
                  <w:shd w:val="clear" w:fill="FFFFFF"/>
                  <w:lang w:val="en-US" w:eastAsia="en-US" w:bidi="ar"/>
                </w:rPr>
                <w:t>supportedBandwidthDL</w:t>
              </w:r>
            </w:ins>
            <w:ins w:id="8" w:author="ZTE(Wenting)" w:date="2021-04-19T21:56:13Z">
              <w:r>
                <w:rPr>
                  <w:rFonts w:hint="default" w:ascii="Arial" w:hAnsi="Arial" w:eastAsia="宋体" w:cs="Arial"/>
                  <w:color w:val="auto"/>
                  <w:sz w:val="18"/>
                  <w:szCs w:val="18"/>
                  <w:shd w:val="clear" w:fill="FFFFFF"/>
                  <w:lang w:val="en-US" w:eastAsia="en-US" w:bidi="ar"/>
                </w:rPr>
                <w:t> may not be included in the Table 5.3.5-1 of TS 38.101-1[2]/TS 38.101-2[3]</w:t>
              </w:r>
            </w:ins>
            <w:ins w:id="9" w:author="ZTE(Wenting)" w:date="2021-04-19T21:56:13Z">
              <w:r>
                <w:rPr>
                  <w:rStyle w:val="97"/>
                  <w:rFonts w:hint="default" w:ascii="Arial" w:hAnsi="Arial" w:eastAsia="宋体" w:cs="Arial"/>
                  <w:color w:val="auto"/>
                  <w:sz w:val="18"/>
                  <w:szCs w:val="18"/>
                  <w:shd w:val="clear" w:fill="FFFFFF"/>
                  <w:lang w:val="en-US" w:eastAsia="en-US" w:bidi="ar"/>
                </w:rPr>
                <w:t> </w:t>
              </w:r>
            </w:ins>
            <w:ins w:id="10" w:author="ZTE(Wenting)" w:date="2021-04-19T21:56:13Z">
              <w:r>
                <w:rPr>
                  <w:rFonts w:hint="default" w:ascii="Arial" w:hAnsi="Arial" w:eastAsia="宋体" w:cs="Arial"/>
                  <w:color w:val="auto"/>
                  <w:sz w:val="18"/>
                  <w:szCs w:val="18"/>
                  <w:lang w:eastAsia="zh-CN"/>
                </w:rPr>
                <w:t>for the case that the UE is unable to report the actual supported bandwidth according to the Table 5.3.5-1 of TS 38.101-1[2]/TS 38.101-2[3].</w:t>
              </w:r>
            </w:ins>
          </w:p>
          <w:p>
            <w:pPr>
              <w:rPr>
                <w:rFonts w:ascii="Arial" w:hAnsi="Arial"/>
                <w:sz w:val="18"/>
              </w:rPr>
            </w:pPr>
          </w:p>
          <w:p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  <w:p>
            <w:pPr>
              <w:pStyle w:val="67"/>
            </w:pPr>
            <w:r>
              <w:t>NOTE:</w:t>
            </w:r>
            <w:r>
              <w:tab/>
            </w:r>
            <w:r>
              <w:t xml:space="preserve">To determine whether the UE supports a channel bandwidth of 90 MHz, the network may ignore this capability and validate instead the </w:t>
            </w:r>
            <w:r>
              <w:rPr>
                <w:i/>
                <w:iCs/>
              </w:rPr>
              <w:t>channelBW-90mhz</w:t>
            </w:r>
            <w:r>
              <w:t xml:space="preserve"> and the </w:t>
            </w:r>
            <w:r>
              <w:rPr>
                <w:i/>
                <w:iCs/>
              </w:rPr>
              <w:t>supportedBandwidthCombinationSet</w:t>
            </w:r>
            <w:r>
              <w:t xml:space="preserve">. For serving cell(s) with other channel bandwidths the network validates the </w:t>
            </w:r>
            <w:r>
              <w:rPr>
                <w:i/>
                <w:iCs/>
              </w:rPr>
              <w:t>channelBWs-DL</w:t>
            </w:r>
            <w:r>
              <w:t xml:space="preserve">, the </w:t>
            </w:r>
            <w:r>
              <w:rPr>
                <w:i/>
                <w:iCs/>
              </w:rPr>
              <w:t>supportedBandwidthCombinationSet</w:t>
            </w:r>
            <w:r>
              <w:t xml:space="preserve">, the </w:t>
            </w:r>
            <w:r>
              <w:rPr>
                <w:i/>
                <w:iCs/>
              </w:rPr>
              <w:t>supportedBandwidthCombinationSetIntraENDC</w:t>
            </w:r>
            <w:r>
              <w:t xml:space="preserve">, the </w:t>
            </w:r>
            <w:r>
              <w:rPr>
                <w:i/>
                <w:iCs/>
              </w:rPr>
              <w:t>asymmetricBandwidthCombinationSet</w:t>
            </w:r>
            <w:r>
              <w:t xml:space="preserve"> (for a band supporting asymmetric channel bandwidth as defined in clause 5.3.6 of TS 38.101-1 [2]) and </w:t>
            </w:r>
            <w:r>
              <w:rPr>
                <w:i/>
                <w:iCs/>
              </w:rPr>
              <w:t>supportedBandwidthDL</w:t>
            </w:r>
            <w:r>
              <w:t>.</w:t>
            </w:r>
          </w:p>
        </w:tc>
        <w:tc>
          <w:tcPr>
            <w:tcW w:w="709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sz w:val="18"/>
              </w:rPr>
              <w:t>FSPC</w:t>
            </w:r>
          </w:p>
        </w:tc>
        <w:tc>
          <w:tcPr>
            <w:tcW w:w="567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sz w:val="18"/>
              </w:rPr>
              <w:t>CY</w:t>
            </w:r>
          </w:p>
        </w:tc>
        <w:tc>
          <w:tcPr>
            <w:tcW w:w="709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sz w:val="18"/>
              </w:rPr>
              <w:t>N/A</w:t>
            </w:r>
          </w:p>
        </w:tc>
        <w:tc>
          <w:tcPr>
            <w:tcW w:w="728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N/A</w:t>
            </w:r>
          </w:p>
        </w:tc>
      </w:tr>
    </w:tbl>
    <w:p>
      <w:pPr>
        <w:spacing w:before="100" w:beforeAutospacing="1"/>
        <w:rPr>
          <w:rFonts w:ascii="Arial" w:hAnsi="Arial" w:eastAsia="Malgun Gothic"/>
          <w:sz w:val="24"/>
          <w:szCs w:val="24"/>
          <w:lang w:val="en-US" w:eastAsia="zh-CN"/>
        </w:rPr>
      </w:pPr>
      <w:r>
        <w:rPr>
          <w:rFonts w:ascii="Arial" w:hAnsi="Arial"/>
        </w:rPr>
        <w:t xml:space="preserve"> </w:t>
      </w:r>
      <w:r>
        <w:t xml:space="preserve"> </w:t>
      </w:r>
      <w:r>
        <w:rPr>
          <w:rFonts w:ascii="Arial" w:hAnsi="Arial" w:eastAsia="Malgun Gothic"/>
          <w:sz w:val="24"/>
          <w:szCs w:val="24"/>
          <w:lang w:val="en-US" w:eastAsia="zh-CN"/>
        </w:rPr>
        <w:t>***************** omitted unchanged parts *****************</w:t>
      </w:r>
    </w:p>
    <w:p>
      <w:pPr>
        <w:spacing w:before="100" w:beforeAutospacing="1"/>
        <w:rPr>
          <w:rFonts w:eastAsia="宋体"/>
        </w:rPr>
      </w:pPr>
    </w:p>
    <w:p>
      <w:pPr>
        <w:keepNext/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C000"/>
        <w:jc w:val="center"/>
        <w:rPr>
          <w:sz w:val="32"/>
          <w:lang w:eastAsia="zh-CN"/>
        </w:rPr>
      </w:pPr>
      <w:r>
        <w:rPr>
          <w:rFonts w:hint="eastAsia"/>
          <w:sz w:val="32"/>
          <w:lang w:val="en-US" w:eastAsia="zh-CN"/>
        </w:rPr>
        <w:t xml:space="preserve">Second </w:t>
      </w:r>
      <w:r>
        <w:rPr>
          <w:sz w:val="32"/>
          <w:lang w:eastAsia="zh-CN"/>
        </w:rPr>
        <w:t>change</w:t>
      </w:r>
    </w:p>
    <w:p>
      <w:pPr>
        <w:pStyle w:val="5"/>
        <w:rPr>
          <w:rFonts w:eastAsia="Times New Roman"/>
          <w:b/>
          <w:bCs/>
          <w:lang w:val="en-US" w:eastAsia="zh-CN"/>
        </w:rPr>
      </w:pPr>
      <w:r>
        <w:rPr>
          <w:b/>
          <w:bCs/>
        </w:rPr>
        <w:t>4.2.7.8</w:t>
      </w:r>
      <w:r>
        <w:rPr>
          <w:b/>
          <w:bCs/>
        </w:rPr>
        <w:tab/>
      </w:r>
      <w:r>
        <w:rPr>
          <w:b/>
          <w:bCs/>
          <w:i/>
          <w:iCs/>
        </w:rPr>
        <w:t>FeatureSetUplinkPerCC</w:t>
      </w:r>
      <w:r>
        <w:rPr>
          <w:b/>
          <w:bCs/>
        </w:rPr>
        <w:t xml:space="preserve"> parameters</w:t>
      </w:r>
    </w:p>
    <w:p>
      <w:pPr>
        <w:spacing w:before="100" w:beforeAutospacing="1"/>
        <w:rPr>
          <w:rFonts w:eastAsia="Malgun Gothic"/>
          <w:sz w:val="24"/>
          <w:szCs w:val="24"/>
          <w:lang w:val="en-US" w:eastAsia="zh-CN"/>
        </w:rPr>
      </w:pPr>
      <w:r>
        <w:rPr>
          <w:rFonts w:ascii="Arial" w:hAnsi="Arial" w:eastAsia="Malgun Gothic"/>
          <w:sz w:val="24"/>
          <w:szCs w:val="24"/>
          <w:lang w:val="en-US" w:eastAsia="zh-CN"/>
        </w:rPr>
        <w:t>***************** omitted unchanged parts *****************</w:t>
      </w:r>
    </w:p>
    <w:tbl>
      <w:tblPr>
        <w:tblStyle w:val="42"/>
        <w:tblW w:w="9630" w:type="dxa"/>
        <w:tblInd w:w="-5" w:type="dxa"/>
        <w:tblBorders>
          <w:top w:val="single" w:color="808080" w:sz="4" w:space="0"/>
          <w:left w:val="single" w:color="808080" w:sz="4" w:space="0"/>
          <w:bottom w:val="single" w:color="808080" w:sz="4" w:space="0"/>
          <w:right w:val="single" w:color="808080" w:sz="4" w:space="0"/>
          <w:insideH w:val="single" w:color="808080" w:sz="4" w:space="0"/>
          <w:insideV w:val="single" w:color="80808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17"/>
        <w:gridCol w:w="709"/>
        <w:gridCol w:w="567"/>
        <w:gridCol w:w="709"/>
        <w:gridCol w:w="728"/>
      </w:tblGrid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91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</w:tcPr>
          <w:p>
            <w:pPr>
              <w:keepNext/>
              <w:keepLines/>
              <w:widowControl w:val="0"/>
              <w:spacing w:before="100" w:beforeAutospacing="1" w:after="0"/>
              <w:jc w:val="center"/>
              <w:rPr>
                <w:rFonts w:ascii="Arial" w:hAnsi="Arial" w:eastAsia="Malgun Gothic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ascii="Arial" w:hAnsi="Arial" w:eastAsia="Malgun Gothic"/>
                <w:b/>
                <w:bCs/>
                <w:sz w:val="18"/>
                <w:szCs w:val="18"/>
                <w:lang w:val="en-US" w:eastAsia="zh-CN"/>
              </w:rPr>
              <w:t>Definitions for parameters</w:t>
            </w:r>
          </w:p>
        </w:tc>
        <w:tc>
          <w:tcPr>
            <w:tcW w:w="709" w:type="dxa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</w:tcPr>
          <w:p>
            <w:pPr>
              <w:keepNext/>
              <w:keepLines/>
              <w:widowControl w:val="0"/>
              <w:spacing w:before="100" w:beforeAutospacing="1" w:after="0"/>
              <w:jc w:val="center"/>
              <w:rPr>
                <w:rFonts w:ascii="Arial" w:hAnsi="Arial" w:eastAsia="Malgun Gothic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ascii="Arial" w:hAnsi="Arial" w:eastAsia="Malgun Gothic"/>
                <w:b/>
                <w:bCs/>
                <w:sz w:val="18"/>
                <w:szCs w:val="18"/>
                <w:lang w:val="en-US" w:eastAsia="zh-CN"/>
              </w:rPr>
              <w:t>Per</w:t>
            </w:r>
          </w:p>
        </w:tc>
        <w:tc>
          <w:tcPr>
            <w:tcW w:w="567" w:type="dxa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</w:tcPr>
          <w:p>
            <w:pPr>
              <w:keepNext/>
              <w:keepLines/>
              <w:widowControl w:val="0"/>
              <w:spacing w:before="100" w:beforeAutospacing="1" w:after="0"/>
              <w:jc w:val="center"/>
              <w:rPr>
                <w:rFonts w:ascii="Arial" w:hAnsi="Arial" w:eastAsia="Malgun Gothic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ascii="Arial" w:hAnsi="Arial" w:eastAsia="Malgun Gothic"/>
                <w:b/>
                <w:bCs/>
                <w:sz w:val="18"/>
                <w:szCs w:val="18"/>
                <w:lang w:val="en-US" w:eastAsia="zh-CN"/>
              </w:rPr>
              <w:t>M</w:t>
            </w:r>
          </w:p>
        </w:tc>
        <w:tc>
          <w:tcPr>
            <w:tcW w:w="709" w:type="dxa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</w:tcPr>
          <w:p>
            <w:pPr>
              <w:keepNext/>
              <w:keepLines/>
              <w:widowControl w:val="0"/>
              <w:spacing w:before="100" w:beforeAutospacing="1" w:after="0"/>
              <w:jc w:val="center"/>
              <w:rPr>
                <w:rFonts w:ascii="Arial" w:hAnsi="Arial" w:eastAsia="Malgun Gothic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ascii="Arial" w:hAnsi="Arial" w:eastAsia="Malgun Gothic"/>
                <w:b/>
                <w:bCs/>
                <w:sz w:val="18"/>
                <w:szCs w:val="18"/>
                <w:lang w:val="en-US" w:eastAsia="zh-CN"/>
              </w:rPr>
              <w:t>FDD-TDD</w:t>
            </w:r>
          </w:p>
          <w:p>
            <w:pPr>
              <w:keepNext/>
              <w:keepLines/>
              <w:widowControl w:val="0"/>
              <w:spacing w:before="100" w:beforeAutospacing="1" w:after="0"/>
              <w:jc w:val="center"/>
              <w:rPr>
                <w:rFonts w:ascii="Arial" w:hAnsi="Arial" w:eastAsia="Malgun Gothic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ascii="Arial" w:hAnsi="Arial" w:eastAsia="Malgun Gothic"/>
                <w:b/>
                <w:bCs/>
                <w:sz w:val="18"/>
                <w:szCs w:val="18"/>
                <w:lang w:val="en-US" w:eastAsia="zh-CN"/>
              </w:rPr>
              <w:t>DIFF</w:t>
            </w:r>
          </w:p>
        </w:tc>
        <w:tc>
          <w:tcPr>
            <w:tcW w:w="728" w:type="dxa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</w:tcPr>
          <w:p>
            <w:pPr>
              <w:keepNext/>
              <w:keepLines/>
              <w:widowControl w:val="0"/>
              <w:spacing w:before="100" w:beforeAutospacing="1" w:after="0"/>
              <w:jc w:val="center"/>
              <w:rPr>
                <w:rFonts w:ascii="Arial" w:hAnsi="Arial" w:eastAsia="Malgun Gothic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ascii="Arial" w:hAnsi="Arial" w:eastAsia="Malgun Gothic"/>
                <w:b/>
                <w:bCs/>
                <w:sz w:val="18"/>
                <w:szCs w:val="18"/>
                <w:lang w:val="en-US" w:eastAsia="zh-CN"/>
              </w:rPr>
              <w:t>FR1-FR2</w:t>
            </w:r>
          </w:p>
          <w:p>
            <w:pPr>
              <w:keepNext/>
              <w:keepLines/>
              <w:widowControl w:val="0"/>
              <w:spacing w:before="100" w:beforeAutospacing="1" w:after="0"/>
              <w:jc w:val="center"/>
              <w:rPr>
                <w:rFonts w:ascii="Arial" w:hAnsi="Arial" w:eastAsia="Malgun Gothic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ascii="Arial" w:hAnsi="Arial" w:eastAsia="Malgun Gothic"/>
                <w:b/>
                <w:bCs/>
                <w:sz w:val="18"/>
                <w:szCs w:val="18"/>
                <w:lang w:val="en-US" w:eastAsia="zh-CN"/>
              </w:rPr>
              <w:t>DIFF</w:t>
            </w: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6917" w:type="dxa"/>
          </w:tcPr>
          <w:p>
            <w:pPr>
              <w:pStyle w:val="54"/>
              <w:rPr>
                <w:b/>
                <w:i/>
              </w:rPr>
            </w:pPr>
            <w:r>
              <w:rPr>
                <w:b/>
                <w:i/>
              </w:rPr>
              <w:t>supportedBandwidthUL</w:t>
            </w:r>
          </w:p>
          <w:p>
            <w:pPr>
              <w:pStyle w:val="54"/>
            </w:pPr>
            <w:r>
              <w:t>Indicates maximum UL channel bandwidth supported for a given SCS that UE supports within a single CC (and in case of intra-frequency DAPS handover for the source and target cells), which is defined in Table 5.3.5-1 in TS38.101-1 [2] for FR1 and Table 5.3.5-1 in TS 38.101-2 [3] for FR2.</w:t>
            </w:r>
          </w:p>
          <w:p>
            <w:pPr>
              <w:pStyle w:val="54"/>
            </w:pPr>
            <w:r>
              <w:t>For FR1, all the bandwidths listed in TS38.101-1 Table 5.3.5-1 for each band shall be mandatory with a single CC unless indicated optional. For FR2, the set of mandatory CBW is 50, 100, 200 MHz. When this field is included in a band combination with a single band entry and a single CC entry (i.e. non-CA band combination), the UE shall indicate the maximum channel bandwidth for the band according to TS 38.101-1 [2] and TS 38.101-2 [3].</w:t>
            </w:r>
          </w:p>
          <w:p>
            <w:pPr>
              <w:pStyle w:val="54"/>
              <w:rPr>
                <w:ins w:id="11" w:author="ZTE" w:date="2021-04-01T17:47:00Z"/>
              </w:rPr>
            </w:pPr>
          </w:p>
          <w:p>
            <w:pPr>
              <w:keepNext/>
              <w:keepLines/>
              <w:spacing w:after="0"/>
              <w:rPr>
                <w:ins w:id="12" w:author="ZTE(Wenting)" w:date="2021-04-19T21:55:52Z"/>
                <w:rFonts w:hint="default" w:ascii="Arial" w:hAnsi="Arial" w:cs="Arial"/>
                <w:color w:val="auto"/>
                <w:sz w:val="18"/>
                <w:szCs w:val="18"/>
              </w:rPr>
            </w:pPr>
            <w:ins w:id="13" w:author="ZTE(Wenting)" w:date="2021-04-19T21:55:52Z">
              <w:r>
                <w:rPr>
                  <w:rFonts w:hint="default" w:ascii="Arial" w:hAnsi="Arial" w:eastAsia="宋体" w:cs="Arial"/>
                  <w:color w:val="auto"/>
                  <w:sz w:val="18"/>
                  <w:szCs w:val="18"/>
                  <w:shd w:val="clear" w:fill="FFFFFF"/>
                  <w:lang w:val="en-US" w:eastAsia="en-US" w:bidi="ar"/>
                </w:rPr>
                <w:t xml:space="preserve">The UE may report a </w:t>
              </w:r>
            </w:ins>
            <w:ins w:id="14" w:author="ZTE(Wenting)" w:date="2021-04-19T21:55:52Z">
              <w:r>
                <w:rPr>
                  <w:rFonts w:hint="default" w:ascii="Arial" w:hAnsi="Arial" w:eastAsia="宋体" w:cs="Arial"/>
                  <w:i/>
                  <w:iCs w:val="0"/>
                  <w:color w:val="auto"/>
                  <w:sz w:val="18"/>
                  <w:szCs w:val="18"/>
                  <w:shd w:val="clear" w:fill="FFFFFF"/>
                  <w:lang w:val="en-US" w:eastAsia="en-US" w:bidi="ar"/>
                </w:rPr>
                <w:t>supportedBandwidth</w:t>
              </w:r>
            </w:ins>
            <w:ins w:id="15" w:author="ZTE(Wenting)" w:date="2021-04-19T21:55:52Z">
              <w:r>
                <w:rPr>
                  <w:rFonts w:hint="eastAsia" w:ascii="Arial" w:hAnsi="Arial" w:eastAsia="宋体" w:cs="Arial"/>
                  <w:i/>
                  <w:iCs w:val="0"/>
                  <w:color w:val="auto"/>
                  <w:sz w:val="18"/>
                  <w:szCs w:val="18"/>
                  <w:shd w:val="clear" w:fill="FFFFFF"/>
                  <w:lang w:val="en-US" w:eastAsia="zh-CN" w:bidi="ar"/>
                </w:rPr>
                <w:t>U</w:t>
              </w:r>
            </w:ins>
            <w:ins w:id="16" w:author="ZTE(Wenting)" w:date="2021-04-19T21:55:52Z">
              <w:r>
                <w:rPr>
                  <w:rFonts w:hint="default" w:ascii="Arial" w:hAnsi="Arial" w:eastAsia="宋体" w:cs="Arial"/>
                  <w:i/>
                  <w:iCs w:val="0"/>
                  <w:color w:val="auto"/>
                  <w:sz w:val="18"/>
                  <w:szCs w:val="18"/>
                  <w:shd w:val="clear" w:fill="FFFFFF"/>
                  <w:lang w:val="en-US" w:eastAsia="en-US" w:bidi="ar"/>
                </w:rPr>
                <w:t>L</w:t>
              </w:r>
            </w:ins>
            <w:ins w:id="17" w:author="ZTE(Wenting)" w:date="2021-04-19T21:55:52Z">
              <w:r>
                <w:rPr>
                  <w:rFonts w:hint="default" w:ascii="Arial" w:hAnsi="Arial" w:eastAsia="宋体" w:cs="Arial"/>
                  <w:color w:val="auto"/>
                  <w:sz w:val="18"/>
                  <w:szCs w:val="18"/>
                  <w:shd w:val="clear" w:fill="FFFFFF"/>
                  <w:lang w:val="en-US" w:eastAsia="en-US" w:bidi="ar"/>
                </w:rPr>
                <w:t xml:space="preserve"> wider than the </w:t>
              </w:r>
            </w:ins>
            <w:ins w:id="18" w:author="ZTE(Wenting)" w:date="2021-04-19T21:55:52Z">
              <w:r>
                <w:rPr>
                  <w:rFonts w:hint="default" w:ascii="Arial" w:hAnsi="Arial" w:eastAsia="宋体" w:cs="Arial"/>
                  <w:i/>
                  <w:iCs w:val="0"/>
                  <w:color w:val="auto"/>
                  <w:sz w:val="18"/>
                  <w:szCs w:val="18"/>
                  <w:shd w:val="clear" w:fill="FFFFFF"/>
                  <w:lang w:val="en-US" w:eastAsia="en-US" w:bidi="ar"/>
                </w:rPr>
                <w:t>channelBW_</w:t>
              </w:r>
            </w:ins>
            <w:ins w:id="19" w:author="ZTE(Wenting)" w:date="2021-04-19T21:55:52Z">
              <w:r>
                <w:rPr>
                  <w:rFonts w:hint="eastAsia" w:ascii="Arial" w:hAnsi="Arial" w:eastAsia="宋体" w:cs="Arial"/>
                  <w:i/>
                  <w:iCs w:val="0"/>
                  <w:color w:val="auto"/>
                  <w:sz w:val="18"/>
                  <w:szCs w:val="18"/>
                  <w:shd w:val="clear" w:fill="FFFFFF"/>
                  <w:lang w:val="en-US" w:eastAsia="zh-CN" w:bidi="ar"/>
                </w:rPr>
                <w:t>U</w:t>
              </w:r>
            </w:ins>
            <w:ins w:id="20" w:author="ZTE(Wenting)" w:date="2021-04-19T21:55:52Z">
              <w:r>
                <w:rPr>
                  <w:rFonts w:hint="default" w:ascii="Arial" w:hAnsi="Arial" w:eastAsia="宋体" w:cs="Arial"/>
                  <w:i/>
                  <w:iCs w:val="0"/>
                  <w:color w:val="auto"/>
                  <w:sz w:val="18"/>
                  <w:szCs w:val="18"/>
                  <w:shd w:val="clear" w:fill="FFFFFF"/>
                  <w:lang w:val="en-US" w:eastAsia="en-US" w:bidi="ar"/>
                </w:rPr>
                <w:t>L</w:t>
              </w:r>
            </w:ins>
            <w:ins w:id="21" w:author="ZTE(Wenting)" w:date="2021-04-19T21:55:52Z">
              <w:r>
                <w:rPr>
                  <w:rFonts w:hint="default" w:ascii="Arial" w:hAnsi="Arial" w:eastAsia="宋体" w:cs="Arial"/>
                  <w:color w:val="auto"/>
                  <w:sz w:val="18"/>
                  <w:szCs w:val="18"/>
                  <w:shd w:val="clear" w:fill="FFFFFF"/>
                  <w:lang w:val="en-US" w:eastAsia="en-US" w:bidi="ar"/>
                </w:rPr>
                <w:t xml:space="preserve">, this </w:t>
              </w:r>
            </w:ins>
            <w:ins w:id="22" w:author="ZTE(Wenting)" w:date="2021-04-19T21:55:52Z">
              <w:r>
                <w:rPr>
                  <w:rFonts w:hint="default" w:ascii="Arial" w:hAnsi="Arial" w:eastAsia="宋体" w:cs="Arial"/>
                  <w:i/>
                  <w:iCs w:val="0"/>
                  <w:color w:val="auto"/>
                  <w:sz w:val="18"/>
                  <w:szCs w:val="18"/>
                  <w:shd w:val="clear" w:fill="FFFFFF"/>
                  <w:lang w:val="en-US" w:eastAsia="en-US" w:bidi="ar"/>
                </w:rPr>
                <w:t>supportedBandwidth</w:t>
              </w:r>
            </w:ins>
            <w:ins w:id="23" w:author="ZTE(Wenting)" w:date="2021-04-19T21:55:52Z">
              <w:r>
                <w:rPr>
                  <w:rFonts w:hint="eastAsia" w:ascii="Arial" w:hAnsi="Arial" w:eastAsia="宋体" w:cs="Arial"/>
                  <w:i/>
                  <w:iCs w:val="0"/>
                  <w:color w:val="auto"/>
                  <w:sz w:val="18"/>
                  <w:szCs w:val="18"/>
                  <w:shd w:val="clear" w:fill="FFFFFF"/>
                  <w:lang w:val="en-US" w:eastAsia="zh-CN" w:bidi="ar"/>
                </w:rPr>
                <w:t>U</w:t>
              </w:r>
            </w:ins>
            <w:ins w:id="24" w:author="ZTE(Wenting)" w:date="2021-04-19T21:55:52Z">
              <w:r>
                <w:rPr>
                  <w:rFonts w:hint="default" w:ascii="Arial" w:hAnsi="Arial" w:eastAsia="宋体" w:cs="Arial"/>
                  <w:i/>
                  <w:iCs w:val="0"/>
                  <w:color w:val="auto"/>
                  <w:sz w:val="18"/>
                  <w:szCs w:val="18"/>
                  <w:shd w:val="clear" w:fill="FFFFFF"/>
                  <w:lang w:val="en-US" w:eastAsia="en-US" w:bidi="ar"/>
                </w:rPr>
                <w:t>L</w:t>
              </w:r>
            </w:ins>
            <w:ins w:id="25" w:author="ZTE(Wenting)" w:date="2021-04-19T21:55:52Z">
              <w:r>
                <w:rPr>
                  <w:rFonts w:hint="default" w:ascii="Arial" w:hAnsi="Arial" w:eastAsia="宋体" w:cs="Arial"/>
                  <w:color w:val="auto"/>
                  <w:sz w:val="18"/>
                  <w:szCs w:val="18"/>
                  <w:shd w:val="clear" w:fill="FFFFFF"/>
                  <w:lang w:val="en-US" w:eastAsia="en-US" w:bidi="ar"/>
                </w:rPr>
                <w:t> may not be included in the Table 5.3.5-1 of TS 38.101-1[2]/TS 38.101-2[3]</w:t>
              </w:r>
            </w:ins>
            <w:ins w:id="26" w:author="ZTE(Wenting)" w:date="2021-04-19T21:55:52Z">
              <w:r>
                <w:rPr>
                  <w:rStyle w:val="97"/>
                  <w:rFonts w:hint="default" w:ascii="Arial" w:hAnsi="Arial" w:eastAsia="宋体" w:cs="Arial"/>
                  <w:color w:val="auto"/>
                  <w:sz w:val="18"/>
                  <w:szCs w:val="18"/>
                  <w:shd w:val="clear" w:fill="FFFFFF"/>
                  <w:lang w:val="en-US" w:eastAsia="en-US" w:bidi="ar"/>
                </w:rPr>
                <w:t> </w:t>
              </w:r>
            </w:ins>
            <w:ins w:id="27" w:author="ZTE(Wenting)" w:date="2021-04-19T21:55:52Z">
              <w:r>
                <w:rPr>
                  <w:rFonts w:hint="default" w:ascii="Arial" w:hAnsi="Arial" w:eastAsia="宋体" w:cs="Arial"/>
                  <w:color w:val="auto"/>
                  <w:sz w:val="18"/>
                  <w:szCs w:val="18"/>
                  <w:lang w:eastAsia="zh-CN"/>
                </w:rPr>
                <w:t>for the case that the UE is unable to report the actual supported bandwidth according to the Table 5.3.5-1 of TS 38.101-1[2]/TS 38.101-2[3].</w:t>
              </w:r>
            </w:ins>
          </w:p>
          <w:p>
            <w:pPr>
              <w:pStyle w:val="54"/>
            </w:pPr>
          </w:p>
          <w:p>
            <w:pPr>
              <w:pStyle w:val="67"/>
            </w:pPr>
            <w:r>
              <w:t>NOTE:</w:t>
            </w:r>
            <w:r>
              <w:tab/>
            </w:r>
            <w:r>
              <w:t xml:space="preserve">To determine whether the UE supports a channel bandwidth of 90 MHz the network may ignore this capability and validate instead the </w:t>
            </w:r>
            <w:r>
              <w:rPr>
                <w:i/>
              </w:rPr>
              <w:t>channelBW-90mhz</w:t>
            </w:r>
            <w:r>
              <w:t xml:space="preserve"> and the </w:t>
            </w:r>
            <w:r>
              <w:rPr>
                <w:i/>
              </w:rPr>
              <w:t>supportedBandwidthCombiantionSet</w:t>
            </w:r>
            <w:r>
              <w:t xml:space="preserve">. For serving cell(s) with other channel bandwidths the network validates the </w:t>
            </w:r>
            <w:r>
              <w:rPr>
                <w:i/>
              </w:rPr>
              <w:t>channelBWs-UL</w:t>
            </w:r>
            <w:r>
              <w:t xml:space="preserve">, the </w:t>
            </w:r>
            <w:r>
              <w:rPr>
                <w:i/>
              </w:rPr>
              <w:t>supportedBandwidthCombinationSet</w:t>
            </w:r>
            <w:r>
              <w:t xml:space="preserve">, the </w:t>
            </w:r>
            <w:r>
              <w:rPr>
                <w:i/>
                <w:iCs/>
              </w:rPr>
              <w:t>supportedBandwidthCombinationSetIntraENDC</w:t>
            </w:r>
            <w:r>
              <w:t xml:space="preserve">, the </w:t>
            </w:r>
            <w:r>
              <w:rPr>
                <w:i/>
                <w:iCs/>
              </w:rPr>
              <w:t>asymmetricBandwidthCombinationSet</w:t>
            </w:r>
            <w:r>
              <w:t xml:space="preserve"> (for a band supporting asymmetric channel bandwidth as defined in clause 5.3.6 of TS 38.101-1 [2]) and </w:t>
            </w:r>
            <w:r>
              <w:rPr>
                <w:i/>
              </w:rPr>
              <w:t>supportedBandwidthUL</w:t>
            </w:r>
            <w:r>
              <w:t>.</w:t>
            </w:r>
          </w:p>
        </w:tc>
        <w:tc>
          <w:tcPr>
            <w:tcW w:w="709" w:type="dxa"/>
          </w:tcPr>
          <w:p>
            <w:pPr>
              <w:pStyle w:val="54"/>
              <w:jc w:val="center"/>
            </w:pPr>
            <w:r>
              <w:t>FSPC</w:t>
            </w:r>
          </w:p>
        </w:tc>
        <w:tc>
          <w:tcPr>
            <w:tcW w:w="567" w:type="dxa"/>
          </w:tcPr>
          <w:p>
            <w:pPr>
              <w:pStyle w:val="54"/>
              <w:jc w:val="center"/>
            </w:pPr>
            <w:r>
              <w:t>CY</w:t>
            </w:r>
          </w:p>
        </w:tc>
        <w:tc>
          <w:tcPr>
            <w:tcW w:w="709" w:type="dxa"/>
          </w:tcPr>
          <w:p>
            <w:pPr>
              <w:pStyle w:val="54"/>
              <w:jc w:val="center"/>
            </w:pPr>
            <w:r>
              <w:t>N/A</w:t>
            </w:r>
          </w:p>
        </w:tc>
        <w:tc>
          <w:tcPr>
            <w:tcW w:w="728" w:type="dxa"/>
          </w:tcPr>
          <w:p>
            <w:pPr>
              <w:pStyle w:val="54"/>
              <w:jc w:val="center"/>
            </w:pPr>
            <w:r>
              <w:t>N/A</w:t>
            </w:r>
          </w:p>
        </w:tc>
      </w:tr>
    </w:tbl>
    <w:p>
      <w:pPr>
        <w:spacing w:before="100" w:beforeAutospacing="1"/>
        <w:rPr>
          <w:rFonts w:ascii="Arial" w:hAnsi="Arial" w:eastAsia="MS Mincho"/>
          <w:sz w:val="36"/>
        </w:rPr>
      </w:pPr>
      <w:r>
        <w:rPr>
          <w:rFonts w:ascii="Arial" w:hAnsi="Arial" w:eastAsia="Malgun Gothic"/>
          <w:sz w:val="24"/>
          <w:szCs w:val="24"/>
          <w:lang w:val="en-US" w:eastAsia="zh-CN"/>
        </w:rPr>
        <w:t>***************** omitted unchanged parts *****************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C000"/>
        <w:jc w:val="center"/>
        <w:rPr>
          <w:sz w:val="24"/>
        </w:rPr>
      </w:pPr>
      <w:r>
        <w:rPr>
          <w:sz w:val="32"/>
          <w:lang w:eastAsia="zh-CN"/>
        </w:rPr>
        <w:t>End of change</w:t>
      </w:r>
    </w:p>
    <w:sectPr>
      <w:headerReference r:id="rId3" w:type="default"/>
      <w:footnotePr>
        <w:numRestart w:val="eachSect"/>
      </w:footnotePr>
      <w:pgSz w:w="11907" w:h="16840"/>
      <w:pgMar w:top="1134" w:right="1134" w:bottom="1418" w:left="1134" w:header="680" w:footer="567" w:gutter="0"/>
      <w:cols w:space="720" w:num="1"/>
      <w:docGrid w:linePitch="27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algun Gothic">
    <w:panose1 w:val="020B0503020000020004"/>
    <w:charset w:val="81"/>
    <w:family w:val="swiss"/>
    <w:pitch w:val="default"/>
    <w:sig w:usb0="900002AF" w:usb1="01D77CFB" w:usb2="00000012" w:usb3="00000000" w:csb0="00080001" w:csb1="00000000"/>
  </w:font>
  <w:font w:name="MS LineDraw">
    <w:altName w:val="Segoe Print"/>
    <w:panose1 w:val="00000000000000000000"/>
    <w:charset w:val="02"/>
    <w:family w:val="modern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MS Mincho">
    <w:panose1 w:val="02020609040205080304"/>
    <w:charset w:val="80"/>
    <w:family w:val="roman"/>
    <w:pitch w:val="default"/>
    <w:sig w:usb0="E00002FF" w:usb1="6AC7FDFB" w:usb2="00000012" w:usb3="00000000" w:csb0="4002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73779"/>
    <w:multiLevelType w:val="multilevel"/>
    <w:tmpl w:val="33B73779"/>
    <w:lvl w:ilvl="0" w:tentative="0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ZTE">
    <w15:presenceInfo w15:providerId="None" w15:userId="ZTE"/>
  </w15:person>
  <w15:person w15:author="ZTE(Wenting)">
    <w15:presenceInfo w15:providerId="None" w15:userId="ZTE(Wenting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284"/>
  <w:hyphenationZone w:val="425"/>
  <w:doNotHyphenateCaps/>
  <w:displayHorizontalDrawingGridEvery w:val="0"/>
  <w:displayVerticalDrawingGridEvery w:val="0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151FA"/>
    <w:rsid w:val="000159CF"/>
    <w:rsid w:val="0001790D"/>
    <w:rsid w:val="00020729"/>
    <w:rsid w:val="00022E4A"/>
    <w:rsid w:val="00025029"/>
    <w:rsid w:val="0004475F"/>
    <w:rsid w:val="00044C03"/>
    <w:rsid w:val="000455D2"/>
    <w:rsid w:val="000639F6"/>
    <w:rsid w:val="00065D26"/>
    <w:rsid w:val="00090DDA"/>
    <w:rsid w:val="00095179"/>
    <w:rsid w:val="00095BE1"/>
    <w:rsid w:val="000A0FEF"/>
    <w:rsid w:val="000A6394"/>
    <w:rsid w:val="000A7088"/>
    <w:rsid w:val="000B36EB"/>
    <w:rsid w:val="000B7FED"/>
    <w:rsid w:val="000C038A"/>
    <w:rsid w:val="000C6598"/>
    <w:rsid w:val="000F7685"/>
    <w:rsid w:val="00117F15"/>
    <w:rsid w:val="0012314C"/>
    <w:rsid w:val="0014023C"/>
    <w:rsid w:val="00145D43"/>
    <w:rsid w:val="00145DCF"/>
    <w:rsid w:val="0015511D"/>
    <w:rsid w:val="00174B32"/>
    <w:rsid w:val="001900EA"/>
    <w:rsid w:val="00191B4F"/>
    <w:rsid w:val="00191BBA"/>
    <w:rsid w:val="00192C46"/>
    <w:rsid w:val="00196C14"/>
    <w:rsid w:val="001A08B3"/>
    <w:rsid w:val="001A263E"/>
    <w:rsid w:val="001A73D7"/>
    <w:rsid w:val="001A7448"/>
    <w:rsid w:val="001A7B60"/>
    <w:rsid w:val="001B382E"/>
    <w:rsid w:val="001B52F0"/>
    <w:rsid w:val="001B7048"/>
    <w:rsid w:val="001B7A65"/>
    <w:rsid w:val="001C0A93"/>
    <w:rsid w:val="001C0CF0"/>
    <w:rsid w:val="001D212D"/>
    <w:rsid w:val="001D4F1F"/>
    <w:rsid w:val="001D7761"/>
    <w:rsid w:val="001E41F3"/>
    <w:rsid w:val="002046A6"/>
    <w:rsid w:val="00207566"/>
    <w:rsid w:val="00216D24"/>
    <w:rsid w:val="00222F8F"/>
    <w:rsid w:val="00225A3D"/>
    <w:rsid w:val="00240A2B"/>
    <w:rsid w:val="00241012"/>
    <w:rsid w:val="00243F01"/>
    <w:rsid w:val="00247816"/>
    <w:rsid w:val="002501AF"/>
    <w:rsid w:val="00256DB1"/>
    <w:rsid w:val="0025755F"/>
    <w:rsid w:val="0026004D"/>
    <w:rsid w:val="002617F0"/>
    <w:rsid w:val="002640DD"/>
    <w:rsid w:val="0027408C"/>
    <w:rsid w:val="002759B7"/>
    <w:rsid w:val="00275D12"/>
    <w:rsid w:val="0028004C"/>
    <w:rsid w:val="002804E1"/>
    <w:rsid w:val="00284FEB"/>
    <w:rsid w:val="002860C4"/>
    <w:rsid w:val="0029354F"/>
    <w:rsid w:val="00293D16"/>
    <w:rsid w:val="002A0B0F"/>
    <w:rsid w:val="002A2680"/>
    <w:rsid w:val="002A50E8"/>
    <w:rsid w:val="002B13F2"/>
    <w:rsid w:val="002B216B"/>
    <w:rsid w:val="002B2251"/>
    <w:rsid w:val="002B5741"/>
    <w:rsid w:val="002B7687"/>
    <w:rsid w:val="002C1E5A"/>
    <w:rsid w:val="002C57A2"/>
    <w:rsid w:val="002C6F24"/>
    <w:rsid w:val="002D0A63"/>
    <w:rsid w:val="002D4C37"/>
    <w:rsid w:val="002E5DD9"/>
    <w:rsid w:val="002F3D42"/>
    <w:rsid w:val="002F4AA4"/>
    <w:rsid w:val="00305409"/>
    <w:rsid w:val="003123FF"/>
    <w:rsid w:val="003163EF"/>
    <w:rsid w:val="00345FF9"/>
    <w:rsid w:val="003609EF"/>
    <w:rsid w:val="0036231A"/>
    <w:rsid w:val="00372F07"/>
    <w:rsid w:val="00373969"/>
    <w:rsid w:val="00374AF1"/>
    <w:rsid w:val="00374DD4"/>
    <w:rsid w:val="00380FB9"/>
    <w:rsid w:val="00382E12"/>
    <w:rsid w:val="00391B6A"/>
    <w:rsid w:val="00397E8B"/>
    <w:rsid w:val="003A0CC0"/>
    <w:rsid w:val="003A1E9F"/>
    <w:rsid w:val="003A2546"/>
    <w:rsid w:val="003B306A"/>
    <w:rsid w:val="003B427E"/>
    <w:rsid w:val="003B4421"/>
    <w:rsid w:val="003B5A2F"/>
    <w:rsid w:val="003B5EFB"/>
    <w:rsid w:val="003B79FE"/>
    <w:rsid w:val="003B7A10"/>
    <w:rsid w:val="003B7F57"/>
    <w:rsid w:val="003C2AB2"/>
    <w:rsid w:val="003E1A36"/>
    <w:rsid w:val="003E59F9"/>
    <w:rsid w:val="003F50F5"/>
    <w:rsid w:val="00400750"/>
    <w:rsid w:val="00402B1A"/>
    <w:rsid w:val="00410371"/>
    <w:rsid w:val="004112A2"/>
    <w:rsid w:val="004151B5"/>
    <w:rsid w:val="004159C0"/>
    <w:rsid w:val="004242F1"/>
    <w:rsid w:val="00424763"/>
    <w:rsid w:val="00424FBF"/>
    <w:rsid w:val="00425394"/>
    <w:rsid w:val="00431CDB"/>
    <w:rsid w:val="004442AA"/>
    <w:rsid w:val="00455E67"/>
    <w:rsid w:val="00457096"/>
    <w:rsid w:val="00482676"/>
    <w:rsid w:val="00491F7C"/>
    <w:rsid w:val="004A307B"/>
    <w:rsid w:val="004B378F"/>
    <w:rsid w:val="004B75B7"/>
    <w:rsid w:val="004C0C68"/>
    <w:rsid w:val="004C647E"/>
    <w:rsid w:val="004D519F"/>
    <w:rsid w:val="004E2772"/>
    <w:rsid w:val="004E6055"/>
    <w:rsid w:val="004E68B4"/>
    <w:rsid w:val="005005E6"/>
    <w:rsid w:val="00514039"/>
    <w:rsid w:val="0051580D"/>
    <w:rsid w:val="00535317"/>
    <w:rsid w:val="00536714"/>
    <w:rsid w:val="00545D94"/>
    <w:rsid w:val="00545EBE"/>
    <w:rsid w:val="00547111"/>
    <w:rsid w:val="00552986"/>
    <w:rsid w:val="005538E3"/>
    <w:rsid w:val="005558E9"/>
    <w:rsid w:val="0055601E"/>
    <w:rsid w:val="00556186"/>
    <w:rsid w:val="00560979"/>
    <w:rsid w:val="005647D4"/>
    <w:rsid w:val="00570D52"/>
    <w:rsid w:val="00573A05"/>
    <w:rsid w:val="0058368B"/>
    <w:rsid w:val="00583EE6"/>
    <w:rsid w:val="00584DAE"/>
    <w:rsid w:val="00592D74"/>
    <w:rsid w:val="005A3ED4"/>
    <w:rsid w:val="005A76B8"/>
    <w:rsid w:val="005A7B52"/>
    <w:rsid w:val="005A7BFD"/>
    <w:rsid w:val="005B0644"/>
    <w:rsid w:val="005B272D"/>
    <w:rsid w:val="005B2CDD"/>
    <w:rsid w:val="005B39D0"/>
    <w:rsid w:val="005C22E7"/>
    <w:rsid w:val="005D36E5"/>
    <w:rsid w:val="005E2C44"/>
    <w:rsid w:val="005F63E0"/>
    <w:rsid w:val="0061036F"/>
    <w:rsid w:val="00611BD5"/>
    <w:rsid w:val="00612450"/>
    <w:rsid w:val="00616C98"/>
    <w:rsid w:val="006178D4"/>
    <w:rsid w:val="00621188"/>
    <w:rsid w:val="00621865"/>
    <w:rsid w:val="0062447D"/>
    <w:rsid w:val="006257ED"/>
    <w:rsid w:val="00631744"/>
    <w:rsid w:val="0063220F"/>
    <w:rsid w:val="00637D68"/>
    <w:rsid w:val="006400CE"/>
    <w:rsid w:val="00641F24"/>
    <w:rsid w:val="00645953"/>
    <w:rsid w:val="00647993"/>
    <w:rsid w:val="00653429"/>
    <w:rsid w:val="006602E7"/>
    <w:rsid w:val="00662780"/>
    <w:rsid w:val="00665825"/>
    <w:rsid w:val="00677B59"/>
    <w:rsid w:val="00684F2C"/>
    <w:rsid w:val="00695808"/>
    <w:rsid w:val="006B25AC"/>
    <w:rsid w:val="006B3A36"/>
    <w:rsid w:val="006B46FB"/>
    <w:rsid w:val="006B6D32"/>
    <w:rsid w:val="006B7134"/>
    <w:rsid w:val="006C47B4"/>
    <w:rsid w:val="006D4659"/>
    <w:rsid w:val="006D5314"/>
    <w:rsid w:val="006D6996"/>
    <w:rsid w:val="006E21FB"/>
    <w:rsid w:val="006F56D7"/>
    <w:rsid w:val="006F6C1F"/>
    <w:rsid w:val="007011E8"/>
    <w:rsid w:val="00705C32"/>
    <w:rsid w:val="00715825"/>
    <w:rsid w:val="007350E6"/>
    <w:rsid w:val="00735B63"/>
    <w:rsid w:val="00741770"/>
    <w:rsid w:val="00742672"/>
    <w:rsid w:val="0074691B"/>
    <w:rsid w:val="007529BB"/>
    <w:rsid w:val="00766256"/>
    <w:rsid w:val="00776E5E"/>
    <w:rsid w:val="00782F5F"/>
    <w:rsid w:val="007866F8"/>
    <w:rsid w:val="00792342"/>
    <w:rsid w:val="00792F60"/>
    <w:rsid w:val="00794B97"/>
    <w:rsid w:val="007961EB"/>
    <w:rsid w:val="007977A8"/>
    <w:rsid w:val="007B125C"/>
    <w:rsid w:val="007B32F1"/>
    <w:rsid w:val="007B512A"/>
    <w:rsid w:val="007C2097"/>
    <w:rsid w:val="007C5A88"/>
    <w:rsid w:val="007D30C1"/>
    <w:rsid w:val="007D43E7"/>
    <w:rsid w:val="007D6A07"/>
    <w:rsid w:val="007F03CB"/>
    <w:rsid w:val="007F19F7"/>
    <w:rsid w:val="007F314A"/>
    <w:rsid w:val="007F7259"/>
    <w:rsid w:val="007F75EE"/>
    <w:rsid w:val="008010CD"/>
    <w:rsid w:val="0080359F"/>
    <w:rsid w:val="008040A8"/>
    <w:rsid w:val="0081203C"/>
    <w:rsid w:val="008131E3"/>
    <w:rsid w:val="0081345F"/>
    <w:rsid w:val="00813D4B"/>
    <w:rsid w:val="00816272"/>
    <w:rsid w:val="00826353"/>
    <w:rsid w:val="008279FA"/>
    <w:rsid w:val="0084052D"/>
    <w:rsid w:val="008422F5"/>
    <w:rsid w:val="00845B08"/>
    <w:rsid w:val="00852DA4"/>
    <w:rsid w:val="008550AB"/>
    <w:rsid w:val="008626E7"/>
    <w:rsid w:val="008641E1"/>
    <w:rsid w:val="00870EE7"/>
    <w:rsid w:val="008739AB"/>
    <w:rsid w:val="008743C7"/>
    <w:rsid w:val="00874538"/>
    <w:rsid w:val="0087738C"/>
    <w:rsid w:val="00880B86"/>
    <w:rsid w:val="008863B9"/>
    <w:rsid w:val="00890434"/>
    <w:rsid w:val="008A2B87"/>
    <w:rsid w:val="008A45A6"/>
    <w:rsid w:val="008C13B2"/>
    <w:rsid w:val="008C70CC"/>
    <w:rsid w:val="008D6431"/>
    <w:rsid w:val="008E3BF1"/>
    <w:rsid w:val="008F130F"/>
    <w:rsid w:val="008F18A7"/>
    <w:rsid w:val="008F686C"/>
    <w:rsid w:val="00902A17"/>
    <w:rsid w:val="009078AD"/>
    <w:rsid w:val="009148DE"/>
    <w:rsid w:val="00914BFF"/>
    <w:rsid w:val="009151F4"/>
    <w:rsid w:val="00921FF7"/>
    <w:rsid w:val="009246AD"/>
    <w:rsid w:val="009258FB"/>
    <w:rsid w:val="0093573F"/>
    <w:rsid w:val="00941E30"/>
    <w:rsid w:val="00950346"/>
    <w:rsid w:val="00951279"/>
    <w:rsid w:val="009519FE"/>
    <w:rsid w:val="009619F0"/>
    <w:rsid w:val="00970E0A"/>
    <w:rsid w:val="00972051"/>
    <w:rsid w:val="009777D9"/>
    <w:rsid w:val="00991B88"/>
    <w:rsid w:val="00991D8B"/>
    <w:rsid w:val="00994A1A"/>
    <w:rsid w:val="009A0FAC"/>
    <w:rsid w:val="009A18F6"/>
    <w:rsid w:val="009A3067"/>
    <w:rsid w:val="009A3BEC"/>
    <w:rsid w:val="009A5753"/>
    <w:rsid w:val="009A579D"/>
    <w:rsid w:val="009B0899"/>
    <w:rsid w:val="009B4EFD"/>
    <w:rsid w:val="009C65CA"/>
    <w:rsid w:val="009D356C"/>
    <w:rsid w:val="009D5C2B"/>
    <w:rsid w:val="009E05DF"/>
    <w:rsid w:val="009E0B75"/>
    <w:rsid w:val="009E3297"/>
    <w:rsid w:val="009F6967"/>
    <w:rsid w:val="009F734F"/>
    <w:rsid w:val="00A004DF"/>
    <w:rsid w:val="00A07C73"/>
    <w:rsid w:val="00A246B6"/>
    <w:rsid w:val="00A30655"/>
    <w:rsid w:val="00A47970"/>
    <w:rsid w:val="00A47E70"/>
    <w:rsid w:val="00A50CF0"/>
    <w:rsid w:val="00A64B6C"/>
    <w:rsid w:val="00A654A8"/>
    <w:rsid w:val="00A739B0"/>
    <w:rsid w:val="00A7671C"/>
    <w:rsid w:val="00A80150"/>
    <w:rsid w:val="00A93417"/>
    <w:rsid w:val="00A94B02"/>
    <w:rsid w:val="00A9655B"/>
    <w:rsid w:val="00AA2CBC"/>
    <w:rsid w:val="00AA6AB9"/>
    <w:rsid w:val="00AB242C"/>
    <w:rsid w:val="00AC4142"/>
    <w:rsid w:val="00AC5820"/>
    <w:rsid w:val="00AD1CD8"/>
    <w:rsid w:val="00AE34A1"/>
    <w:rsid w:val="00AF12DA"/>
    <w:rsid w:val="00B0282D"/>
    <w:rsid w:val="00B120B7"/>
    <w:rsid w:val="00B1365A"/>
    <w:rsid w:val="00B15383"/>
    <w:rsid w:val="00B216FF"/>
    <w:rsid w:val="00B250C7"/>
    <w:rsid w:val="00B258BB"/>
    <w:rsid w:val="00B266AE"/>
    <w:rsid w:val="00B442B0"/>
    <w:rsid w:val="00B47D9F"/>
    <w:rsid w:val="00B61E68"/>
    <w:rsid w:val="00B63784"/>
    <w:rsid w:val="00B67B97"/>
    <w:rsid w:val="00B7603A"/>
    <w:rsid w:val="00B7625C"/>
    <w:rsid w:val="00B835D8"/>
    <w:rsid w:val="00B86E87"/>
    <w:rsid w:val="00B8792C"/>
    <w:rsid w:val="00B968C8"/>
    <w:rsid w:val="00BA047D"/>
    <w:rsid w:val="00BA3869"/>
    <w:rsid w:val="00BA3EC5"/>
    <w:rsid w:val="00BA51D9"/>
    <w:rsid w:val="00BA6E34"/>
    <w:rsid w:val="00BB22FB"/>
    <w:rsid w:val="00BB5DFC"/>
    <w:rsid w:val="00BD279D"/>
    <w:rsid w:val="00BD6BB8"/>
    <w:rsid w:val="00BD6C02"/>
    <w:rsid w:val="00BF1011"/>
    <w:rsid w:val="00BF5F2A"/>
    <w:rsid w:val="00BF6A0F"/>
    <w:rsid w:val="00C0341C"/>
    <w:rsid w:val="00C0704C"/>
    <w:rsid w:val="00C113AA"/>
    <w:rsid w:val="00C25351"/>
    <w:rsid w:val="00C34191"/>
    <w:rsid w:val="00C41451"/>
    <w:rsid w:val="00C43929"/>
    <w:rsid w:val="00C441F3"/>
    <w:rsid w:val="00C4491B"/>
    <w:rsid w:val="00C507D9"/>
    <w:rsid w:val="00C52CE2"/>
    <w:rsid w:val="00C5490D"/>
    <w:rsid w:val="00C54AC5"/>
    <w:rsid w:val="00C55832"/>
    <w:rsid w:val="00C63561"/>
    <w:rsid w:val="00C66BA2"/>
    <w:rsid w:val="00C67F05"/>
    <w:rsid w:val="00C70692"/>
    <w:rsid w:val="00C73E29"/>
    <w:rsid w:val="00C80266"/>
    <w:rsid w:val="00C82B63"/>
    <w:rsid w:val="00C95985"/>
    <w:rsid w:val="00C9759E"/>
    <w:rsid w:val="00CA45E5"/>
    <w:rsid w:val="00CA6304"/>
    <w:rsid w:val="00CB575E"/>
    <w:rsid w:val="00CC0ED2"/>
    <w:rsid w:val="00CC5026"/>
    <w:rsid w:val="00CC68D0"/>
    <w:rsid w:val="00CD084E"/>
    <w:rsid w:val="00CD6C51"/>
    <w:rsid w:val="00CF06BE"/>
    <w:rsid w:val="00D03F9A"/>
    <w:rsid w:val="00D06D51"/>
    <w:rsid w:val="00D12312"/>
    <w:rsid w:val="00D13181"/>
    <w:rsid w:val="00D1746C"/>
    <w:rsid w:val="00D24991"/>
    <w:rsid w:val="00D34CBB"/>
    <w:rsid w:val="00D372D4"/>
    <w:rsid w:val="00D40BB2"/>
    <w:rsid w:val="00D50255"/>
    <w:rsid w:val="00D53664"/>
    <w:rsid w:val="00D565A2"/>
    <w:rsid w:val="00D62998"/>
    <w:rsid w:val="00D6445A"/>
    <w:rsid w:val="00D64FDC"/>
    <w:rsid w:val="00D66520"/>
    <w:rsid w:val="00D67FA3"/>
    <w:rsid w:val="00D725E0"/>
    <w:rsid w:val="00D73848"/>
    <w:rsid w:val="00D767FA"/>
    <w:rsid w:val="00D91870"/>
    <w:rsid w:val="00DA409F"/>
    <w:rsid w:val="00DB4C3E"/>
    <w:rsid w:val="00DC69E1"/>
    <w:rsid w:val="00DC7DAC"/>
    <w:rsid w:val="00DD7CAB"/>
    <w:rsid w:val="00DE159E"/>
    <w:rsid w:val="00DE34CF"/>
    <w:rsid w:val="00DF2771"/>
    <w:rsid w:val="00DF62EE"/>
    <w:rsid w:val="00E10FC7"/>
    <w:rsid w:val="00E13F3D"/>
    <w:rsid w:val="00E21B75"/>
    <w:rsid w:val="00E34898"/>
    <w:rsid w:val="00E35927"/>
    <w:rsid w:val="00E35B2F"/>
    <w:rsid w:val="00E367CA"/>
    <w:rsid w:val="00E60FEF"/>
    <w:rsid w:val="00E61E79"/>
    <w:rsid w:val="00E6660E"/>
    <w:rsid w:val="00E71B1B"/>
    <w:rsid w:val="00E7539D"/>
    <w:rsid w:val="00E76966"/>
    <w:rsid w:val="00E811A2"/>
    <w:rsid w:val="00E96482"/>
    <w:rsid w:val="00EA360F"/>
    <w:rsid w:val="00EB09B7"/>
    <w:rsid w:val="00EB6EF3"/>
    <w:rsid w:val="00ED357C"/>
    <w:rsid w:val="00ED4B74"/>
    <w:rsid w:val="00EE6699"/>
    <w:rsid w:val="00EE7D7C"/>
    <w:rsid w:val="00EF3DE5"/>
    <w:rsid w:val="00F02D86"/>
    <w:rsid w:val="00F02E15"/>
    <w:rsid w:val="00F064FC"/>
    <w:rsid w:val="00F13DE3"/>
    <w:rsid w:val="00F14732"/>
    <w:rsid w:val="00F2475C"/>
    <w:rsid w:val="00F25D98"/>
    <w:rsid w:val="00F300FB"/>
    <w:rsid w:val="00F36F7D"/>
    <w:rsid w:val="00F41FBB"/>
    <w:rsid w:val="00F43C47"/>
    <w:rsid w:val="00F5730D"/>
    <w:rsid w:val="00F61CFA"/>
    <w:rsid w:val="00F7448A"/>
    <w:rsid w:val="00F76729"/>
    <w:rsid w:val="00F960CC"/>
    <w:rsid w:val="00FA7C1D"/>
    <w:rsid w:val="00FB6386"/>
    <w:rsid w:val="00FD05BF"/>
    <w:rsid w:val="00FD335E"/>
    <w:rsid w:val="00FD3476"/>
    <w:rsid w:val="00FD39F9"/>
    <w:rsid w:val="00FE569B"/>
    <w:rsid w:val="00FF76B1"/>
    <w:rsid w:val="08DB48AA"/>
    <w:rsid w:val="0CB407F6"/>
    <w:rsid w:val="10217F0D"/>
    <w:rsid w:val="1DFE7A0C"/>
    <w:rsid w:val="1E44537A"/>
    <w:rsid w:val="1E9B17BF"/>
    <w:rsid w:val="1FCB10B1"/>
    <w:rsid w:val="216C11EE"/>
    <w:rsid w:val="21715ED3"/>
    <w:rsid w:val="26D43406"/>
    <w:rsid w:val="30AA7CF9"/>
    <w:rsid w:val="3310084A"/>
    <w:rsid w:val="338B6E36"/>
    <w:rsid w:val="369219EF"/>
    <w:rsid w:val="37CC6A1F"/>
    <w:rsid w:val="38270F94"/>
    <w:rsid w:val="384C455D"/>
    <w:rsid w:val="38535CB3"/>
    <w:rsid w:val="3AF76AC4"/>
    <w:rsid w:val="3F6809ED"/>
    <w:rsid w:val="3F875A04"/>
    <w:rsid w:val="41FE2103"/>
    <w:rsid w:val="43D032BC"/>
    <w:rsid w:val="448E7358"/>
    <w:rsid w:val="49BC6B47"/>
    <w:rsid w:val="4BB2454E"/>
    <w:rsid w:val="4E22301A"/>
    <w:rsid w:val="555B3C95"/>
    <w:rsid w:val="57DB4CA3"/>
    <w:rsid w:val="5ADB3FED"/>
    <w:rsid w:val="5B6B2A3B"/>
    <w:rsid w:val="5C435601"/>
    <w:rsid w:val="5D555326"/>
    <w:rsid w:val="61344BF3"/>
    <w:rsid w:val="62242901"/>
    <w:rsid w:val="64886E75"/>
    <w:rsid w:val="656F0134"/>
    <w:rsid w:val="65862281"/>
    <w:rsid w:val="68D175ED"/>
    <w:rsid w:val="70D254A1"/>
    <w:rsid w:val="71044717"/>
    <w:rsid w:val="71257D30"/>
    <w:rsid w:val="71852D63"/>
    <w:rsid w:val="71914924"/>
    <w:rsid w:val="71ED1843"/>
    <w:rsid w:val="7588316D"/>
    <w:rsid w:val="7AAB0BFF"/>
    <w:rsid w:val="7C6D5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Batang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iPriority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qFormat="1" w:unhideWhenUsed="0" w:uiPriority="0" w:name="footnote reference"/>
    <w:lsdException w:qFormat="1" w:unhideWhenUsed="0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cs="Times New Roman" w:eastAsiaTheme="minorEastAsia"/>
      <w:lang w:val="en-GB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pBdr>
        <w:top w:val="single" w:color="auto" w:sz="12" w:space="3"/>
      </w:pBdr>
      <w:spacing w:before="240"/>
      <w:ind w:left="1134" w:hanging="1134"/>
      <w:outlineLvl w:val="0"/>
    </w:pPr>
    <w:rPr>
      <w:rFonts w:ascii="Arial" w:hAnsi="Arial"/>
      <w:sz w:val="36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4">
    <w:name w:val="Default Paragraph Font"/>
    <w:semiHidden/>
    <w:unhideWhenUsed/>
    <w:uiPriority w:val="1"/>
  </w:style>
  <w:style w:type="table" w:default="1" w:styleId="4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cs="Times New Roman" w:eastAsiaTheme="minorEastAsia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29">
    <w:name w:val="annotation text"/>
    <w:basedOn w:val="1"/>
    <w:semiHidden/>
    <w:qFormat/>
    <w:uiPriority w:val="0"/>
  </w:style>
  <w:style w:type="paragraph" w:styleId="30">
    <w:name w:val="List Bullet 5"/>
    <w:basedOn w:val="24"/>
    <w:qFormat/>
    <w:uiPriority w:val="0"/>
    <w:pPr>
      <w:ind w:left="1702"/>
    </w:pPr>
  </w:style>
  <w:style w:type="paragraph" w:styleId="31">
    <w:name w:val="toc 8"/>
    <w:basedOn w:val="21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32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3">
    <w:name w:val="footer"/>
    <w:basedOn w:val="34"/>
    <w:qFormat/>
    <w:uiPriority w:val="0"/>
    <w:pPr>
      <w:jc w:val="center"/>
    </w:pPr>
    <w:rPr>
      <w:i/>
    </w:rPr>
  </w:style>
  <w:style w:type="paragraph" w:styleId="34">
    <w:name w:val="header"/>
    <w:qFormat/>
    <w:uiPriority w:val="0"/>
    <w:pPr>
      <w:widowControl w:val="0"/>
    </w:pPr>
    <w:rPr>
      <w:rFonts w:ascii="Arial" w:hAnsi="Arial" w:cs="Times New Roman" w:eastAsiaTheme="minorEastAsia"/>
      <w:b/>
      <w:sz w:val="18"/>
      <w:lang w:val="en-GB" w:eastAsia="en-US" w:bidi="ar-SA"/>
    </w:rPr>
  </w:style>
  <w:style w:type="paragraph" w:styleId="35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6">
    <w:name w:val="List 5"/>
    <w:basedOn w:val="37"/>
    <w:qFormat/>
    <w:uiPriority w:val="0"/>
    <w:pPr>
      <w:ind w:left="1702"/>
    </w:pPr>
  </w:style>
  <w:style w:type="paragraph" w:styleId="37">
    <w:name w:val="List 4"/>
    <w:basedOn w:val="12"/>
    <w:qFormat/>
    <w:uiPriority w:val="0"/>
    <w:pPr>
      <w:ind w:left="1418"/>
    </w:pPr>
  </w:style>
  <w:style w:type="paragraph" w:styleId="38">
    <w:name w:val="toc 9"/>
    <w:basedOn w:val="31"/>
    <w:next w:val="1"/>
    <w:semiHidden/>
    <w:qFormat/>
    <w:uiPriority w:val="0"/>
    <w:pPr>
      <w:ind w:left="1418" w:hanging="1418"/>
    </w:pPr>
  </w:style>
  <w:style w:type="paragraph" w:styleId="39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40">
    <w:name w:val="index 2"/>
    <w:basedOn w:val="39"/>
    <w:next w:val="1"/>
    <w:semiHidden/>
    <w:qFormat/>
    <w:uiPriority w:val="0"/>
    <w:pPr>
      <w:ind w:left="284"/>
    </w:pPr>
  </w:style>
  <w:style w:type="paragraph" w:styleId="41">
    <w:name w:val="annotation subject"/>
    <w:basedOn w:val="29"/>
    <w:next w:val="29"/>
    <w:semiHidden/>
    <w:qFormat/>
    <w:uiPriority w:val="0"/>
    <w:rPr>
      <w:b/>
      <w:bCs/>
    </w:rPr>
  </w:style>
  <w:style w:type="table" w:styleId="43">
    <w:name w:val="Table Grid"/>
    <w:basedOn w:val="42"/>
    <w:qFormat/>
    <w:uiPriority w:val="0"/>
    <w:rPr>
      <w:rFonts w:eastAsia="Malgun Gothic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5">
    <w:name w:val="FollowedHyperlink"/>
    <w:qFormat/>
    <w:uiPriority w:val="0"/>
    <w:rPr>
      <w:color w:val="800080"/>
      <w:u w:val="single"/>
    </w:rPr>
  </w:style>
  <w:style w:type="character" w:styleId="46">
    <w:name w:val="Hyperlink"/>
    <w:qFormat/>
    <w:uiPriority w:val="0"/>
    <w:rPr>
      <w:color w:val="0000FF"/>
      <w:u w:val="single"/>
    </w:rPr>
  </w:style>
  <w:style w:type="character" w:styleId="47">
    <w:name w:val="annotation reference"/>
    <w:semiHidden/>
    <w:qFormat/>
    <w:uiPriority w:val="0"/>
    <w:rPr>
      <w:sz w:val="16"/>
    </w:rPr>
  </w:style>
  <w:style w:type="character" w:styleId="48">
    <w:name w:val="footnote reference"/>
    <w:semiHidden/>
    <w:qFormat/>
    <w:uiPriority w:val="0"/>
    <w:rPr>
      <w:b/>
      <w:position w:val="6"/>
      <w:sz w:val="16"/>
    </w:rPr>
  </w:style>
  <w:style w:type="paragraph" w:customStyle="1" w:styleId="49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cs="Times New Roman" w:eastAsiaTheme="minorEastAsia"/>
      <w:b/>
      <w:sz w:val="34"/>
      <w:lang w:val="en-GB" w:eastAsia="en-US" w:bidi="ar-SA"/>
    </w:rPr>
  </w:style>
  <w:style w:type="paragraph" w:customStyle="1" w:styleId="50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51">
    <w:name w:val="TT"/>
    <w:basedOn w:val="2"/>
    <w:next w:val="1"/>
    <w:qFormat/>
    <w:uiPriority w:val="0"/>
    <w:pPr>
      <w:outlineLvl w:val="9"/>
    </w:pPr>
  </w:style>
  <w:style w:type="paragraph" w:customStyle="1" w:styleId="52">
    <w:name w:val="TAH"/>
    <w:basedOn w:val="53"/>
    <w:link w:val="89"/>
    <w:qFormat/>
    <w:uiPriority w:val="0"/>
    <w:rPr>
      <w:b/>
    </w:rPr>
  </w:style>
  <w:style w:type="paragraph" w:customStyle="1" w:styleId="53">
    <w:name w:val="TAC"/>
    <w:basedOn w:val="54"/>
    <w:qFormat/>
    <w:uiPriority w:val="0"/>
    <w:pPr>
      <w:jc w:val="center"/>
    </w:pPr>
  </w:style>
  <w:style w:type="paragraph" w:customStyle="1" w:styleId="54">
    <w:name w:val="TAL"/>
    <w:basedOn w:val="1"/>
    <w:link w:val="87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5">
    <w:name w:val="TF"/>
    <w:basedOn w:val="56"/>
    <w:link w:val="96"/>
    <w:qFormat/>
    <w:uiPriority w:val="0"/>
    <w:pPr>
      <w:keepNext w:val="0"/>
      <w:spacing w:before="0" w:after="240"/>
    </w:pPr>
  </w:style>
  <w:style w:type="paragraph" w:customStyle="1" w:styleId="56">
    <w:name w:val="TH"/>
    <w:basedOn w:val="1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7">
    <w:name w:val="NO"/>
    <w:basedOn w:val="1"/>
    <w:link w:val="90"/>
    <w:qFormat/>
    <w:uiPriority w:val="0"/>
    <w:pPr>
      <w:keepLines/>
      <w:ind w:left="1135" w:hanging="851"/>
    </w:pPr>
  </w:style>
  <w:style w:type="paragraph" w:customStyle="1" w:styleId="58">
    <w:name w:val="EX"/>
    <w:basedOn w:val="1"/>
    <w:qFormat/>
    <w:uiPriority w:val="0"/>
    <w:pPr>
      <w:keepLines/>
      <w:ind w:left="1702" w:hanging="1418"/>
    </w:pPr>
  </w:style>
  <w:style w:type="paragraph" w:customStyle="1" w:styleId="59">
    <w:name w:val="FP"/>
    <w:basedOn w:val="1"/>
    <w:qFormat/>
    <w:uiPriority w:val="0"/>
    <w:pPr>
      <w:spacing w:after="0"/>
    </w:pPr>
  </w:style>
  <w:style w:type="paragraph" w:customStyle="1" w:styleId="60">
    <w:name w:val="LD"/>
    <w:qFormat/>
    <w:uiPriority w:val="0"/>
    <w:pPr>
      <w:keepNext/>
      <w:keepLines/>
      <w:spacing w:line="180" w:lineRule="exact"/>
    </w:pPr>
    <w:rPr>
      <w:rFonts w:ascii="MS LineDraw" w:hAnsi="MS LineDraw" w:cs="Times New Roman" w:eastAsiaTheme="minorEastAsia"/>
      <w:lang w:val="en-GB" w:eastAsia="en-US" w:bidi="ar-SA"/>
    </w:rPr>
  </w:style>
  <w:style w:type="paragraph" w:customStyle="1" w:styleId="61">
    <w:name w:val="NW"/>
    <w:basedOn w:val="57"/>
    <w:qFormat/>
    <w:uiPriority w:val="0"/>
    <w:pPr>
      <w:spacing w:after="0"/>
    </w:pPr>
  </w:style>
  <w:style w:type="paragraph" w:customStyle="1" w:styleId="62">
    <w:name w:val="EW"/>
    <w:basedOn w:val="58"/>
    <w:qFormat/>
    <w:uiPriority w:val="0"/>
    <w:pPr>
      <w:spacing w:after="0"/>
    </w:pPr>
  </w:style>
  <w:style w:type="paragraph" w:customStyle="1" w:styleId="63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4">
    <w:name w:val="NF"/>
    <w:basedOn w:val="57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5">
    <w:name w:val="PL"/>
    <w:link w:val="95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cs="Times New Roman" w:eastAsiaTheme="minorEastAsia"/>
      <w:sz w:val="16"/>
      <w:lang w:val="en-GB" w:eastAsia="en-US" w:bidi="ar-SA"/>
    </w:rPr>
  </w:style>
  <w:style w:type="paragraph" w:customStyle="1" w:styleId="66">
    <w:name w:val="TAR"/>
    <w:basedOn w:val="54"/>
    <w:qFormat/>
    <w:uiPriority w:val="0"/>
    <w:pPr>
      <w:jc w:val="right"/>
    </w:pPr>
  </w:style>
  <w:style w:type="paragraph" w:customStyle="1" w:styleId="67">
    <w:name w:val="TAN"/>
    <w:basedOn w:val="54"/>
    <w:qFormat/>
    <w:uiPriority w:val="0"/>
    <w:pPr>
      <w:ind w:left="851" w:hanging="851"/>
    </w:pPr>
  </w:style>
  <w:style w:type="paragraph" w:customStyle="1" w:styleId="68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cs="Times New Roman" w:eastAsiaTheme="minorEastAsia"/>
      <w:sz w:val="40"/>
      <w:lang w:val="en-GB" w:eastAsia="en-US" w:bidi="ar-SA"/>
    </w:rPr>
  </w:style>
  <w:style w:type="paragraph" w:customStyle="1" w:styleId="69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cs="Times New Roman" w:eastAsiaTheme="minorEastAsia"/>
      <w:i/>
      <w:lang w:val="en-GB" w:eastAsia="en-US" w:bidi="ar-SA"/>
    </w:rPr>
  </w:style>
  <w:style w:type="paragraph" w:customStyle="1" w:styleId="70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cs="Times New Roman" w:eastAsiaTheme="minorEastAsia"/>
      <w:sz w:val="32"/>
      <w:lang w:val="en-GB" w:eastAsia="en-US" w:bidi="ar-SA"/>
    </w:rPr>
  </w:style>
  <w:style w:type="paragraph" w:customStyle="1" w:styleId="71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72">
    <w:name w:val="ZV"/>
    <w:basedOn w:val="71"/>
    <w:qFormat/>
    <w:uiPriority w:val="0"/>
    <w:pPr>
      <w:framePr w:y="16161"/>
    </w:pPr>
  </w:style>
  <w:style w:type="character" w:customStyle="1" w:styleId="73">
    <w:name w:val="ZGSM"/>
    <w:qFormat/>
    <w:uiPriority w:val="0"/>
  </w:style>
  <w:style w:type="paragraph" w:customStyle="1" w:styleId="74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75">
    <w:name w:val="Editor's Note"/>
    <w:basedOn w:val="57"/>
    <w:qFormat/>
    <w:uiPriority w:val="0"/>
    <w:rPr>
      <w:color w:val="FF0000"/>
    </w:rPr>
  </w:style>
  <w:style w:type="paragraph" w:customStyle="1" w:styleId="76">
    <w:name w:val="B1"/>
    <w:basedOn w:val="14"/>
    <w:link w:val="88"/>
    <w:qFormat/>
    <w:uiPriority w:val="0"/>
  </w:style>
  <w:style w:type="paragraph" w:customStyle="1" w:styleId="77">
    <w:name w:val="B2"/>
    <w:basedOn w:val="13"/>
    <w:link w:val="91"/>
    <w:qFormat/>
    <w:uiPriority w:val="0"/>
  </w:style>
  <w:style w:type="paragraph" w:customStyle="1" w:styleId="78">
    <w:name w:val="B3"/>
    <w:basedOn w:val="12"/>
    <w:link w:val="92"/>
    <w:qFormat/>
    <w:uiPriority w:val="0"/>
  </w:style>
  <w:style w:type="paragraph" w:customStyle="1" w:styleId="79">
    <w:name w:val="B4"/>
    <w:basedOn w:val="37"/>
    <w:link w:val="93"/>
    <w:qFormat/>
    <w:uiPriority w:val="0"/>
  </w:style>
  <w:style w:type="paragraph" w:customStyle="1" w:styleId="80">
    <w:name w:val="B5"/>
    <w:basedOn w:val="36"/>
    <w:link w:val="94"/>
    <w:qFormat/>
    <w:uiPriority w:val="0"/>
  </w:style>
  <w:style w:type="paragraph" w:customStyle="1" w:styleId="81">
    <w:name w:val="ZTD"/>
    <w:basedOn w:val="69"/>
    <w:qFormat/>
    <w:uiPriority w:val="0"/>
    <w:pPr>
      <w:framePr w:hRule="auto" w:y="852"/>
    </w:pPr>
    <w:rPr>
      <w:i w:val="0"/>
      <w:sz w:val="40"/>
    </w:rPr>
  </w:style>
  <w:style w:type="paragraph" w:customStyle="1" w:styleId="82">
    <w:name w:val="CR Cover Page"/>
    <w:link w:val="84"/>
    <w:qFormat/>
    <w:uiPriority w:val="0"/>
    <w:pPr>
      <w:spacing w:after="120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83">
    <w:name w:val="tdoc-header"/>
    <w:qFormat/>
    <w:uiPriority w:val="0"/>
    <w:rPr>
      <w:rFonts w:ascii="Arial" w:hAnsi="Arial" w:cs="Times New Roman" w:eastAsiaTheme="minorEastAsia"/>
      <w:sz w:val="24"/>
      <w:lang w:val="en-GB" w:eastAsia="en-US" w:bidi="ar-SA"/>
    </w:rPr>
  </w:style>
  <w:style w:type="character" w:customStyle="1" w:styleId="84">
    <w:name w:val="CR Cover Page Zchn"/>
    <w:link w:val="82"/>
    <w:qFormat/>
    <w:uiPriority w:val="0"/>
    <w:rPr>
      <w:rFonts w:ascii="Arial" w:hAnsi="Arial"/>
      <w:lang w:val="en-GB" w:eastAsia="en-US"/>
    </w:rPr>
  </w:style>
  <w:style w:type="paragraph" w:styleId="85">
    <w:name w:val="List Paragraph"/>
    <w:basedOn w:val="1"/>
    <w:link w:val="86"/>
    <w:qFormat/>
    <w:uiPriority w:val="34"/>
    <w:pPr>
      <w:spacing w:after="0"/>
      <w:ind w:left="840" w:leftChars="400" w:hanging="720"/>
    </w:pPr>
    <w:rPr>
      <w:rFonts w:ascii="Times" w:hAnsi="Times" w:eastAsia="Batang"/>
      <w:szCs w:val="24"/>
      <w:lang w:eastAsia="zh-CN"/>
    </w:rPr>
  </w:style>
  <w:style w:type="character" w:customStyle="1" w:styleId="86">
    <w:name w:val="列出段落 Char"/>
    <w:link w:val="85"/>
    <w:qFormat/>
    <w:uiPriority w:val="34"/>
    <w:rPr>
      <w:rFonts w:ascii="Times" w:hAnsi="Times" w:eastAsia="Batang"/>
      <w:szCs w:val="24"/>
      <w:lang w:val="en-GB" w:eastAsia="zh-CN"/>
    </w:rPr>
  </w:style>
  <w:style w:type="character" w:customStyle="1" w:styleId="87">
    <w:name w:val="TAL Car"/>
    <w:link w:val="54"/>
    <w:qFormat/>
    <w:uiPriority w:val="0"/>
    <w:rPr>
      <w:rFonts w:ascii="Arial" w:hAnsi="Arial"/>
      <w:sz w:val="18"/>
      <w:lang w:val="en-GB" w:eastAsia="en-US"/>
    </w:rPr>
  </w:style>
  <w:style w:type="character" w:customStyle="1" w:styleId="88">
    <w:name w:val="B1 Char1"/>
    <w:link w:val="76"/>
    <w:qFormat/>
    <w:uiPriority w:val="0"/>
    <w:rPr>
      <w:rFonts w:ascii="Times New Roman" w:hAnsi="Times New Roman"/>
      <w:lang w:val="en-GB" w:eastAsia="en-US"/>
    </w:rPr>
  </w:style>
  <w:style w:type="character" w:customStyle="1" w:styleId="89">
    <w:name w:val="TAH Car"/>
    <w:link w:val="52"/>
    <w:qFormat/>
    <w:locked/>
    <w:uiPriority w:val="0"/>
    <w:rPr>
      <w:rFonts w:ascii="Arial" w:hAnsi="Arial"/>
      <w:b/>
      <w:sz w:val="18"/>
      <w:lang w:val="en-GB" w:eastAsia="en-US"/>
    </w:rPr>
  </w:style>
  <w:style w:type="character" w:customStyle="1" w:styleId="90">
    <w:name w:val="NO Char"/>
    <w:link w:val="57"/>
    <w:qFormat/>
    <w:uiPriority w:val="0"/>
    <w:rPr>
      <w:rFonts w:ascii="Times New Roman" w:hAnsi="Times New Roman"/>
      <w:lang w:val="en-GB" w:eastAsia="en-US"/>
    </w:rPr>
  </w:style>
  <w:style w:type="character" w:customStyle="1" w:styleId="91">
    <w:name w:val="B2 Char"/>
    <w:link w:val="77"/>
    <w:qFormat/>
    <w:uiPriority w:val="0"/>
    <w:rPr>
      <w:rFonts w:ascii="Times New Roman" w:hAnsi="Times New Roman"/>
      <w:lang w:val="en-GB" w:eastAsia="en-US"/>
    </w:rPr>
  </w:style>
  <w:style w:type="character" w:customStyle="1" w:styleId="92">
    <w:name w:val="B3 Char2"/>
    <w:link w:val="78"/>
    <w:qFormat/>
    <w:uiPriority w:val="0"/>
    <w:rPr>
      <w:rFonts w:ascii="Times New Roman" w:hAnsi="Times New Roman"/>
      <w:lang w:val="en-GB" w:eastAsia="en-US"/>
    </w:rPr>
  </w:style>
  <w:style w:type="character" w:customStyle="1" w:styleId="93">
    <w:name w:val="B4 Char"/>
    <w:link w:val="79"/>
    <w:qFormat/>
    <w:uiPriority w:val="0"/>
    <w:rPr>
      <w:rFonts w:ascii="Times New Roman" w:hAnsi="Times New Roman"/>
      <w:lang w:val="en-GB" w:eastAsia="en-US"/>
    </w:rPr>
  </w:style>
  <w:style w:type="character" w:customStyle="1" w:styleId="94">
    <w:name w:val="B5 Char"/>
    <w:link w:val="80"/>
    <w:qFormat/>
    <w:uiPriority w:val="0"/>
    <w:rPr>
      <w:rFonts w:ascii="Times New Roman" w:hAnsi="Times New Roman"/>
      <w:lang w:val="en-GB" w:eastAsia="en-US"/>
    </w:rPr>
  </w:style>
  <w:style w:type="character" w:customStyle="1" w:styleId="95">
    <w:name w:val="PL Char"/>
    <w:link w:val="65"/>
    <w:qFormat/>
    <w:uiPriority w:val="0"/>
    <w:rPr>
      <w:rFonts w:ascii="Courier New" w:hAnsi="Courier New"/>
      <w:sz w:val="16"/>
      <w:lang w:val="en-GB" w:eastAsia="en-US"/>
    </w:rPr>
  </w:style>
  <w:style w:type="character" w:customStyle="1" w:styleId="96">
    <w:name w:val="TF Char"/>
    <w:link w:val="55"/>
    <w:qFormat/>
    <w:uiPriority w:val="0"/>
    <w:rPr>
      <w:rFonts w:ascii="Arial" w:hAnsi="Arial"/>
      <w:b/>
      <w:lang w:val="en-GB" w:eastAsia="en-US"/>
    </w:rPr>
  </w:style>
  <w:style w:type="character" w:customStyle="1" w:styleId="97">
    <w:name w:val="apple-converted-space"/>
    <w:basedOn w:val="44"/>
    <w:qFormat/>
    <w:uiPriority w:val="0"/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microsoft.com/office/2006/relationships/keyMapCustomizations" Target="customizations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microsoft.com/office/2011/relationships/people" Target="peop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4D8DCC4-A1EE-4C8A-85BB-9E2B6E4D7B4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Company>3GPP Support Team</Company>
  <Pages>3</Pages>
  <Words>971</Words>
  <Characters>5537</Characters>
  <Lines>46</Lines>
  <Paragraphs>12</Paragraphs>
  <TotalTime>1</TotalTime>
  <ScaleCrop>false</ScaleCrop>
  <LinksUpToDate>false</LinksUpToDate>
  <CharactersWithSpaces>6496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2020-03-12T02:30:00Z</dcterms:created>
  <dc:creator>Michael Sanders, John M Meredith</dc:creator>
  <cp:lastModifiedBy>ZTE(Wenting)</cp:lastModifiedBy>
  <cp:lastPrinted>2411-12-31T15:59:00Z</cp:lastPrinted>
  <dcterms:modified xsi:type="dcterms:W3CDTF">2021-04-19T13:58:32Z</dcterms:modified>
  <dc:title>MTG_TITLE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(3)tq/RTDLjo5BZHEgioPAcvE0cxLGm46yN6Qbmfnzvc79m35pFhi8brg9/cLe0QzLyXTyvws33
Z/KA9Dg1Ttml1d402qKazNsENJg2adpYZFSvbdivaRMzPBx7AnLDAC7tqWaMe9i20WGQC1zU
42eLPYmQ8BVfslLmSBKcYFHOllO5ApLqXv0vaRtwpefbRdvV2Ijq7hb+FONTFiNxVaOw5bPJ
jRGAbm2fP6bZZacg4U</vt:lpwstr>
  </property>
  <property fmtid="{D5CDD505-2E9C-101B-9397-08002B2CF9AE}" pid="22" name="_2015_ms_pID_7253431">
    <vt:lpwstr>UsiIK+KgOGv7w8Mkp2R7O5lgBF/8UlV4QSm4Q1IYujj4y0v58iXyNK
BM3ffK1/91Cd8Bq93Of+puwGWPAH75hEGgSmbTu4/nkw1rKjBJyvRO/yObfW0eDnUwqNVTAc
oqJc9XzyBGasKUEI/hr7K8RVw6iXspeBU2K1qK8OM2vECYr61EWP3XFIJuNOvcK5B/tfx95C
2R0316OOgYssJ9ZsDFVKsubzZJdK1hHJWTD+</vt:lpwstr>
  </property>
  <property fmtid="{D5CDD505-2E9C-101B-9397-08002B2CF9AE}" pid="23" name="_2015_ms_pID_7253432">
    <vt:lpwstr>3w==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1582598346</vt:lpwstr>
  </property>
  <property fmtid="{D5CDD505-2E9C-101B-9397-08002B2CF9AE}" pid="28" name="KSOProductBuildVer">
    <vt:lpwstr>2052-11.8.2.9022</vt:lpwstr>
  </property>
</Properties>
</file>