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맑은 고딕"/>
                <w:lang w:eastAsia="ko-KR"/>
              </w:rPr>
            </w:pPr>
            <w:r>
              <w:rPr>
                <w:rFonts w:eastAsia="맑은 고딕"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맑은 고딕"/>
                <w:lang w:eastAsia="ko-KR"/>
              </w:rPr>
            </w:pPr>
            <w:r>
              <w:rPr>
                <w:rFonts w:eastAsia="맑은 고딕" w:hint="eastAsia"/>
                <w:lang w:eastAsia="ko-KR"/>
              </w:rPr>
              <w:t>Hyunjeong Kang</w:t>
            </w:r>
          </w:p>
        </w:tc>
        <w:tc>
          <w:tcPr>
            <w:tcW w:w="3879" w:type="dxa"/>
            <w:noWrap/>
            <w:vAlign w:val="bottom"/>
          </w:tcPr>
          <w:p w14:paraId="091A1BC4" w14:textId="5FC78A50" w:rsidR="00195846" w:rsidRPr="004D5B38" w:rsidRDefault="004D5B38">
            <w:pPr>
              <w:pStyle w:val="TAC"/>
              <w:spacing w:before="20" w:after="20"/>
              <w:ind w:left="57" w:right="57"/>
              <w:rPr>
                <w:rFonts w:eastAsia="맑은 고딕"/>
                <w:lang w:eastAsia="ko-KR"/>
              </w:rPr>
            </w:pPr>
            <w:r>
              <w:rPr>
                <w:rFonts w:eastAsia="맑은 고딕"/>
                <w:lang w:eastAsia="ko-KR"/>
              </w:rPr>
              <w:t>h</w:t>
            </w:r>
            <w:r>
              <w:rPr>
                <w:rFonts w:eastAsia="맑은 고딕" w:hint="eastAsia"/>
                <w:lang w:eastAsia="ko-KR"/>
              </w:rPr>
              <w:t>yunjeong.</w:t>
            </w:r>
            <w:r>
              <w:rPr>
                <w:rFonts w:eastAsia="맑은 고딕"/>
                <w:lang w:eastAsia="ko-KR"/>
              </w:rPr>
              <w:t>kang@samsung.com</w:t>
            </w:r>
          </w:p>
        </w:tc>
      </w:tr>
      <w:tr w:rsidR="00195846" w14:paraId="3D33DD46" w14:textId="77777777">
        <w:trPr>
          <w:trHeight w:val="240"/>
          <w:jc w:val="center"/>
        </w:trPr>
        <w:tc>
          <w:tcPr>
            <w:tcW w:w="2245" w:type="dxa"/>
            <w:noWrap/>
            <w:vAlign w:val="bottom"/>
          </w:tcPr>
          <w:p w14:paraId="496F9789" w14:textId="44B139D6" w:rsidR="00195846" w:rsidRPr="00E94B7B" w:rsidRDefault="00E94B7B">
            <w:pPr>
              <w:pStyle w:val="TAC"/>
              <w:spacing w:before="20" w:after="20"/>
              <w:ind w:left="57" w:right="57"/>
              <w:rPr>
                <w:rFonts w:eastAsia="PMingLiU"/>
                <w:lang w:eastAsia="zh-TW"/>
              </w:rPr>
            </w:pPr>
            <w:r>
              <w:rPr>
                <w:rFonts w:eastAsia="PMingLiU"/>
                <w:lang w:eastAsia="zh-TW"/>
              </w:rPr>
              <w:t>APT</w:t>
            </w:r>
          </w:p>
        </w:tc>
        <w:tc>
          <w:tcPr>
            <w:tcW w:w="3231" w:type="dxa"/>
            <w:vAlign w:val="bottom"/>
          </w:tcPr>
          <w:p w14:paraId="59154BBE" w14:textId="22EDF954" w:rsidR="00195846" w:rsidRPr="00E94B7B" w:rsidRDefault="00E94B7B">
            <w:pPr>
              <w:pStyle w:val="TAC"/>
              <w:spacing w:before="20" w:after="20"/>
              <w:ind w:left="57" w:right="57"/>
              <w:rPr>
                <w:rFonts w:eastAsia="PMingLiU"/>
                <w:lang w:eastAsia="zh-TW"/>
              </w:rPr>
            </w:pPr>
            <w:r>
              <w:rPr>
                <w:rFonts w:eastAsia="PMingLiU" w:hint="eastAsia"/>
                <w:lang w:eastAsia="zh-TW"/>
              </w:rPr>
              <w:t>M</w:t>
            </w:r>
            <w:r>
              <w:rPr>
                <w:rFonts w:eastAsia="PMingLiU"/>
                <w:lang w:eastAsia="zh-TW"/>
              </w:rPr>
              <w:t>ei-Ju Shih</w:t>
            </w:r>
          </w:p>
        </w:tc>
        <w:tc>
          <w:tcPr>
            <w:tcW w:w="3879" w:type="dxa"/>
            <w:noWrap/>
            <w:vAlign w:val="bottom"/>
          </w:tcPr>
          <w:p w14:paraId="2107A439" w14:textId="31E8D2EB" w:rsidR="00195846" w:rsidRPr="00E94B7B" w:rsidRDefault="00E94B7B">
            <w:pPr>
              <w:pStyle w:val="TAC"/>
              <w:spacing w:before="20" w:after="20"/>
              <w:ind w:left="57" w:right="57"/>
              <w:rPr>
                <w:rFonts w:eastAsia="PMingLiU"/>
                <w:lang w:eastAsia="zh-TW"/>
              </w:rPr>
            </w:pPr>
            <w:r>
              <w:rPr>
                <w:rFonts w:eastAsia="PMingLiU"/>
                <w:lang w:eastAsia="zh-TW"/>
              </w:rPr>
              <w:t>mei-ju.shih@aptg.com.tw</w:t>
            </w:r>
          </w:p>
        </w:tc>
      </w:tr>
      <w:tr w:rsidR="00195846" w14:paraId="0B9052AF" w14:textId="77777777">
        <w:trPr>
          <w:trHeight w:val="240"/>
          <w:jc w:val="center"/>
        </w:trPr>
        <w:tc>
          <w:tcPr>
            <w:tcW w:w="2245" w:type="dxa"/>
            <w:noWrap/>
            <w:vAlign w:val="bottom"/>
          </w:tcPr>
          <w:p w14:paraId="09BC939C" w14:textId="39123C40" w:rsidR="00195846" w:rsidRDefault="00705C3D">
            <w:pPr>
              <w:pStyle w:val="TAC"/>
              <w:spacing w:before="20" w:after="20"/>
              <w:ind w:left="57" w:right="57"/>
              <w:rPr>
                <w:lang w:eastAsia="zh-CN"/>
              </w:rPr>
            </w:pPr>
            <w:r>
              <w:rPr>
                <w:rFonts w:hint="eastAsia"/>
                <w:lang w:eastAsia="zh-CN"/>
              </w:rPr>
              <w:t>C</w:t>
            </w:r>
            <w:r>
              <w:rPr>
                <w:lang w:eastAsia="zh-CN"/>
              </w:rPr>
              <w:t>MCC</w:t>
            </w:r>
          </w:p>
        </w:tc>
        <w:tc>
          <w:tcPr>
            <w:tcW w:w="3231" w:type="dxa"/>
            <w:vAlign w:val="bottom"/>
          </w:tcPr>
          <w:p w14:paraId="22777E99" w14:textId="366E20C3" w:rsidR="00195846" w:rsidRDefault="00705C3D">
            <w:pPr>
              <w:pStyle w:val="TAC"/>
              <w:spacing w:before="20" w:after="20"/>
              <w:ind w:left="57" w:right="57"/>
              <w:rPr>
                <w:lang w:eastAsia="zh-CN"/>
              </w:rPr>
            </w:pPr>
            <w:r>
              <w:rPr>
                <w:lang w:eastAsia="zh-CN"/>
              </w:rPr>
              <w:t>Ningyu Chen</w:t>
            </w:r>
          </w:p>
        </w:tc>
        <w:tc>
          <w:tcPr>
            <w:tcW w:w="3879" w:type="dxa"/>
            <w:noWrap/>
            <w:vAlign w:val="bottom"/>
          </w:tcPr>
          <w:p w14:paraId="5D406C87" w14:textId="7372F3A8" w:rsidR="00195846" w:rsidRDefault="00705C3D">
            <w:pPr>
              <w:pStyle w:val="TAC"/>
              <w:spacing w:before="20" w:after="20"/>
              <w:ind w:left="57" w:right="57"/>
              <w:rPr>
                <w:lang w:eastAsia="zh-CN"/>
              </w:rPr>
            </w:pPr>
            <w:r>
              <w:rPr>
                <w:rFonts w:hint="eastAsia"/>
                <w:lang w:eastAsia="zh-CN"/>
              </w:rPr>
              <w:t>c</w:t>
            </w:r>
            <w:r>
              <w:rPr>
                <w:lang w:eastAsia="zh-CN"/>
              </w:rPr>
              <w:t>henningyu@chinamobile.com</w:t>
            </w:r>
          </w:p>
        </w:tc>
      </w:tr>
      <w:tr w:rsidR="00195846" w14:paraId="7E05760F" w14:textId="77777777">
        <w:trPr>
          <w:trHeight w:val="240"/>
          <w:jc w:val="center"/>
        </w:trPr>
        <w:tc>
          <w:tcPr>
            <w:tcW w:w="2245" w:type="dxa"/>
            <w:noWrap/>
            <w:vAlign w:val="bottom"/>
          </w:tcPr>
          <w:p w14:paraId="3AC0BCAC" w14:textId="0B740F89" w:rsidR="00195846" w:rsidRPr="00E00701" w:rsidRDefault="00E00701">
            <w:pPr>
              <w:pStyle w:val="TAC"/>
              <w:spacing w:before="20" w:after="20"/>
              <w:ind w:left="57" w:right="57"/>
              <w:rPr>
                <w:rFonts w:eastAsia="맑은 고딕" w:hint="eastAsia"/>
                <w:lang w:eastAsia="ko-KR"/>
              </w:rPr>
            </w:pPr>
            <w:r>
              <w:rPr>
                <w:rFonts w:eastAsia="맑은 고딕" w:hint="eastAsia"/>
                <w:lang w:eastAsia="ko-KR"/>
              </w:rPr>
              <w:t>LGE</w:t>
            </w:r>
          </w:p>
        </w:tc>
        <w:tc>
          <w:tcPr>
            <w:tcW w:w="3231" w:type="dxa"/>
            <w:vAlign w:val="bottom"/>
          </w:tcPr>
          <w:p w14:paraId="0F12D5B3" w14:textId="7E84AB52" w:rsidR="00195846" w:rsidRPr="00E00701" w:rsidRDefault="00E00701">
            <w:pPr>
              <w:pStyle w:val="TAC"/>
              <w:spacing w:before="20" w:after="20"/>
              <w:ind w:left="57" w:right="57"/>
              <w:rPr>
                <w:rFonts w:eastAsia="맑은 고딕" w:hint="eastAsia"/>
                <w:lang w:eastAsia="ko-KR"/>
              </w:rPr>
            </w:pPr>
            <w:r>
              <w:rPr>
                <w:rFonts w:eastAsia="맑은 고딕" w:hint="eastAsia"/>
                <w:lang w:eastAsia="ko-KR"/>
              </w:rPr>
              <w:t>HyunJung Choe</w:t>
            </w:r>
          </w:p>
        </w:tc>
        <w:tc>
          <w:tcPr>
            <w:tcW w:w="3879" w:type="dxa"/>
            <w:noWrap/>
            <w:vAlign w:val="bottom"/>
          </w:tcPr>
          <w:p w14:paraId="609CE4E1" w14:textId="558DCDBE" w:rsidR="00195846" w:rsidRPr="00E00701" w:rsidRDefault="00E00701">
            <w:pPr>
              <w:pStyle w:val="TAC"/>
              <w:spacing w:before="20" w:after="20"/>
              <w:ind w:left="57" w:right="57"/>
              <w:rPr>
                <w:rFonts w:eastAsia="맑은 고딕" w:hint="eastAsia"/>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D27F9D">
      <w:pPr>
        <w:pStyle w:val="Doc-title"/>
      </w:pPr>
      <w:hyperlink r:id="rId11" w:history="1">
        <w:r w:rsidR="00511D61">
          <w:rPr>
            <w:rStyle w:val="ae"/>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D27F9D">
      <w:pPr>
        <w:pStyle w:val="Doc-title"/>
      </w:pPr>
      <w:hyperlink r:id="rId12" w:history="1">
        <w:r w:rsidR="00511D61">
          <w:rPr>
            <w:rStyle w:val="ae"/>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D27F9D">
      <w:pPr>
        <w:pStyle w:val="Doc-title"/>
      </w:pPr>
      <w:hyperlink r:id="rId13" w:history="1">
        <w:r w:rsidR="00511D61">
          <w:rPr>
            <w:rStyle w:val="ae"/>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D27F9D">
      <w:pPr>
        <w:pStyle w:val="Doc-title"/>
      </w:pPr>
      <w:hyperlink r:id="rId14" w:history="1">
        <w:r w:rsidR="00511D61">
          <w:rPr>
            <w:rStyle w:val="ae"/>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D27F9D">
      <w:pPr>
        <w:pStyle w:val="Doc-title"/>
      </w:pPr>
      <w:hyperlink r:id="rId15" w:history="1">
        <w:r w:rsidR="00511D61">
          <w:rPr>
            <w:rStyle w:val="ae"/>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D27F9D">
      <w:pPr>
        <w:pStyle w:val="Doc-title"/>
      </w:pPr>
      <w:hyperlink r:id="rId16" w:history="1">
        <w:r w:rsidR="00511D61">
          <w:rPr>
            <w:rStyle w:val="ae"/>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D27F9D">
      <w:pPr>
        <w:pStyle w:val="Doc-title"/>
      </w:pPr>
      <w:hyperlink r:id="rId17" w:history="1">
        <w:r w:rsidR="00511D61">
          <w:rPr>
            <w:rStyle w:val="ae"/>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D27F9D">
      <w:pPr>
        <w:pStyle w:val="Doc-title"/>
      </w:pPr>
      <w:hyperlink r:id="rId18" w:history="1">
        <w:r w:rsidR="00511D61">
          <w:rPr>
            <w:rStyle w:val="ae"/>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D27F9D">
      <w:pPr>
        <w:pStyle w:val="Doc-title"/>
      </w:pPr>
      <w:hyperlink r:id="rId19" w:history="1">
        <w:r w:rsidR="00511D61">
          <w:rPr>
            <w:rStyle w:val="ae"/>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D27F9D">
      <w:pPr>
        <w:pStyle w:val="Doc-title"/>
      </w:pPr>
      <w:hyperlink r:id="rId20" w:history="1">
        <w:r w:rsidR="00511D61">
          <w:rPr>
            <w:rStyle w:val="ae"/>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1" w:history="1">
        <w:r>
          <w:rPr>
            <w:rStyle w:val="ae"/>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ae"/>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ae"/>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ae"/>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0"/>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0"/>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0"/>
        <w:numPr>
          <w:ilvl w:val="0"/>
          <w:numId w:val="5"/>
        </w:numPr>
        <w:rPr>
          <w:b/>
          <w:bCs/>
        </w:rPr>
      </w:pPr>
      <w:r>
        <w:rPr>
          <w:b/>
          <w:bCs/>
        </w:rPr>
        <w:t>The handling of TAs is not in the scope of RAN2.</w:t>
      </w:r>
    </w:p>
    <w:tbl>
      <w:tblPr>
        <w:tblStyle w:val="ab"/>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맑은 고딕"/>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af0"/>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af0"/>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af0"/>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맑은 고딕"/>
                <w:lang w:val="en-US" w:eastAsia="ko-KR"/>
              </w:rPr>
            </w:pPr>
            <w:r>
              <w:rPr>
                <w:rFonts w:eastAsia="맑은 고딕" w:hint="eastAsia"/>
                <w:lang w:val="en-US" w:eastAsia="ko-KR"/>
              </w:rPr>
              <w:lastRenderedPageBreak/>
              <w:t>Sam</w:t>
            </w:r>
            <w:r>
              <w:rPr>
                <w:rFonts w:eastAsia="맑은 고딕"/>
                <w:lang w:val="en-US" w:eastAsia="ko-KR"/>
              </w:rPr>
              <w:t>sung</w:t>
            </w:r>
          </w:p>
        </w:tc>
        <w:tc>
          <w:tcPr>
            <w:tcW w:w="1170" w:type="dxa"/>
          </w:tcPr>
          <w:p w14:paraId="6C5EAE54" w14:textId="2776CB66" w:rsidR="00511D61" w:rsidRPr="006A731C" w:rsidRDefault="006A731C" w:rsidP="00511D61">
            <w:pPr>
              <w:spacing w:after="0"/>
              <w:rPr>
                <w:rFonts w:eastAsia="맑은 고딕"/>
                <w:lang w:val="en-US" w:eastAsia="ko-KR"/>
              </w:rPr>
            </w:pPr>
            <w:r>
              <w:rPr>
                <w:rFonts w:eastAsia="맑은 고딕"/>
                <w:lang w:val="en-US" w:eastAsia="ko-KR"/>
              </w:rPr>
              <w:t>a)</w:t>
            </w:r>
          </w:p>
        </w:tc>
        <w:tc>
          <w:tcPr>
            <w:tcW w:w="1530" w:type="dxa"/>
          </w:tcPr>
          <w:p w14:paraId="0752CA40" w14:textId="17210419" w:rsidR="00511D61" w:rsidRPr="006A731C" w:rsidRDefault="006A731C" w:rsidP="00511D61">
            <w:pPr>
              <w:spacing w:after="0"/>
              <w:rPr>
                <w:rFonts w:eastAsia="맑은 고딕"/>
                <w:lang w:val="en-US" w:eastAsia="ko-KR"/>
              </w:rPr>
            </w:pPr>
            <w:r>
              <w:rPr>
                <w:rFonts w:eastAsia="맑은 고딕"/>
                <w:lang w:val="en-US" w:eastAsia="ko-KR"/>
              </w:rPr>
              <w:t>b)</w:t>
            </w:r>
          </w:p>
        </w:tc>
        <w:tc>
          <w:tcPr>
            <w:tcW w:w="5850" w:type="dxa"/>
            <w:vAlign w:val="center"/>
          </w:tcPr>
          <w:p w14:paraId="7EAA204B" w14:textId="0D22315F" w:rsidR="006A731C" w:rsidRDefault="006A731C" w:rsidP="006A731C">
            <w:pPr>
              <w:spacing w:after="0"/>
            </w:pPr>
            <w:r>
              <w:rPr>
                <w:lang w:val="en-US" w:eastAsia="zh-CN"/>
              </w:rPr>
              <w:t>Based on the sentence in 38.300 "</w:t>
            </w:r>
            <w:r w:rsidRPr="006012C7">
              <w:t xml:space="preserve">It is assumed that the slice </w:t>
            </w:r>
            <w:r w:rsidRPr="006012C7">
              <w:rPr>
                <w:rFonts w:eastAsia="맑은 고딕"/>
                <w:lang w:eastAsia="ko-KR"/>
              </w:rPr>
              <w:t xml:space="preserve">availability </w:t>
            </w:r>
            <w:r w:rsidRPr="006012C7">
              <w:t>does not change within the UE's registration area.</w:t>
            </w:r>
            <w:r>
              <w:t>",  we think a) can be assumed for R15/R16.</w:t>
            </w:r>
          </w:p>
          <w:p w14:paraId="0E25A4F0" w14:textId="77777777" w:rsidR="00511D61" w:rsidRPr="006A731C" w:rsidRDefault="00511D61" w:rsidP="00511D61">
            <w:pPr>
              <w:spacing w:after="0"/>
              <w:rPr>
                <w:lang w:eastAsia="zh-CN"/>
              </w:rPr>
            </w:pPr>
          </w:p>
        </w:tc>
      </w:tr>
      <w:tr w:rsidR="00450D14" w14:paraId="1E0BF659" w14:textId="77777777">
        <w:tc>
          <w:tcPr>
            <w:tcW w:w="1345" w:type="dxa"/>
            <w:vAlign w:val="center"/>
          </w:tcPr>
          <w:p w14:paraId="76197848" w14:textId="0E6A4E10" w:rsidR="00450D14" w:rsidRPr="00450D14" w:rsidRDefault="00450D14" w:rsidP="00450D14">
            <w:pPr>
              <w:spacing w:after="0"/>
              <w:rPr>
                <w:rFonts w:eastAsia="PMingLiU"/>
                <w:lang w:val="en-US" w:eastAsia="zh-TW"/>
              </w:rPr>
            </w:pPr>
            <w:r>
              <w:rPr>
                <w:rFonts w:eastAsia="PMingLiU"/>
                <w:lang w:val="en-US" w:eastAsia="zh-TW"/>
              </w:rPr>
              <w:t>APT</w:t>
            </w:r>
          </w:p>
        </w:tc>
        <w:tc>
          <w:tcPr>
            <w:tcW w:w="1170" w:type="dxa"/>
          </w:tcPr>
          <w:p w14:paraId="4A285625" w14:textId="5B2BB4F4" w:rsidR="00450D14" w:rsidRDefault="00450D14" w:rsidP="00450D14">
            <w:pPr>
              <w:spacing w:after="0"/>
              <w:rPr>
                <w:lang w:val="en-US" w:eastAsia="zh-CN"/>
              </w:rPr>
            </w:pPr>
            <w:r>
              <w:rPr>
                <w:rFonts w:eastAsia="맑은 고딕"/>
                <w:lang w:val="en-US" w:eastAsia="ko-KR"/>
              </w:rPr>
              <w:t>a)</w:t>
            </w:r>
          </w:p>
        </w:tc>
        <w:tc>
          <w:tcPr>
            <w:tcW w:w="1530" w:type="dxa"/>
          </w:tcPr>
          <w:p w14:paraId="087DAA2D" w14:textId="36C9EDA7" w:rsidR="00450D14" w:rsidRDefault="00450D14" w:rsidP="00450D14">
            <w:pPr>
              <w:spacing w:after="0"/>
              <w:rPr>
                <w:lang w:val="en-US" w:eastAsia="zh-CN"/>
              </w:rPr>
            </w:pPr>
            <w:r>
              <w:rPr>
                <w:rFonts w:eastAsia="맑은 고딕"/>
                <w:lang w:val="en-US" w:eastAsia="ko-KR"/>
              </w:rPr>
              <w:t>b)</w:t>
            </w:r>
          </w:p>
        </w:tc>
        <w:tc>
          <w:tcPr>
            <w:tcW w:w="5850" w:type="dxa"/>
            <w:vAlign w:val="center"/>
          </w:tcPr>
          <w:p w14:paraId="0BF17EA5" w14:textId="33FB10BB" w:rsidR="00450D14" w:rsidRDefault="00450D14" w:rsidP="00450D14">
            <w:pPr>
              <w:spacing w:after="0"/>
              <w:rPr>
                <w:lang w:val="en-US" w:eastAsia="zh-CN"/>
              </w:rPr>
            </w:pPr>
            <w:r w:rsidRPr="00450D14">
              <w:rPr>
                <w:lang w:val="en-US" w:eastAsia="zh-CN"/>
              </w:rPr>
              <w:t xml:space="preserve">According to TS 38.300 v16.4.0 slice availability, “Some slices may be available only in part of the network. The NG-RAN supported S-NSSAI(s) is configured by OAM. Awareness in the NG-RAN of the slices supported in the cells of its neighbours may be beneficial for inter-frequency mobility in connected mode. It is assumed that the slice availability does not change within the UE's registration area.”, since the slice availability does not change within the UE’s registration area, it is expected that all cells within the UE’s registration area (e.g., cells advertise the same TAC) support the same S-NSSAI(s). Thus, in response to SA2’s first question focusing on Rel-15/Rel-16, we would prefer a). </w:t>
            </w:r>
          </w:p>
          <w:p w14:paraId="41BDB0AC" w14:textId="77777777" w:rsidR="00450D14" w:rsidRPr="00450D14" w:rsidRDefault="00450D14" w:rsidP="00450D14">
            <w:pPr>
              <w:spacing w:after="0"/>
              <w:rPr>
                <w:lang w:val="en-US" w:eastAsia="zh-CN"/>
              </w:rPr>
            </w:pPr>
          </w:p>
          <w:p w14:paraId="57F646EE" w14:textId="4A943D28" w:rsidR="00450D14" w:rsidRDefault="00450D14" w:rsidP="00450D14">
            <w:pPr>
              <w:spacing w:after="0"/>
              <w:rPr>
                <w:lang w:val="en-US" w:eastAsia="zh-CN"/>
              </w:rPr>
            </w:pPr>
            <w:r w:rsidRPr="00450D14">
              <w:rPr>
                <w:lang w:val="en-US" w:eastAsia="zh-CN"/>
              </w:rPr>
              <w:t>For Rel-17, we are open whether such assumption can be relaxed.</w:t>
            </w:r>
          </w:p>
        </w:tc>
      </w:tr>
      <w:tr w:rsidR="007A21AC" w14:paraId="4DBF59BA" w14:textId="77777777" w:rsidTr="00E04FCC">
        <w:tc>
          <w:tcPr>
            <w:tcW w:w="1345" w:type="dxa"/>
            <w:vAlign w:val="center"/>
          </w:tcPr>
          <w:p w14:paraId="04C5E1DC" w14:textId="77777777" w:rsidR="007A21AC" w:rsidRDefault="007A21AC" w:rsidP="00E04FCC">
            <w:pPr>
              <w:spacing w:after="0"/>
              <w:rPr>
                <w:lang w:val="en-US" w:eastAsia="zh-CN"/>
              </w:rPr>
            </w:pPr>
            <w:r>
              <w:rPr>
                <w:rFonts w:hint="eastAsia"/>
                <w:lang w:val="en-US" w:eastAsia="zh-CN"/>
              </w:rPr>
              <w:t>CMCC</w:t>
            </w:r>
          </w:p>
        </w:tc>
        <w:tc>
          <w:tcPr>
            <w:tcW w:w="1170" w:type="dxa"/>
          </w:tcPr>
          <w:p w14:paraId="3676604E" w14:textId="77777777" w:rsidR="007A21AC" w:rsidRDefault="007A21AC" w:rsidP="00E04FCC">
            <w:pPr>
              <w:spacing w:after="0"/>
              <w:rPr>
                <w:lang w:val="en-US" w:eastAsia="zh-CN"/>
              </w:rPr>
            </w:pPr>
            <w:r>
              <w:rPr>
                <w:rFonts w:hint="eastAsia"/>
                <w:lang w:val="en-US" w:eastAsia="zh-CN"/>
              </w:rPr>
              <w:t>b</w:t>
            </w:r>
            <w:r>
              <w:rPr>
                <w:lang w:val="en-US" w:eastAsia="zh-CN"/>
              </w:rPr>
              <w:t>) and c)</w:t>
            </w:r>
          </w:p>
        </w:tc>
        <w:tc>
          <w:tcPr>
            <w:tcW w:w="1530" w:type="dxa"/>
          </w:tcPr>
          <w:p w14:paraId="765970B1" w14:textId="77777777" w:rsidR="007A21AC" w:rsidRDefault="007A21AC" w:rsidP="00E04FCC">
            <w:pPr>
              <w:spacing w:after="0"/>
              <w:rPr>
                <w:lang w:val="en-US" w:eastAsia="zh-CN"/>
              </w:rPr>
            </w:pPr>
            <w:r>
              <w:rPr>
                <w:rFonts w:hint="eastAsia"/>
                <w:lang w:val="en-US" w:eastAsia="zh-CN"/>
              </w:rPr>
              <w:t>a</w:t>
            </w:r>
            <w:r>
              <w:rPr>
                <w:lang w:val="en-US" w:eastAsia="zh-CN"/>
              </w:rPr>
              <w:t>)</w:t>
            </w:r>
          </w:p>
        </w:tc>
        <w:tc>
          <w:tcPr>
            <w:tcW w:w="5850" w:type="dxa"/>
            <w:vAlign w:val="center"/>
          </w:tcPr>
          <w:p w14:paraId="604526C4" w14:textId="77777777" w:rsidR="007A21AC" w:rsidRDefault="007A21AC" w:rsidP="00E04FCC">
            <w:pPr>
              <w:spacing w:after="0"/>
              <w:jc w:val="both"/>
              <w:rPr>
                <w:lang w:val="en-US" w:eastAsia="zh-CN"/>
              </w:rPr>
            </w:pPr>
            <w:r>
              <w:rPr>
                <w:lang w:val="en-US" w:eastAsia="zh-CN"/>
              </w:rPr>
              <w:t>Agree with ZTE.</w:t>
            </w:r>
          </w:p>
          <w:p w14:paraId="57ED1FC4" w14:textId="77777777" w:rsidR="007A21AC" w:rsidRDefault="007A21AC" w:rsidP="00E04FCC">
            <w:pPr>
              <w:spacing w:after="0"/>
              <w:jc w:val="both"/>
              <w:rPr>
                <w:lang w:val="en-US" w:eastAsia="zh-CN"/>
              </w:rPr>
            </w:pPr>
            <w:r w:rsidRPr="008E6D77">
              <w:rPr>
                <w:lang w:val="en-US" w:eastAsia="zh-CN"/>
              </w:rPr>
              <w:t xml:space="preserve">As shown in the figure, cell 5 and cell 6 are covering the same location 3 but supporting different slices. Both slice 1 and slice 2 are available within location 3, by means like HO, re-direction or DC/CA. </w:t>
            </w:r>
            <w:r>
              <w:rPr>
                <w:lang w:val="en-US" w:eastAsia="zh-CN"/>
              </w:rPr>
              <w:t>In such deployment, t</w:t>
            </w:r>
            <w:r w:rsidRPr="008E6D77">
              <w:rPr>
                <w:lang w:val="en-US" w:eastAsia="zh-CN"/>
              </w:rPr>
              <w:t>he slice availability</w:t>
            </w:r>
            <w:r>
              <w:rPr>
                <w:lang w:val="en-US" w:eastAsia="zh-CN"/>
              </w:rPr>
              <w:t xml:space="preserve"> is guaranteed, which is align with the principle that slice availability is not changed</w:t>
            </w:r>
            <w:r w:rsidRPr="008E6D77">
              <w:rPr>
                <w:lang w:val="en-US" w:eastAsia="zh-CN"/>
              </w:rPr>
              <w:t xml:space="preserve"> within the same </w:t>
            </w:r>
            <w:r>
              <w:rPr>
                <w:lang w:val="en-US" w:eastAsia="zh-CN"/>
              </w:rPr>
              <w:t>TA</w:t>
            </w:r>
            <w:r w:rsidRPr="008E6D77">
              <w:rPr>
                <w:lang w:val="en-US" w:eastAsia="zh-CN"/>
              </w:rPr>
              <w:t>.</w:t>
            </w:r>
          </w:p>
          <w:p w14:paraId="3EE897FE" w14:textId="77777777" w:rsidR="007A21AC" w:rsidRDefault="007A21AC" w:rsidP="00E04FCC">
            <w:pPr>
              <w:spacing w:after="0"/>
              <w:jc w:val="center"/>
              <w:rPr>
                <w:lang w:val="en-US" w:eastAsia="zh-CN"/>
              </w:rPr>
            </w:pPr>
            <w:r>
              <w:rPr>
                <w:noProof/>
                <w:lang w:val="en-US" w:eastAsia="ko-KR"/>
              </w:rPr>
              <w:drawing>
                <wp:inline distT="0" distB="0" distL="0" distR="0" wp14:anchorId="40E21B99" wp14:editId="3D498D0E">
                  <wp:extent cx="1329110" cy="1244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61996" cy="1275692"/>
                          </a:xfrm>
                          <a:prstGeom prst="rect">
                            <a:avLst/>
                          </a:prstGeom>
                        </pic:spPr>
                      </pic:pic>
                    </a:graphicData>
                  </a:graphic>
                </wp:inline>
              </w:drawing>
            </w:r>
          </w:p>
          <w:p w14:paraId="7C1BB36D" w14:textId="77777777" w:rsidR="007A21AC" w:rsidRDefault="007A21AC" w:rsidP="00E04FCC">
            <w:pPr>
              <w:spacing w:after="0"/>
              <w:jc w:val="both"/>
              <w:rPr>
                <w:lang w:val="en-US" w:eastAsia="zh-CN"/>
              </w:rPr>
            </w:pPr>
            <w:r w:rsidRPr="008E6D77">
              <w:rPr>
                <w:lang w:val="en-US" w:eastAsia="zh-CN"/>
              </w:rPr>
              <w:t>From RAN2 spec perspective, we don’t see there is any limitation to prevent the cells on different frequencies belonging to the same RA and TA to support different slices.</w:t>
            </w:r>
          </w:p>
        </w:tc>
      </w:tr>
      <w:tr w:rsidR="007A21AC" w14:paraId="64AE10C2" w14:textId="77777777">
        <w:tc>
          <w:tcPr>
            <w:tcW w:w="1345" w:type="dxa"/>
            <w:vAlign w:val="center"/>
          </w:tcPr>
          <w:p w14:paraId="6DF364B8" w14:textId="3C1AD47B" w:rsidR="007A21AC" w:rsidRPr="00E00701" w:rsidRDefault="00E00701" w:rsidP="00450D14">
            <w:pPr>
              <w:spacing w:after="0"/>
              <w:rPr>
                <w:rFonts w:eastAsia="맑은 고딕" w:hint="eastAsia"/>
                <w:lang w:eastAsia="ko-KR"/>
              </w:rPr>
            </w:pPr>
            <w:r>
              <w:rPr>
                <w:rFonts w:eastAsia="맑은 고딕" w:hint="eastAsia"/>
                <w:lang w:eastAsia="ko-KR"/>
              </w:rPr>
              <w:t>LGE</w:t>
            </w:r>
          </w:p>
        </w:tc>
        <w:tc>
          <w:tcPr>
            <w:tcW w:w="1170" w:type="dxa"/>
          </w:tcPr>
          <w:p w14:paraId="2D6BD25E" w14:textId="6C564015" w:rsidR="007A21AC" w:rsidRDefault="00E00701" w:rsidP="00450D14">
            <w:pPr>
              <w:spacing w:after="0"/>
              <w:rPr>
                <w:rFonts w:eastAsia="맑은 고딕"/>
                <w:lang w:val="en-US" w:eastAsia="ko-KR"/>
              </w:rPr>
            </w:pPr>
            <w:r>
              <w:rPr>
                <w:rFonts w:eastAsia="맑은 고딕" w:hint="eastAsia"/>
                <w:lang w:val="en-US" w:eastAsia="ko-KR"/>
              </w:rPr>
              <w:t>a), c)</w:t>
            </w:r>
          </w:p>
        </w:tc>
        <w:tc>
          <w:tcPr>
            <w:tcW w:w="1530" w:type="dxa"/>
          </w:tcPr>
          <w:p w14:paraId="1C722CCD" w14:textId="43E557D2" w:rsidR="007A21AC" w:rsidRDefault="00E00701" w:rsidP="00450D14">
            <w:pPr>
              <w:spacing w:after="0"/>
              <w:rPr>
                <w:rFonts w:eastAsia="맑은 고딕"/>
                <w:lang w:val="en-US" w:eastAsia="ko-KR"/>
              </w:rPr>
            </w:pPr>
            <w:r>
              <w:rPr>
                <w:rFonts w:eastAsia="맑은 고딕" w:hint="eastAsia"/>
                <w:lang w:val="en-US" w:eastAsia="ko-KR"/>
              </w:rPr>
              <w:t>b)</w:t>
            </w:r>
          </w:p>
        </w:tc>
        <w:tc>
          <w:tcPr>
            <w:tcW w:w="5850" w:type="dxa"/>
            <w:vAlign w:val="center"/>
          </w:tcPr>
          <w:p w14:paraId="632D8757" w14:textId="759C9CAE" w:rsidR="007A21AC" w:rsidRPr="00450D14" w:rsidRDefault="00E00701" w:rsidP="00E00701">
            <w:pPr>
              <w:spacing w:after="0"/>
              <w:rPr>
                <w:lang w:val="en-US" w:eastAsia="zh-CN"/>
              </w:rPr>
            </w:pPr>
            <w:r>
              <w:rPr>
                <w:rFonts w:eastAsia="맑은 고딕" w:hint="eastAsia"/>
                <w:lang w:val="en-US" w:eastAsia="ko-KR"/>
              </w:rPr>
              <w:t>We</w:t>
            </w:r>
            <w:r>
              <w:rPr>
                <w:rFonts w:eastAsia="맑은 고딕"/>
                <w:lang w:val="en-US" w:eastAsia="ko-KR"/>
              </w:rPr>
              <w:t xml:space="preserve">’d also like to ask whether </w:t>
            </w:r>
            <w:r>
              <w:rPr>
                <w:rFonts w:eastAsia="맑은 고딕"/>
                <w:lang w:val="en-US" w:eastAsia="ko-KR"/>
              </w:rPr>
              <w:t>R17</w:t>
            </w:r>
            <w:r>
              <w:rPr>
                <w:rFonts w:eastAsia="맑은 고딕"/>
                <w:lang w:val="en-US" w:eastAsia="ko-KR"/>
              </w:rPr>
              <w:t xml:space="preserve"> cell configuration in a TA could be changed (whether different cells in a TA may support different S-NSSAI(s).</w:t>
            </w: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bookmarkStart w:id="1" w:name="_GoBack"/>
      <w:bookmarkEnd w:id="1"/>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lastRenderedPageBreak/>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7" w:history="1">
        <w:r>
          <w:rPr>
            <w:rStyle w:val="ae"/>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8" w:history="1">
        <w:r>
          <w:rPr>
            <w:rStyle w:val="ae"/>
          </w:rPr>
          <w:t>R2-2011102</w:t>
        </w:r>
      </w:hyperlink>
      <w:r>
        <w:t xml:space="preserve">). As there was no consensus that UL SMBR can be enforced without RAN2 specification impacts RAN2 provided the following reply to </w:t>
      </w:r>
      <w:hyperlink r:id="rId29" w:history="1">
        <w:r>
          <w:rPr>
            <w:rStyle w:val="ae"/>
          </w:rPr>
          <w:t>R2-2010694</w:t>
        </w:r>
      </w:hyperlink>
      <w:r>
        <w:t xml:space="preserve"> on Solution #22 in </w:t>
      </w:r>
      <w:hyperlink r:id="rId30" w:history="1">
        <w:r>
          <w:rPr>
            <w:rStyle w:val="ae"/>
          </w:rPr>
          <w:t>R2-2011104</w:t>
        </w:r>
      </w:hyperlink>
      <w:r>
        <w:rPr>
          <w:rStyle w:val="ae"/>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1" w:history="1">
        <w:r>
          <w:rPr>
            <w:rStyle w:val="ae"/>
          </w:rPr>
          <w:t>R2-2101293</w:t>
        </w:r>
      </w:hyperlink>
      <w:r>
        <w:t xml:space="preserve">), while others clearly think that it is possible (e.g., </w:t>
      </w:r>
      <w:hyperlink r:id="rId32" w:history="1">
        <w:r>
          <w:rPr>
            <w:rStyle w:val="ae"/>
          </w:rPr>
          <w:t>R2-2100546</w:t>
        </w:r>
      </w:hyperlink>
      <w:r>
        <w:t xml:space="preserve">, </w:t>
      </w:r>
      <w:hyperlink r:id="rId33" w:history="1">
        <w:r>
          <w:rPr>
            <w:rStyle w:val="ae"/>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b"/>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0"/>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af0"/>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lastRenderedPageBreak/>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2"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2"/>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맑은 고딕"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맑은 고딕"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맑은 고딕" w:hAnsiTheme="minorHAnsi" w:cstheme="minorHAnsi"/>
                <w:lang w:eastAsia="ja-JP"/>
              </w:rPr>
            </w:pPr>
            <w:r w:rsidRPr="00AD4D8A">
              <w:rPr>
                <w:rFonts w:asciiTheme="minorHAnsi" w:eastAsia="맑은 고딕" w:hAnsiTheme="minorHAnsi" w:cstheme="minorHAnsi"/>
                <w:lang w:eastAsia="ja-JP"/>
              </w:rPr>
              <w:t>Proposal:</w:t>
            </w:r>
            <w:r w:rsidRPr="00AD4D8A">
              <w:rPr>
                <w:rStyle w:val="af"/>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맑은 고딕"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맑은 고딕"/>
                <w:lang w:val="en-US" w:eastAsia="ko-KR"/>
              </w:rPr>
            </w:pPr>
            <w:r>
              <w:rPr>
                <w:rFonts w:eastAsia="맑은 고딕" w:hint="eastAsia"/>
                <w:lang w:val="en-US" w:eastAsia="ko-KR"/>
              </w:rPr>
              <w:t>Samsung</w:t>
            </w:r>
          </w:p>
        </w:tc>
        <w:tc>
          <w:tcPr>
            <w:tcW w:w="1127" w:type="dxa"/>
          </w:tcPr>
          <w:p w14:paraId="52D47709" w14:textId="1996403E" w:rsidR="00511D61" w:rsidRPr="006A731C" w:rsidRDefault="006A731C" w:rsidP="006723EE">
            <w:pPr>
              <w:spacing w:after="0"/>
              <w:rPr>
                <w:rFonts w:eastAsia="맑은 고딕"/>
                <w:lang w:val="en-US" w:eastAsia="ko-KR"/>
              </w:rPr>
            </w:pPr>
            <w:r>
              <w:rPr>
                <w:rFonts w:eastAsia="맑은 고딕"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맑은 고딕"/>
                <w:lang w:val="en-US" w:eastAsia="ko-KR"/>
              </w:rPr>
            </w:pPr>
            <w:r>
              <w:rPr>
                <w:rFonts w:eastAsia="맑은 고딕" w:hint="eastAsia"/>
                <w:lang w:val="en-US" w:eastAsia="ko-KR"/>
              </w:rPr>
              <w:t>We may discuss later whether the existing mechanism</w:t>
            </w:r>
            <w:r>
              <w:rPr>
                <w:rFonts w:eastAsia="맑은 고딕"/>
                <w:lang w:val="en-US" w:eastAsia="ko-KR"/>
              </w:rPr>
              <w:t>s</w:t>
            </w:r>
            <w:r>
              <w:rPr>
                <w:rFonts w:eastAsia="맑은 고딕" w:hint="eastAsia"/>
                <w:lang w:val="en-US" w:eastAsia="ko-KR"/>
              </w:rPr>
              <w:t xml:space="preserve"> can support the UL enforcement</w:t>
            </w:r>
            <w:r>
              <w:rPr>
                <w:rFonts w:eastAsia="맑은 고딕"/>
                <w:lang w:val="en-US" w:eastAsia="ko-KR"/>
              </w:rPr>
              <w:t xml:space="preserve"> of S-MBR</w:t>
            </w:r>
            <w:r>
              <w:rPr>
                <w:rFonts w:eastAsia="맑은 고딕" w:hint="eastAsia"/>
                <w:lang w:val="en-US" w:eastAsia="ko-KR"/>
              </w:rPr>
              <w:t>.</w:t>
            </w:r>
          </w:p>
        </w:tc>
      </w:tr>
      <w:tr w:rsidR="00511D61" w14:paraId="6E5ECB89" w14:textId="77777777">
        <w:tc>
          <w:tcPr>
            <w:tcW w:w="1345" w:type="dxa"/>
            <w:vAlign w:val="center"/>
          </w:tcPr>
          <w:p w14:paraId="1E7C1587" w14:textId="0EAE4055" w:rsidR="00511D61" w:rsidRDefault="005B590F" w:rsidP="00511D61">
            <w:pPr>
              <w:spacing w:after="0"/>
              <w:rPr>
                <w:rFonts w:eastAsia="PMingLiU"/>
                <w:lang w:val="en-US" w:eastAsia="zh-TW"/>
              </w:rPr>
            </w:pPr>
            <w:r>
              <w:rPr>
                <w:rFonts w:eastAsia="PMingLiU" w:hint="eastAsia"/>
                <w:lang w:val="en-US" w:eastAsia="zh-TW"/>
              </w:rPr>
              <w:t>A</w:t>
            </w:r>
            <w:r>
              <w:rPr>
                <w:rFonts w:eastAsia="PMingLiU"/>
                <w:lang w:val="en-US" w:eastAsia="zh-TW"/>
              </w:rPr>
              <w:t>PT</w:t>
            </w:r>
          </w:p>
        </w:tc>
        <w:tc>
          <w:tcPr>
            <w:tcW w:w="1127" w:type="dxa"/>
          </w:tcPr>
          <w:p w14:paraId="195294D7" w14:textId="3A4453D6" w:rsidR="00511D61" w:rsidRDefault="005B590F" w:rsidP="00511D61">
            <w:pPr>
              <w:spacing w:after="0"/>
              <w:rPr>
                <w:rFonts w:eastAsia="PMingLiU"/>
                <w:lang w:val="en-US" w:eastAsia="zh-TW"/>
              </w:rPr>
            </w:pPr>
            <w:r>
              <w:rPr>
                <w:rFonts w:eastAsia="PMingLiU" w:hint="eastAsia"/>
                <w:lang w:val="en-US" w:eastAsia="zh-TW"/>
              </w:rPr>
              <w:t>Y</w:t>
            </w:r>
            <w:r>
              <w:rPr>
                <w:rFonts w:eastAsia="PMingLiU"/>
                <w:lang w:val="en-US" w:eastAsia="zh-TW"/>
              </w:rPr>
              <w:t>es</w:t>
            </w:r>
          </w:p>
        </w:tc>
        <w:tc>
          <w:tcPr>
            <w:tcW w:w="7153" w:type="dxa"/>
            <w:vAlign w:val="center"/>
          </w:tcPr>
          <w:p w14:paraId="1024C9CF" w14:textId="77777777" w:rsidR="00511D61" w:rsidRDefault="00511D61" w:rsidP="00511D61">
            <w:pPr>
              <w:spacing w:after="0"/>
              <w:rPr>
                <w:rFonts w:eastAsia="PMingLiU"/>
                <w:lang w:val="en-US" w:eastAsia="zh-TW"/>
              </w:rPr>
            </w:pPr>
          </w:p>
        </w:tc>
      </w:tr>
      <w:tr w:rsidR="00705C3D" w14:paraId="2E8BB81B" w14:textId="77777777">
        <w:tc>
          <w:tcPr>
            <w:tcW w:w="1345" w:type="dxa"/>
            <w:vAlign w:val="center"/>
          </w:tcPr>
          <w:p w14:paraId="79D71E55" w14:textId="79283332" w:rsidR="00705C3D" w:rsidRPr="00705C3D" w:rsidRDefault="00705C3D" w:rsidP="00511D61">
            <w:pPr>
              <w:spacing w:after="0"/>
              <w:rPr>
                <w:lang w:val="en-US" w:eastAsia="zh-CN"/>
              </w:rPr>
            </w:pPr>
            <w:r>
              <w:rPr>
                <w:rFonts w:hint="eastAsia"/>
                <w:lang w:val="en-US" w:eastAsia="zh-CN"/>
              </w:rPr>
              <w:t>C</w:t>
            </w:r>
            <w:r>
              <w:rPr>
                <w:lang w:val="en-US" w:eastAsia="zh-CN"/>
              </w:rPr>
              <w:t>MCC</w:t>
            </w:r>
          </w:p>
        </w:tc>
        <w:tc>
          <w:tcPr>
            <w:tcW w:w="1127" w:type="dxa"/>
          </w:tcPr>
          <w:p w14:paraId="4CB398E4" w14:textId="54EB92F1" w:rsidR="00705C3D" w:rsidRPr="00705C3D" w:rsidRDefault="00705C3D" w:rsidP="00511D61">
            <w:pPr>
              <w:spacing w:after="0"/>
              <w:rPr>
                <w:lang w:val="en-US" w:eastAsia="zh-CN"/>
              </w:rPr>
            </w:pPr>
            <w:r>
              <w:rPr>
                <w:rFonts w:hint="eastAsia"/>
                <w:lang w:val="en-US" w:eastAsia="zh-CN"/>
              </w:rPr>
              <w:t>Y</w:t>
            </w:r>
            <w:r>
              <w:rPr>
                <w:lang w:val="en-US" w:eastAsia="zh-CN"/>
              </w:rPr>
              <w:t>es</w:t>
            </w:r>
          </w:p>
        </w:tc>
        <w:tc>
          <w:tcPr>
            <w:tcW w:w="7153" w:type="dxa"/>
            <w:vAlign w:val="center"/>
          </w:tcPr>
          <w:p w14:paraId="20FD3FF7" w14:textId="77777777" w:rsidR="00705C3D" w:rsidRDefault="00705C3D"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1"/>
      </w:pPr>
      <w:r>
        <w:lastRenderedPageBreak/>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1967F" w14:textId="77777777" w:rsidR="00D27F9D" w:rsidRDefault="00D27F9D" w:rsidP="00511D61">
      <w:pPr>
        <w:spacing w:after="0" w:line="240" w:lineRule="auto"/>
      </w:pPr>
      <w:r>
        <w:separator/>
      </w:r>
    </w:p>
  </w:endnote>
  <w:endnote w:type="continuationSeparator" w:id="0">
    <w:p w14:paraId="51FE927A" w14:textId="77777777" w:rsidR="00D27F9D" w:rsidRDefault="00D27F9D"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18866" w14:textId="77777777" w:rsidR="00D27F9D" w:rsidRDefault="00D27F9D" w:rsidP="00511D61">
      <w:pPr>
        <w:spacing w:after="0" w:line="240" w:lineRule="auto"/>
      </w:pPr>
      <w:r>
        <w:separator/>
      </w:r>
    </w:p>
  </w:footnote>
  <w:footnote w:type="continuationSeparator" w:id="0">
    <w:p w14:paraId="1604EFCD" w14:textId="77777777" w:rsidR="00D27F9D" w:rsidRDefault="00D27F9D" w:rsidP="0051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50D1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B590F"/>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723EE"/>
    <w:rsid w:val="00681EAC"/>
    <w:rsid w:val="006948AA"/>
    <w:rsid w:val="00694E78"/>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5C3D"/>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21AC"/>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0999"/>
    <w:rsid w:val="008E211B"/>
    <w:rsid w:val="008E3BCF"/>
    <w:rsid w:val="008F196E"/>
    <w:rsid w:val="008F2BBA"/>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27F9D"/>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0701"/>
    <w:rsid w:val="00E015A7"/>
    <w:rsid w:val="00E03360"/>
    <w:rsid w:val="00E1132E"/>
    <w:rsid w:val="00E17D98"/>
    <w:rsid w:val="00E3119E"/>
    <w:rsid w:val="00E41219"/>
    <w:rsid w:val="00E42E82"/>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4B7B"/>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3453</Words>
  <Characters>19685</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(HyunJung)</cp:lastModifiedBy>
  <cp:revision>3</cp:revision>
  <dcterms:created xsi:type="dcterms:W3CDTF">2021-01-29T08:45:00Z</dcterms:created>
  <dcterms:modified xsi:type="dcterms:W3CDTF">2021-01-29T08:47:00Z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