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proofErr w:type="spellStart"/>
            <w:r>
              <w:rPr>
                <w:rFonts w:hint="eastAsia"/>
                <w:lang w:val="en-US" w:eastAsia="zh-CN"/>
              </w:rPr>
              <w:t>Chunlin</w:t>
            </w:r>
            <w:proofErr w:type="spellEnd"/>
            <w:r>
              <w:rPr>
                <w:rFonts w:hint="eastAsia"/>
                <w:lang w:val="en-US" w:eastAsia="zh-CN"/>
              </w:rPr>
              <w:t xml:space="preserve">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 xml:space="preserve">Pavan </w:t>
            </w:r>
            <w:proofErr w:type="spellStart"/>
            <w:r>
              <w:rPr>
                <w:lang w:eastAsia="zh-CN"/>
              </w:rPr>
              <w:t>Nuggehalli</w:t>
            </w:r>
            <w:proofErr w:type="spellEnd"/>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proofErr w:type="spellStart"/>
            <w:r>
              <w:t>Futurewei</w:t>
            </w:r>
            <w:proofErr w:type="spellEnd"/>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proofErr w:type="spellStart"/>
            <w:r>
              <w:t>Håkan</w:t>
            </w:r>
            <w:proofErr w:type="spellEnd"/>
            <w:r>
              <w:t xml:space="preserve">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Malgun Gothic"/>
                <w:lang w:eastAsia="ko-KR"/>
              </w:rPr>
            </w:pPr>
            <w:r>
              <w:rPr>
                <w:rFonts w:eastAsia="Malgun Gothic"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Malgun Gothic"/>
                <w:lang w:eastAsia="ko-KR"/>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3879" w:type="dxa"/>
            <w:noWrap/>
            <w:vAlign w:val="bottom"/>
          </w:tcPr>
          <w:p w14:paraId="091A1BC4" w14:textId="5FC78A50" w:rsidR="00195846" w:rsidRPr="004D5B38" w:rsidRDefault="004D5B38">
            <w:pPr>
              <w:pStyle w:val="TAC"/>
              <w:spacing w:before="20" w:after="20"/>
              <w:ind w:left="57" w:right="57"/>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195846" w14:paraId="3D33DD46" w14:textId="77777777">
        <w:trPr>
          <w:trHeight w:val="240"/>
          <w:jc w:val="center"/>
        </w:trPr>
        <w:tc>
          <w:tcPr>
            <w:tcW w:w="2245" w:type="dxa"/>
            <w:noWrap/>
            <w:vAlign w:val="bottom"/>
          </w:tcPr>
          <w:p w14:paraId="496F9789" w14:textId="44B139D6" w:rsidR="00195846" w:rsidRPr="00E94B7B" w:rsidRDefault="00E94B7B">
            <w:pPr>
              <w:pStyle w:val="TAC"/>
              <w:spacing w:before="20" w:after="20"/>
              <w:ind w:left="57" w:right="57"/>
              <w:rPr>
                <w:rFonts w:eastAsia="新細明體" w:hint="eastAsia"/>
                <w:lang w:eastAsia="zh-TW"/>
              </w:rPr>
            </w:pPr>
            <w:r>
              <w:rPr>
                <w:rFonts w:eastAsia="新細明體"/>
                <w:lang w:eastAsia="zh-TW"/>
              </w:rPr>
              <w:t>APT</w:t>
            </w:r>
          </w:p>
        </w:tc>
        <w:tc>
          <w:tcPr>
            <w:tcW w:w="3231" w:type="dxa"/>
            <w:vAlign w:val="bottom"/>
          </w:tcPr>
          <w:p w14:paraId="59154BBE" w14:textId="22EDF954" w:rsidR="00195846" w:rsidRPr="00E94B7B" w:rsidRDefault="00E94B7B">
            <w:pPr>
              <w:pStyle w:val="TAC"/>
              <w:spacing w:before="20" w:after="20"/>
              <w:ind w:left="57" w:right="57"/>
              <w:rPr>
                <w:rFonts w:eastAsia="新細明體" w:hint="eastAsia"/>
                <w:lang w:eastAsia="zh-TW"/>
              </w:rPr>
            </w:pPr>
            <w:r>
              <w:rPr>
                <w:rFonts w:eastAsia="新細明體" w:hint="eastAsia"/>
                <w:lang w:eastAsia="zh-TW"/>
              </w:rPr>
              <w:t>M</w:t>
            </w:r>
            <w:r>
              <w:rPr>
                <w:rFonts w:eastAsia="新細明體"/>
                <w:lang w:eastAsia="zh-TW"/>
              </w:rPr>
              <w:t>ei-Ju Shih</w:t>
            </w:r>
          </w:p>
        </w:tc>
        <w:tc>
          <w:tcPr>
            <w:tcW w:w="3879" w:type="dxa"/>
            <w:noWrap/>
            <w:vAlign w:val="bottom"/>
          </w:tcPr>
          <w:p w14:paraId="2107A439" w14:textId="31E8D2EB" w:rsidR="00195846" w:rsidRPr="00E94B7B" w:rsidRDefault="00E94B7B">
            <w:pPr>
              <w:pStyle w:val="TAC"/>
              <w:spacing w:before="20" w:after="20"/>
              <w:ind w:left="57" w:right="57"/>
              <w:rPr>
                <w:rFonts w:eastAsia="新細明體" w:hint="eastAsia"/>
                <w:lang w:eastAsia="zh-TW"/>
              </w:rPr>
            </w:pPr>
            <w:r>
              <w:rPr>
                <w:rFonts w:eastAsia="新細明體"/>
                <w:lang w:eastAsia="zh-TW"/>
              </w:rPr>
              <w:t>mei-ju.shih@aptg.com.tw</w:t>
            </w: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5B590F">
      <w:pPr>
        <w:pStyle w:val="Doc-title"/>
      </w:pPr>
      <w:hyperlink r:id="rId11" w:history="1">
        <w:r w:rsidR="00511D61">
          <w:rPr>
            <w:rStyle w:val="af3"/>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5B590F">
      <w:pPr>
        <w:pStyle w:val="Doc-title"/>
      </w:pPr>
      <w:hyperlink r:id="rId12" w:history="1">
        <w:r w:rsidR="00511D61">
          <w:rPr>
            <w:rStyle w:val="af3"/>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5B590F">
      <w:pPr>
        <w:pStyle w:val="Doc-title"/>
      </w:pPr>
      <w:hyperlink r:id="rId13" w:history="1">
        <w:r w:rsidR="00511D61">
          <w:rPr>
            <w:rStyle w:val="af3"/>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5B590F">
      <w:pPr>
        <w:pStyle w:val="Doc-title"/>
      </w:pPr>
      <w:hyperlink r:id="rId14" w:history="1">
        <w:r w:rsidR="00511D61">
          <w:rPr>
            <w:rStyle w:val="af3"/>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5B590F">
      <w:pPr>
        <w:pStyle w:val="Doc-title"/>
      </w:pPr>
      <w:hyperlink r:id="rId15" w:history="1">
        <w:r w:rsidR="00511D61">
          <w:rPr>
            <w:rStyle w:val="af3"/>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5B590F">
      <w:pPr>
        <w:pStyle w:val="Doc-title"/>
      </w:pPr>
      <w:hyperlink r:id="rId16" w:history="1">
        <w:r w:rsidR="00511D61">
          <w:rPr>
            <w:rStyle w:val="af3"/>
          </w:rPr>
          <w:t>R2-2101487</w:t>
        </w:r>
      </w:hyperlink>
      <w:r w:rsidR="00511D61">
        <w:tab/>
        <w:t>Rel-15/16 Status of Cell Configuration on Network Slicing</w:t>
      </w:r>
      <w:r w:rsidR="00511D61">
        <w:tab/>
      </w:r>
      <w:proofErr w:type="spellStart"/>
      <w:r w:rsidR="00511D61">
        <w:t>Futurewei</w:t>
      </w:r>
      <w:proofErr w:type="spellEnd"/>
      <w:r w:rsidR="00511D61">
        <w:tab/>
        <w:t>discussion</w:t>
      </w:r>
      <w:r w:rsidR="00511D61">
        <w:tab/>
        <w:t>Rel-17</w:t>
      </w:r>
      <w:r w:rsidR="00511D61">
        <w:tab/>
      </w:r>
      <w:proofErr w:type="spellStart"/>
      <w:r w:rsidR="00511D61">
        <w:t>FS_NR_slice</w:t>
      </w:r>
      <w:proofErr w:type="spellEnd"/>
    </w:p>
    <w:p w14:paraId="45605688" w14:textId="77777777" w:rsidR="00195846" w:rsidRDefault="005B590F">
      <w:pPr>
        <w:pStyle w:val="Doc-title"/>
      </w:pPr>
      <w:hyperlink r:id="rId17" w:history="1">
        <w:r w:rsidR="00511D61">
          <w:rPr>
            <w:rStyle w:val="af3"/>
          </w:rPr>
          <w:t>R2-2101488</w:t>
        </w:r>
      </w:hyperlink>
      <w:r w:rsidR="00511D61">
        <w:tab/>
        <w:t>DRAFT Reply LS on Cell Configuration within TA/RA to Support Allowed NSSAI</w:t>
      </w:r>
      <w:r w:rsidR="00511D61">
        <w:tab/>
      </w:r>
      <w:proofErr w:type="spellStart"/>
      <w:r w:rsidR="00511D61">
        <w:t>Futurewei</w:t>
      </w:r>
      <w:proofErr w:type="spellEnd"/>
      <w:r w:rsidR="00511D61">
        <w:tab/>
        <w:t>LS out</w:t>
      </w:r>
      <w:r w:rsidR="00511D61">
        <w:tab/>
        <w:t>Rel-17</w:t>
      </w:r>
      <w:r w:rsidR="00511D61">
        <w:tab/>
      </w:r>
      <w:proofErr w:type="spellStart"/>
      <w:r w:rsidR="00511D61">
        <w:t>FS_NR_slice</w:t>
      </w:r>
      <w:proofErr w:type="spellEnd"/>
      <w:r w:rsidR="00511D61">
        <w:t>, FS_eNS_Ph2</w:t>
      </w:r>
      <w:r w:rsidR="00511D61">
        <w:tab/>
        <w:t>To:SA2, RAN3, CT1</w:t>
      </w:r>
    </w:p>
    <w:p w14:paraId="1BE47893" w14:textId="77777777" w:rsidR="00195846" w:rsidRDefault="005B590F">
      <w:pPr>
        <w:pStyle w:val="Doc-title"/>
      </w:pPr>
      <w:hyperlink r:id="rId18" w:history="1">
        <w:r w:rsidR="00511D61">
          <w:rPr>
            <w:rStyle w:val="af3"/>
          </w:rPr>
          <w:t>R2-2101933</w:t>
        </w:r>
      </w:hyperlink>
      <w:r w:rsidR="00511D61">
        <w:tab/>
        <w:t>Draft reply LS on Cell Configuration within TARA to Support Allowed NSSAI</w:t>
      </w:r>
      <w:r w:rsidR="00511D61">
        <w:tab/>
        <w:t xml:space="preserve">ZTE corporation, </w:t>
      </w:r>
      <w:proofErr w:type="spellStart"/>
      <w:r w:rsidR="00511D61">
        <w:t>Sanechips</w:t>
      </w:r>
      <w:proofErr w:type="spellEnd"/>
      <w:r w:rsidR="00511D61">
        <w:tab/>
        <w:t>LS out</w:t>
      </w:r>
      <w:r w:rsidR="00511D61">
        <w:tab/>
        <w:t>Rel-17</w:t>
      </w:r>
      <w:r w:rsidR="00511D61">
        <w:tab/>
      </w:r>
      <w:proofErr w:type="spellStart"/>
      <w:r w:rsidR="00511D61">
        <w:t>FS_NR_slice</w:t>
      </w:r>
      <w:proofErr w:type="spellEnd"/>
      <w:r w:rsidR="00511D61">
        <w:tab/>
        <w:t>To:SA2</w:t>
      </w:r>
      <w:r w:rsidR="00511D61">
        <w:tab/>
        <w:t>Cc:CT1, RAN3</w:t>
      </w:r>
    </w:p>
    <w:p w14:paraId="26F258B9" w14:textId="77777777" w:rsidR="00195846" w:rsidRDefault="005B590F">
      <w:pPr>
        <w:pStyle w:val="Doc-title"/>
      </w:pPr>
      <w:hyperlink r:id="rId19" w:history="1">
        <w:r w:rsidR="00511D61">
          <w:rPr>
            <w:rStyle w:val="af3"/>
          </w:rPr>
          <w:t>R2-2101700</w:t>
        </w:r>
      </w:hyperlink>
      <w:r w:rsidR="00511D61">
        <w:tab/>
        <w:t>Discussion on the SA2 incoming LS on Cell Configuration within TA/RA to Support Allowed NSSAI</w:t>
      </w:r>
      <w:r w:rsidR="00511D61">
        <w:tab/>
        <w:t xml:space="preserve">Huawei, </w:t>
      </w:r>
      <w:proofErr w:type="spellStart"/>
      <w:r w:rsidR="00511D61">
        <w:t>HiSilicon</w:t>
      </w:r>
      <w:proofErr w:type="spellEnd"/>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5B590F">
      <w:pPr>
        <w:pStyle w:val="Doc-title"/>
      </w:pPr>
      <w:hyperlink r:id="rId20" w:history="1">
        <w:r w:rsidR="00511D61">
          <w:rPr>
            <w:rStyle w:val="af3"/>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1" w:history="1">
        <w:r>
          <w:rPr>
            <w:rStyle w:val="af3"/>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af3"/>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af3"/>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af3"/>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5"/>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5"/>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5"/>
        <w:numPr>
          <w:ilvl w:val="0"/>
          <w:numId w:val="5"/>
        </w:numPr>
        <w:rPr>
          <w:b/>
          <w:bCs/>
        </w:rPr>
      </w:pPr>
      <w:r>
        <w:rPr>
          <w:b/>
          <w:bCs/>
        </w:rPr>
        <w:t>The handling of TAs is not in the scope of RAN2.</w:t>
      </w:r>
    </w:p>
    <w:tbl>
      <w:tblPr>
        <w:tblStyle w:val="af0"/>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proofErr w:type="spellStart"/>
            <w:r>
              <w:rPr>
                <w:lang w:val="en-US" w:eastAsia="zh-CN"/>
              </w:rPr>
              <w:t>Futurewei</w:t>
            </w:r>
            <w:proofErr w:type="spellEnd"/>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af5"/>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af5"/>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af5"/>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Malgun Gothic"/>
                <w:lang w:val="en-US" w:eastAsia="ko-KR"/>
              </w:rPr>
            </w:pPr>
            <w:r>
              <w:rPr>
                <w:rFonts w:eastAsia="Malgun Gothic" w:hint="eastAsia"/>
                <w:lang w:val="en-US" w:eastAsia="ko-KR"/>
              </w:rPr>
              <w:lastRenderedPageBreak/>
              <w:t>Sam</w:t>
            </w:r>
            <w:r>
              <w:rPr>
                <w:rFonts w:eastAsia="Malgun Gothic"/>
                <w:lang w:val="en-US" w:eastAsia="ko-KR"/>
              </w:rPr>
              <w:t>sung</w:t>
            </w:r>
          </w:p>
        </w:tc>
        <w:tc>
          <w:tcPr>
            <w:tcW w:w="1170" w:type="dxa"/>
          </w:tcPr>
          <w:p w14:paraId="6C5EAE54" w14:textId="2776CB66" w:rsidR="00511D61" w:rsidRPr="006A731C" w:rsidRDefault="006A731C" w:rsidP="00511D61">
            <w:pPr>
              <w:spacing w:after="0"/>
              <w:rPr>
                <w:rFonts w:eastAsia="Malgun Gothic"/>
                <w:lang w:val="en-US" w:eastAsia="ko-KR"/>
              </w:rPr>
            </w:pPr>
            <w:r>
              <w:rPr>
                <w:rFonts w:eastAsia="Malgun Gothic"/>
                <w:lang w:val="en-US" w:eastAsia="ko-KR"/>
              </w:rPr>
              <w:t>a)</w:t>
            </w:r>
          </w:p>
        </w:tc>
        <w:tc>
          <w:tcPr>
            <w:tcW w:w="1530" w:type="dxa"/>
          </w:tcPr>
          <w:p w14:paraId="0752CA40" w14:textId="17210419" w:rsidR="00511D61" w:rsidRPr="006A731C" w:rsidRDefault="006A731C" w:rsidP="00511D61">
            <w:pPr>
              <w:spacing w:after="0"/>
              <w:rPr>
                <w:rFonts w:eastAsia="Malgun Gothic"/>
                <w:lang w:val="en-US" w:eastAsia="ko-KR"/>
              </w:rPr>
            </w:pPr>
            <w:r>
              <w:rPr>
                <w:rFonts w:eastAsia="Malgun Gothic"/>
                <w:lang w:val="en-US" w:eastAsia="ko-KR"/>
              </w:rPr>
              <w:t>b)</w:t>
            </w:r>
          </w:p>
        </w:tc>
        <w:tc>
          <w:tcPr>
            <w:tcW w:w="5850" w:type="dxa"/>
            <w:vAlign w:val="center"/>
          </w:tcPr>
          <w:p w14:paraId="7EAA204B" w14:textId="0D22315F" w:rsidR="006A731C" w:rsidRDefault="006A731C" w:rsidP="006A731C">
            <w:pPr>
              <w:spacing w:after="0"/>
            </w:pPr>
            <w:r>
              <w:rPr>
                <w:lang w:val="en-US" w:eastAsia="zh-CN"/>
              </w:rPr>
              <w:t>Based on the sentence in 38.300 "</w:t>
            </w:r>
            <w:r w:rsidRPr="006012C7">
              <w:t xml:space="preserve">It is assumed that the slice </w:t>
            </w:r>
            <w:r w:rsidRPr="006012C7">
              <w:rPr>
                <w:rFonts w:eastAsia="Malgun Gothic"/>
                <w:lang w:eastAsia="ko-KR"/>
              </w:rPr>
              <w:t xml:space="preserve">availability </w:t>
            </w:r>
            <w:r w:rsidRPr="006012C7">
              <w:t>does not change within the UE's registration area.</w:t>
            </w:r>
            <w:r>
              <w:t>",  we think a) can be assumed for R15/R16.</w:t>
            </w:r>
          </w:p>
          <w:p w14:paraId="0E25A4F0" w14:textId="77777777" w:rsidR="00511D61" w:rsidRPr="006A731C" w:rsidRDefault="00511D61" w:rsidP="00511D61">
            <w:pPr>
              <w:spacing w:after="0"/>
              <w:rPr>
                <w:lang w:eastAsia="zh-CN"/>
              </w:rPr>
            </w:pPr>
          </w:p>
        </w:tc>
      </w:tr>
      <w:tr w:rsidR="00450D14" w14:paraId="1E0BF659" w14:textId="77777777">
        <w:tc>
          <w:tcPr>
            <w:tcW w:w="1345" w:type="dxa"/>
            <w:vAlign w:val="center"/>
          </w:tcPr>
          <w:p w14:paraId="76197848" w14:textId="0E6A4E10" w:rsidR="00450D14" w:rsidRPr="00450D14" w:rsidRDefault="00450D14" w:rsidP="00450D14">
            <w:pPr>
              <w:spacing w:after="0"/>
              <w:rPr>
                <w:rFonts w:eastAsia="新細明體" w:hint="eastAsia"/>
                <w:lang w:val="en-US" w:eastAsia="zh-TW"/>
              </w:rPr>
            </w:pPr>
            <w:r>
              <w:rPr>
                <w:rFonts w:eastAsia="新細明體"/>
                <w:lang w:val="en-US" w:eastAsia="zh-TW"/>
              </w:rPr>
              <w:t>APT</w:t>
            </w:r>
          </w:p>
        </w:tc>
        <w:tc>
          <w:tcPr>
            <w:tcW w:w="1170" w:type="dxa"/>
          </w:tcPr>
          <w:p w14:paraId="4A285625" w14:textId="5B2BB4F4" w:rsidR="00450D14" w:rsidRDefault="00450D14" w:rsidP="00450D14">
            <w:pPr>
              <w:spacing w:after="0"/>
              <w:rPr>
                <w:lang w:val="en-US" w:eastAsia="zh-CN"/>
              </w:rPr>
            </w:pPr>
            <w:r>
              <w:rPr>
                <w:rFonts w:eastAsia="Malgun Gothic"/>
                <w:lang w:val="en-US" w:eastAsia="ko-KR"/>
              </w:rPr>
              <w:t>a)</w:t>
            </w:r>
          </w:p>
        </w:tc>
        <w:tc>
          <w:tcPr>
            <w:tcW w:w="1530" w:type="dxa"/>
          </w:tcPr>
          <w:p w14:paraId="087DAA2D" w14:textId="36C9EDA7" w:rsidR="00450D14" w:rsidRDefault="00450D14" w:rsidP="00450D14">
            <w:pPr>
              <w:spacing w:after="0"/>
              <w:rPr>
                <w:lang w:val="en-US" w:eastAsia="zh-CN"/>
              </w:rPr>
            </w:pPr>
            <w:r>
              <w:rPr>
                <w:rFonts w:eastAsia="Malgun Gothic"/>
                <w:lang w:val="en-US" w:eastAsia="ko-KR"/>
              </w:rPr>
              <w:t>b)</w:t>
            </w:r>
          </w:p>
        </w:tc>
        <w:tc>
          <w:tcPr>
            <w:tcW w:w="5850" w:type="dxa"/>
            <w:vAlign w:val="center"/>
          </w:tcPr>
          <w:p w14:paraId="0BF17EA5" w14:textId="33FB10BB" w:rsidR="00450D14" w:rsidRDefault="00450D14" w:rsidP="00450D14">
            <w:pPr>
              <w:spacing w:after="0"/>
              <w:rPr>
                <w:lang w:val="en-US" w:eastAsia="zh-CN"/>
              </w:rPr>
            </w:pPr>
            <w:r w:rsidRPr="00450D14">
              <w:rPr>
                <w:lang w:val="en-US" w:eastAsia="zh-CN"/>
              </w:rPr>
              <w:t xml:space="preserve">According to TS 38.300 v16.4.0 slice availability, “Some slices may be available only in part of the network. The NG-RAN supported S-NSSAI(s) is configured by OAM. Awareness in the NG-RAN of the slices supported in the cells of its </w:t>
            </w:r>
            <w:proofErr w:type="spellStart"/>
            <w:r w:rsidRPr="00450D14">
              <w:rPr>
                <w:lang w:val="en-US" w:eastAsia="zh-CN"/>
              </w:rPr>
              <w:t>neighbours</w:t>
            </w:r>
            <w:proofErr w:type="spellEnd"/>
            <w:r w:rsidRPr="00450D14">
              <w:rPr>
                <w:lang w:val="en-US" w:eastAsia="zh-CN"/>
              </w:rPr>
              <w:t xml:space="preserve"> may be beneficial for inter-frequency mobility in connected mode. It is assumed that the slice availability does not change within the UE's registration area.”, since the slice availability does not change within the UE’s registration area, it is expected that all cells within the UE’s registration area (e.g., cells advertise the same TAC) support the same S-NSSAI(s). Thus, in response to SA2’s first question focusing on Rel-15/Rel-16, we would prefer a). </w:t>
            </w:r>
          </w:p>
          <w:p w14:paraId="41BDB0AC" w14:textId="77777777" w:rsidR="00450D14" w:rsidRPr="00450D14" w:rsidRDefault="00450D14" w:rsidP="00450D14">
            <w:pPr>
              <w:spacing w:after="0"/>
              <w:rPr>
                <w:lang w:val="en-US" w:eastAsia="zh-CN"/>
              </w:rPr>
            </w:pPr>
          </w:p>
          <w:p w14:paraId="57F646EE" w14:textId="4A943D28" w:rsidR="00450D14" w:rsidRDefault="00450D14" w:rsidP="00450D14">
            <w:pPr>
              <w:spacing w:after="0"/>
              <w:rPr>
                <w:lang w:val="en-US" w:eastAsia="zh-CN"/>
              </w:rPr>
            </w:pPr>
            <w:r w:rsidRPr="00450D14">
              <w:rPr>
                <w:lang w:val="en-US" w:eastAsia="zh-CN"/>
              </w:rPr>
              <w:t>For Rel-17, we are open whether such assumption can be relaxed.</w:t>
            </w:r>
          </w:p>
        </w:tc>
      </w:tr>
      <w:tr w:rsidR="00511D61" w14:paraId="7743EF3C" w14:textId="77777777">
        <w:tc>
          <w:tcPr>
            <w:tcW w:w="1345" w:type="dxa"/>
            <w:vAlign w:val="center"/>
          </w:tcPr>
          <w:p w14:paraId="4BF67EA9" w14:textId="77777777" w:rsidR="00511D61" w:rsidRDefault="00511D61" w:rsidP="00511D61">
            <w:pPr>
              <w:spacing w:after="0"/>
              <w:rPr>
                <w:rFonts w:eastAsia="新細明體"/>
                <w:lang w:val="en-US" w:eastAsia="zh-TW"/>
              </w:rPr>
            </w:pPr>
          </w:p>
        </w:tc>
        <w:tc>
          <w:tcPr>
            <w:tcW w:w="1170" w:type="dxa"/>
          </w:tcPr>
          <w:p w14:paraId="4A65FA6D" w14:textId="77777777" w:rsidR="00511D61" w:rsidRDefault="00511D61" w:rsidP="00511D61">
            <w:pPr>
              <w:spacing w:after="0"/>
              <w:rPr>
                <w:rFonts w:eastAsia="新細明體"/>
                <w:lang w:val="en-US" w:eastAsia="zh-TW"/>
              </w:rPr>
            </w:pPr>
          </w:p>
        </w:tc>
        <w:tc>
          <w:tcPr>
            <w:tcW w:w="1530" w:type="dxa"/>
          </w:tcPr>
          <w:p w14:paraId="45450A0E" w14:textId="77777777" w:rsidR="00511D61" w:rsidRDefault="00511D61" w:rsidP="00511D61">
            <w:pPr>
              <w:spacing w:after="0"/>
              <w:rPr>
                <w:rFonts w:eastAsia="新細明體"/>
                <w:lang w:val="en-US" w:eastAsia="zh-TW"/>
              </w:rPr>
            </w:pPr>
          </w:p>
        </w:tc>
        <w:tc>
          <w:tcPr>
            <w:tcW w:w="5850" w:type="dxa"/>
            <w:vAlign w:val="center"/>
          </w:tcPr>
          <w:p w14:paraId="049F887E" w14:textId="77777777" w:rsidR="00511D61" w:rsidRDefault="00511D61" w:rsidP="00511D61">
            <w:pPr>
              <w:spacing w:after="0"/>
              <w:rPr>
                <w:rFonts w:eastAsia="新細明體"/>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6" w:history="1">
        <w:r>
          <w:rPr>
            <w:rStyle w:val="af3"/>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af3"/>
          </w:rPr>
          <w:t>R2-2011102</w:t>
        </w:r>
      </w:hyperlink>
      <w:r>
        <w:t xml:space="preserve">). As there was no consensus that UL SMBR can be enforced without RAN2 specification impacts RAN2 provided the following reply to </w:t>
      </w:r>
      <w:hyperlink r:id="rId28" w:history="1">
        <w:r>
          <w:rPr>
            <w:rStyle w:val="af3"/>
          </w:rPr>
          <w:t>R2-2010694</w:t>
        </w:r>
      </w:hyperlink>
      <w:r>
        <w:t xml:space="preserve"> on Solution #22 in </w:t>
      </w:r>
      <w:hyperlink r:id="rId29" w:history="1">
        <w:r>
          <w:rPr>
            <w:rStyle w:val="af3"/>
          </w:rPr>
          <w:t>R2-2011104</w:t>
        </w:r>
      </w:hyperlink>
      <w:r>
        <w:rPr>
          <w:rStyle w:val="af3"/>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lastRenderedPageBreak/>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af3"/>
          </w:rPr>
          <w:t>R2-2101293</w:t>
        </w:r>
      </w:hyperlink>
      <w:r>
        <w:t xml:space="preserve">), while others clearly think that it is possible (e.g., </w:t>
      </w:r>
      <w:hyperlink r:id="rId31" w:history="1">
        <w:r>
          <w:rPr>
            <w:rStyle w:val="af3"/>
          </w:rPr>
          <w:t>R2-2100546</w:t>
        </w:r>
      </w:hyperlink>
      <w:r>
        <w:t xml:space="preserve">, </w:t>
      </w:r>
      <w:hyperlink r:id="rId32" w:history="1">
        <w:r>
          <w:rPr>
            <w:rStyle w:val="af3"/>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f0"/>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5"/>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w:t>
            </w:r>
            <w:proofErr w:type="spellStart"/>
            <w:r>
              <w:rPr>
                <w:lang w:val="en-US" w:eastAsia="zh-CN"/>
              </w:rPr>
              <w:t>gNB</w:t>
            </w:r>
            <w:proofErr w:type="spellEnd"/>
            <w:r>
              <w:rPr>
                <w:lang w:val="en-US" w:eastAsia="zh-CN"/>
              </w:rPr>
              <w:t xml:space="preserve"> is able to control the UL data volume with a granularity equal to the number of such resources.</w:t>
            </w:r>
          </w:p>
          <w:p w14:paraId="7F5B5C1A" w14:textId="77777777" w:rsidR="00195846" w:rsidRDefault="00511D61">
            <w:pPr>
              <w:pStyle w:val="af5"/>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lastRenderedPageBreak/>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proofErr w:type="spellStart"/>
            <w:r>
              <w:rPr>
                <w:lang w:val="en-US" w:eastAsia="zh-CN"/>
              </w:rPr>
              <w:t>Futurewei</w:t>
            </w:r>
            <w:proofErr w:type="spellEnd"/>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af4"/>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Malgun Gothic"/>
                <w:lang w:val="en-US" w:eastAsia="ko-KR"/>
              </w:rPr>
            </w:pPr>
            <w:r>
              <w:rPr>
                <w:rFonts w:eastAsia="Malgun Gothic" w:hint="eastAsia"/>
                <w:lang w:val="en-US" w:eastAsia="ko-KR"/>
              </w:rPr>
              <w:t>Samsung</w:t>
            </w:r>
          </w:p>
        </w:tc>
        <w:tc>
          <w:tcPr>
            <w:tcW w:w="1127" w:type="dxa"/>
          </w:tcPr>
          <w:p w14:paraId="52D47709" w14:textId="1996403E" w:rsidR="00511D61" w:rsidRPr="006A731C" w:rsidRDefault="006A731C" w:rsidP="006723EE">
            <w:pPr>
              <w:spacing w:after="0"/>
              <w:rPr>
                <w:rFonts w:eastAsia="Malgun Gothic"/>
                <w:lang w:val="en-US" w:eastAsia="ko-KR"/>
              </w:rPr>
            </w:pPr>
            <w:r>
              <w:rPr>
                <w:rFonts w:eastAsia="Malgun Gothic"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Malgun Gothic"/>
                <w:lang w:val="en-US" w:eastAsia="ko-KR"/>
              </w:rPr>
            </w:pPr>
            <w:r>
              <w:rPr>
                <w:rFonts w:eastAsia="Malgun Gothic" w:hint="eastAsia"/>
                <w:lang w:val="en-US" w:eastAsia="ko-KR"/>
              </w:rPr>
              <w:t>We may discuss later whether the existing mechanism</w:t>
            </w:r>
            <w:r>
              <w:rPr>
                <w:rFonts w:eastAsia="Malgun Gothic"/>
                <w:lang w:val="en-US" w:eastAsia="ko-KR"/>
              </w:rPr>
              <w:t>s</w:t>
            </w:r>
            <w:r>
              <w:rPr>
                <w:rFonts w:eastAsia="Malgun Gothic" w:hint="eastAsia"/>
                <w:lang w:val="en-US" w:eastAsia="ko-KR"/>
              </w:rPr>
              <w:t xml:space="preserve"> can support the UL enforcement</w:t>
            </w:r>
            <w:r>
              <w:rPr>
                <w:rFonts w:eastAsia="Malgun Gothic"/>
                <w:lang w:val="en-US" w:eastAsia="ko-KR"/>
              </w:rPr>
              <w:t xml:space="preserve"> of S-MBR</w:t>
            </w:r>
            <w:r>
              <w:rPr>
                <w:rFonts w:eastAsia="Malgun Gothic" w:hint="eastAsia"/>
                <w:lang w:val="en-US" w:eastAsia="ko-KR"/>
              </w:rPr>
              <w:t>.</w:t>
            </w:r>
          </w:p>
        </w:tc>
      </w:tr>
      <w:tr w:rsidR="00511D61" w14:paraId="6E5ECB89" w14:textId="77777777">
        <w:tc>
          <w:tcPr>
            <w:tcW w:w="1345" w:type="dxa"/>
            <w:vAlign w:val="center"/>
          </w:tcPr>
          <w:p w14:paraId="1E7C1587" w14:textId="0EAE4055" w:rsidR="00511D61" w:rsidRDefault="005B590F" w:rsidP="00511D61">
            <w:pPr>
              <w:spacing w:after="0"/>
              <w:rPr>
                <w:rFonts w:eastAsia="新細明體"/>
                <w:lang w:val="en-US" w:eastAsia="zh-TW"/>
              </w:rPr>
            </w:pPr>
            <w:r>
              <w:rPr>
                <w:rFonts w:eastAsia="新細明體" w:hint="eastAsia"/>
                <w:lang w:val="en-US" w:eastAsia="zh-TW"/>
              </w:rPr>
              <w:t>A</w:t>
            </w:r>
            <w:r>
              <w:rPr>
                <w:rFonts w:eastAsia="新細明體"/>
                <w:lang w:val="en-US" w:eastAsia="zh-TW"/>
              </w:rPr>
              <w:t>PT</w:t>
            </w:r>
          </w:p>
        </w:tc>
        <w:tc>
          <w:tcPr>
            <w:tcW w:w="1127" w:type="dxa"/>
          </w:tcPr>
          <w:p w14:paraId="195294D7" w14:textId="3A4453D6" w:rsidR="00511D61" w:rsidRDefault="005B590F" w:rsidP="00511D61">
            <w:pPr>
              <w:spacing w:after="0"/>
              <w:rPr>
                <w:rFonts w:eastAsia="新細明體"/>
                <w:lang w:val="en-US" w:eastAsia="zh-TW"/>
              </w:rPr>
            </w:pPr>
            <w:r>
              <w:rPr>
                <w:rFonts w:eastAsia="新細明體" w:hint="eastAsia"/>
                <w:lang w:val="en-US" w:eastAsia="zh-TW"/>
              </w:rPr>
              <w:t>Y</w:t>
            </w:r>
            <w:r>
              <w:rPr>
                <w:rFonts w:eastAsia="新細明體"/>
                <w:lang w:val="en-US" w:eastAsia="zh-TW"/>
              </w:rPr>
              <w:t>es</w:t>
            </w:r>
          </w:p>
        </w:tc>
        <w:tc>
          <w:tcPr>
            <w:tcW w:w="7153" w:type="dxa"/>
            <w:vAlign w:val="center"/>
          </w:tcPr>
          <w:p w14:paraId="1024C9CF" w14:textId="77777777" w:rsidR="00511D61" w:rsidRDefault="00511D61" w:rsidP="00511D61">
            <w:pPr>
              <w:spacing w:after="0"/>
              <w:rPr>
                <w:rFonts w:eastAsia="新細明體"/>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7DF10" w14:textId="77777777" w:rsidR="00E474C1" w:rsidRDefault="00E474C1" w:rsidP="00511D61">
      <w:pPr>
        <w:spacing w:after="0" w:line="240" w:lineRule="auto"/>
      </w:pPr>
      <w:r>
        <w:separator/>
      </w:r>
    </w:p>
  </w:endnote>
  <w:endnote w:type="continuationSeparator" w:id="0">
    <w:p w14:paraId="0EA072E0" w14:textId="77777777" w:rsidR="00E474C1" w:rsidRDefault="00E474C1"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5E51F" w14:textId="77777777" w:rsidR="00E474C1" w:rsidRDefault="00E474C1" w:rsidP="00511D61">
      <w:pPr>
        <w:spacing w:after="0" w:line="240" w:lineRule="auto"/>
      </w:pPr>
      <w:r>
        <w:separator/>
      </w:r>
    </w:p>
  </w:footnote>
  <w:footnote w:type="continuationSeparator" w:id="0">
    <w:p w14:paraId="7E5610DF" w14:textId="77777777" w:rsidR="00E474C1" w:rsidRDefault="00E474C1"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50D1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B590F"/>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723EE"/>
    <w:rsid w:val="00681EAC"/>
    <w:rsid w:val="006948AA"/>
    <w:rsid w:val="00694E78"/>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4B7B"/>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e">
    <w:name w:val="annotation subject"/>
    <w:basedOn w:val="a5"/>
    <w:next w:val="a5"/>
    <w:link w:val="af"/>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4">
    <w:name w:val="文件引導模式 字元"/>
    <w:basedOn w:val="a0"/>
    <w:link w:val="a3"/>
    <w:qFormat/>
    <w:rPr>
      <w:sz w:val="24"/>
      <w:szCs w:val="24"/>
      <w:lang w:eastAsia="en-US"/>
    </w:rPr>
  </w:style>
  <w:style w:type="character" w:customStyle="1" w:styleId="aa">
    <w:name w:val="註解方塊文字 字元"/>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註解文字 字元"/>
    <w:basedOn w:val="a0"/>
    <w:link w:val="a5"/>
    <w:qFormat/>
    <w:rPr>
      <w:rFonts w:ascii="Times New Roman" w:hAnsi="Times New Roman"/>
      <w:lang w:val="en-GB"/>
    </w:rPr>
  </w:style>
  <w:style w:type="character" w:customStyle="1" w:styleId="af">
    <w:name w:val="註解主旨 字元"/>
    <w:basedOn w:val="a6"/>
    <w:link w:val="ae"/>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本文 字元"/>
    <w:basedOn w:val="a0"/>
    <w:link w:val="a7"/>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3445</Words>
  <Characters>18879</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Mei-Ju Shih</cp:lastModifiedBy>
  <cp:revision>6</cp:revision>
  <dcterms:created xsi:type="dcterms:W3CDTF">2021-01-29T06:10:00Z</dcterms:created>
  <dcterms:modified xsi:type="dcterms:W3CDTF">2021-01-29T07:08:00Z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