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393CB4B"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 xml:space="preserve">[011][NR15] UE </w:t>
      </w:r>
      <w:proofErr w:type="spellStart"/>
      <w:r w:rsidR="004C3E05" w:rsidRPr="004C3E05">
        <w:rPr>
          <w:rFonts w:ascii="Arial" w:hAnsi="Arial" w:cs="Arial"/>
          <w:b/>
          <w:bCs/>
          <w:sz w:val="24"/>
        </w:rPr>
        <w:t>Capabilites</w:t>
      </w:r>
      <w:proofErr w:type="spellEnd"/>
      <w:r w:rsidR="004C3E05" w:rsidRPr="004C3E05">
        <w:rPr>
          <w:rFonts w:ascii="Arial" w:hAnsi="Arial" w:cs="Arial"/>
          <w:b/>
          <w:bCs/>
          <w:sz w:val="24"/>
        </w:rPr>
        <w:t xml:space="preserve">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Heading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proofErr w:type="spellStart"/>
      <w:r w:rsidR="004C3E05" w:rsidRPr="004C3E05">
        <w:t>xDD</w:t>
      </w:r>
      <w:proofErr w:type="spellEnd"/>
      <w:r w:rsidR="004C3E05" w:rsidRPr="004C3E05">
        <w:t xml:space="preserve"> differentiation for SUL</w:t>
      </w:r>
      <w:r w:rsidR="00AE2839">
        <w:t>”</w:t>
      </w:r>
      <w:r w:rsidR="004C3E05">
        <w:t xml:space="preserve">, </w:t>
      </w:r>
      <w:r w:rsidR="00E4577A">
        <w:t>“</w:t>
      </w:r>
      <w:r w:rsidR="004C3E05" w:rsidRPr="004C3E05">
        <w:t>Fallback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 xml:space="preserve">[AT113-e][011][NR15] UE </w:t>
      </w:r>
      <w:proofErr w:type="spellStart"/>
      <w:r>
        <w:t>Capabilites</w:t>
      </w:r>
      <w:proofErr w:type="spellEnd"/>
      <w:r>
        <w:t xml:space="preserve">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t>Phase 1,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proofErr w:type="spellStart"/>
      <w:r w:rsidRPr="00AD3EDC">
        <w:t>xDD</w:t>
      </w:r>
      <w:proofErr w:type="spellEnd"/>
      <w:r w:rsidRPr="00AD3EDC">
        <w:t xml:space="preserve">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Hyperlink"/>
          <w:i w:val="0"/>
        </w:rPr>
      </w:pPr>
      <w:r w:rsidRPr="00D309A6">
        <w:t>Move</w:t>
      </w:r>
      <w:r>
        <w:t>d</w:t>
      </w:r>
      <w:r w:rsidRPr="00D309A6">
        <w:t xml:space="preserve"> from 5.1</w:t>
      </w:r>
      <w:r>
        <w:t>:</w:t>
      </w:r>
    </w:p>
    <w:p w14:paraId="294632E0" w14:textId="61678562" w:rsidR="004C3E05" w:rsidRDefault="002047F9" w:rsidP="004C3E05">
      <w:pPr>
        <w:pStyle w:val="Doc-title"/>
      </w:pPr>
      <w:hyperlink r:id="rId13" w:history="1">
        <w:r w:rsidR="004C3E05" w:rsidRPr="00CD3143">
          <w:rPr>
            <w:rStyle w:val="Hyperlink"/>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B328C0B" w:rsidR="004C3E05" w:rsidRDefault="002047F9" w:rsidP="004C3E05">
      <w:pPr>
        <w:pStyle w:val="Doc-title"/>
      </w:pPr>
      <w:hyperlink r:id="rId14" w:history="1">
        <w:r w:rsidR="004C3E05" w:rsidRPr="00CD3143">
          <w:rPr>
            <w:rStyle w:val="Hyperlink"/>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62A7D447" w:rsidR="004C3E05" w:rsidRDefault="002047F9" w:rsidP="004C3E05">
      <w:pPr>
        <w:pStyle w:val="Doc-title"/>
      </w:pPr>
      <w:hyperlink r:id="rId15" w:history="1">
        <w:r w:rsidR="004C3E05" w:rsidRPr="00CD3143">
          <w:rPr>
            <w:rStyle w:val="Hyperlink"/>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5A0229B8" w:rsidR="004C3E05" w:rsidRDefault="002047F9" w:rsidP="004C3E05">
      <w:pPr>
        <w:pStyle w:val="Doc-title"/>
      </w:pPr>
      <w:hyperlink r:id="rId16" w:history="1">
        <w:r w:rsidR="004C3E05" w:rsidRPr="00CD3143">
          <w:rPr>
            <w:rStyle w:val="Hyperlink"/>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47603D7C" w:rsidR="004C3E05" w:rsidRDefault="002047F9" w:rsidP="004C3E05">
      <w:pPr>
        <w:pStyle w:val="Doc-title"/>
      </w:pPr>
      <w:hyperlink r:id="rId17" w:history="1">
        <w:r w:rsidR="004C3E05" w:rsidRPr="00CD3143">
          <w:rPr>
            <w:rStyle w:val="Hyperlink"/>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17721CDB" w:rsidR="004C3E05" w:rsidRDefault="002047F9" w:rsidP="004C3E05">
      <w:pPr>
        <w:pStyle w:val="Doc-title"/>
      </w:pPr>
      <w:hyperlink r:id="rId18" w:history="1">
        <w:r w:rsidR="004C3E05" w:rsidRPr="00CD3143">
          <w:rPr>
            <w:rStyle w:val="Hyperlink"/>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r>
        <w:rPr>
          <w:b/>
        </w:rPr>
        <w:t>Fallback per CC</w:t>
      </w:r>
    </w:p>
    <w:p w14:paraId="132C979C" w14:textId="77777777" w:rsidR="004C3E05" w:rsidRPr="00BC7724" w:rsidRDefault="004C3E05" w:rsidP="004C3E05">
      <w:pPr>
        <w:pStyle w:val="Comments"/>
      </w:pPr>
      <w:r>
        <w:t>Continue last meeting</w:t>
      </w:r>
    </w:p>
    <w:p w14:paraId="30C0E542" w14:textId="2EE90DBC" w:rsidR="004C3E05" w:rsidRDefault="002047F9" w:rsidP="004C3E05">
      <w:pPr>
        <w:pStyle w:val="Doc-title"/>
      </w:pPr>
      <w:hyperlink r:id="rId19" w:history="1">
        <w:r w:rsidR="004C3E05" w:rsidRPr="00CD3143">
          <w:rPr>
            <w:rStyle w:val="Hyperlink"/>
          </w:rPr>
          <w:t>R2-2101430</w:t>
        </w:r>
      </w:hyperlink>
      <w:r w:rsidR="004C3E05">
        <w:tab/>
        <w:t>Definition of Fallback per CC feature set</w:t>
      </w:r>
      <w:r w:rsidR="004C3E05">
        <w:tab/>
        <w:t>Ericsson</w:t>
      </w:r>
      <w:r w:rsidR="004C3E05">
        <w:tab/>
        <w:t>discussion</w:t>
      </w:r>
    </w:p>
    <w:p w14:paraId="7327E78B" w14:textId="33352B8C" w:rsidR="004C3E05" w:rsidRDefault="002047F9" w:rsidP="004C3E05">
      <w:pPr>
        <w:pStyle w:val="Doc-title"/>
      </w:pPr>
      <w:hyperlink r:id="rId20" w:history="1">
        <w:r w:rsidR="004C3E05" w:rsidRPr="00CD3143">
          <w:rPr>
            <w:rStyle w:val="Hyperlink"/>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C1410B" w:rsidR="004C3E05" w:rsidRDefault="002047F9" w:rsidP="004C3E05">
      <w:pPr>
        <w:pStyle w:val="Doc-title"/>
      </w:pPr>
      <w:hyperlink r:id="rId21" w:history="1">
        <w:r w:rsidR="004C3E05" w:rsidRPr="00CD3143">
          <w:rPr>
            <w:rStyle w:val="Hyperlink"/>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5446B00" w:rsidR="004C3E05" w:rsidRDefault="002047F9" w:rsidP="004C3E05">
      <w:pPr>
        <w:pStyle w:val="Doc-title"/>
      </w:pPr>
      <w:hyperlink r:id="rId22" w:history="1">
        <w:r w:rsidR="004C3E05" w:rsidRPr="00CD3143">
          <w:rPr>
            <w:rStyle w:val="Hyperlink"/>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686BEFFA" w:rsidR="006F150C" w:rsidRPr="006F150C" w:rsidRDefault="002047F9" w:rsidP="004C3E05">
      <w:pPr>
        <w:pStyle w:val="Doc-title"/>
        <w:rPr>
          <w:i/>
        </w:rPr>
      </w:pPr>
      <w:hyperlink r:id="rId23" w:history="1">
        <w:r w:rsidR="004C3E05" w:rsidRPr="00CD3143">
          <w:rPr>
            <w:rStyle w:val="Hyperlink"/>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Heading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Heading2"/>
      </w:pPr>
      <w:r>
        <w:t>2</w:t>
      </w:r>
      <w:r w:rsidR="00697CFC" w:rsidRPr="006E13D1">
        <w:t>.1</w:t>
      </w:r>
      <w:r w:rsidR="00697CFC" w:rsidRPr="006E13D1">
        <w:tab/>
      </w:r>
      <w:proofErr w:type="spellStart"/>
      <w:r w:rsidR="004C3E05" w:rsidRPr="004C3E05">
        <w:t>xDD</w:t>
      </w:r>
      <w:proofErr w:type="spellEnd"/>
      <w:r w:rsidR="004C3E05" w:rsidRPr="004C3E05">
        <w:t xml:space="preserve">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proofErr w:type="spellStart"/>
      <w:r w:rsidR="00D6245C" w:rsidRPr="00D6245C">
        <w:rPr>
          <w:b/>
        </w:rPr>
        <w:t>xDD</w:t>
      </w:r>
      <w:proofErr w:type="spellEnd"/>
      <w:r w:rsidR="00D6245C" w:rsidRPr="00D6245C">
        <w:rPr>
          <w:b/>
        </w:rPr>
        <w:t xml:space="preserve"> differentiation for SUL</w:t>
      </w:r>
      <w:r w:rsidR="00D6245C">
        <w:t>.</w:t>
      </w:r>
    </w:p>
    <w:p w14:paraId="4150DABA" w14:textId="43AFB075" w:rsidR="006714D4" w:rsidRDefault="006714D4" w:rsidP="00295EAC">
      <w:r>
        <w:t>According to the reply LS (</w:t>
      </w:r>
      <w:r w:rsidRPr="006714D4">
        <w:t>R2-2100016</w:t>
      </w:r>
      <w:r>
        <w:t xml:space="preserve">) from RAN1, RAN1 provided the answers for the questions RAN2 requested on </w:t>
      </w:r>
      <w:proofErr w:type="spellStart"/>
      <w:r>
        <w:t>xDD</w:t>
      </w:r>
      <w:proofErr w:type="spellEnd"/>
      <w:r>
        <w:t xml:space="preserve"> differentiation for SUL/SDL bands.</w:t>
      </w:r>
    </w:p>
    <w:tbl>
      <w:tblPr>
        <w:tblStyle w:val="TableGrid"/>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BodyText"/>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BodyText"/>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w:t>
            </w:r>
            <w:proofErr w:type="spellStart"/>
            <w:r w:rsidRPr="00C14693">
              <w:rPr>
                <w:rFonts w:ascii="Arial" w:hAnsi="Arial" w:cs="Arial"/>
                <w:lang w:eastAsia="ko-KR"/>
              </w:rPr>
              <w:t>xDD</w:t>
            </w:r>
            <w:proofErr w:type="spellEnd"/>
            <w:r w:rsidRPr="00C14693">
              <w:rPr>
                <w:rFonts w:ascii="Arial" w:hAnsi="Arial" w:cs="Arial"/>
                <w:lang w:eastAsia="ko-KR"/>
              </w:rPr>
              <w:t xml:space="preserve"> differentiation and </w:t>
            </w:r>
            <w:proofErr w:type="spellStart"/>
            <w:r w:rsidRPr="00C14693">
              <w:rPr>
                <w:rFonts w:ascii="Arial" w:hAnsi="Arial" w:cs="Arial"/>
                <w:lang w:eastAsia="ko-KR"/>
              </w:rPr>
              <w:t>FRx</w:t>
            </w:r>
            <w:proofErr w:type="spellEnd"/>
            <w:r w:rsidRPr="00C14693">
              <w:rPr>
                <w:rFonts w:ascii="Arial" w:hAnsi="Arial" w:cs="Arial"/>
                <w:lang w:eastAsia="ko-KR"/>
              </w:rPr>
              <w:t xml:space="preserve"> differentiation can be differentiated for SUL/SDL bands by "per-band” capability </w:t>
            </w:r>
            <w:proofErr w:type="spellStart"/>
            <w:r w:rsidRPr="00C14693">
              <w:rPr>
                <w:rFonts w:ascii="Arial" w:hAnsi="Arial" w:cs="Arial"/>
                <w:lang w:eastAsia="ko-KR"/>
              </w:rPr>
              <w:t>signaling</w:t>
            </w:r>
            <w:proofErr w:type="spellEnd"/>
            <w:r w:rsidRPr="00C14693">
              <w:rPr>
                <w:rFonts w:ascii="Arial" w:hAnsi="Arial" w:cs="Arial"/>
                <w:lang w:eastAsia="ko-KR"/>
              </w:rPr>
              <w:t xml:space="preserve">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 xml:space="preserve">associate the SDL carriers to </w:t>
      </w:r>
      <w:proofErr w:type="spellStart"/>
      <w:r w:rsidRPr="00A5220F">
        <w:rPr>
          <w:lang w:eastAsia="ko-KR"/>
        </w:rPr>
        <w:t>xDD</w:t>
      </w:r>
      <w:proofErr w:type="spellEnd"/>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/R2-2100440 proposes the approach 1) above but other CRs are not touching this issues.</w:t>
      </w:r>
    </w:p>
    <w:p w14:paraId="7104448E" w14:textId="3D5EFA83" w:rsidR="00295EAC" w:rsidRPr="00555F20" w:rsidRDefault="00A5220F" w:rsidP="00295EAC">
      <w:pPr>
        <w:rPr>
          <w:b/>
        </w:rPr>
      </w:pPr>
      <w:r w:rsidRPr="00555F20">
        <w:rPr>
          <w:b/>
        </w:rPr>
        <w:t xml:space="preserve">Q1: How to associate the SDL carriers to </w:t>
      </w:r>
      <w:proofErr w:type="spellStart"/>
      <w:r w:rsidRPr="00555F20">
        <w:rPr>
          <w:b/>
        </w:rPr>
        <w:t>xDD</w:t>
      </w:r>
      <w:proofErr w:type="spellEnd"/>
      <w:r w:rsidRPr="00555F20">
        <w:rPr>
          <w:b/>
        </w:rPr>
        <w:t>?</w:t>
      </w:r>
    </w:p>
    <w:tbl>
      <w:tblPr>
        <w:tblStyle w:val="TableGrid"/>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CC36C5" w14:paraId="595F83A5" w14:textId="4F15232D" w:rsidTr="00392BF8">
        <w:tc>
          <w:tcPr>
            <w:tcW w:w="1838" w:type="dxa"/>
          </w:tcPr>
          <w:p w14:paraId="1D73EF59" w14:textId="74478982" w:rsidR="00CC36C5" w:rsidRDefault="00CC36C5" w:rsidP="00CC36C5">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796" w:type="dxa"/>
          </w:tcPr>
          <w:p w14:paraId="78F35B3F" w14:textId="3A912C8E" w:rsidR="00CC36C5" w:rsidRPr="00C654E1" w:rsidRDefault="00CC36C5" w:rsidP="00CC36C5">
            <w:pPr>
              <w:rPr>
                <w:b/>
                <w:bCs/>
              </w:rPr>
            </w:pPr>
            <w:r w:rsidRPr="00AE3AD4">
              <w:rPr>
                <w:rFonts w:eastAsia="SimSun"/>
                <w:bCs/>
                <w:lang w:eastAsia="zh-CN"/>
              </w:rPr>
              <w:t>We</w:t>
            </w:r>
            <w:r>
              <w:rPr>
                <w:rFonts w:eastAsia="SimSun"/>
                <w:bCs/>
                <w:lang w:eastAsia="zh-CN"/>
              </w:rPr>
              <w:t xml:space="preserve"> need to wait for RAN1’s agreement. Technically we</w:t>
            </w:r>
            <w:r w:rsidRPr="00AE3AD4">
              <w:rPr>
                <w:rFonts w:eastAsia="SimSun"/>
                <w:bCs/>
                <w:lang w:eastAsia="zh-CN"/>
              </w:rPr>
              <w:t xml:space="preserve"> prefer 2)</w:t>
            </w:r>
            <w:r>
              <w:rPr>
                <w:rFonts w:eastAsia="SimSun"/>
                <w:bCs/>
                <w:lang w:eastAsia="zh-CN"/>
              </w:rPr>
              <w:t>. Perhaps it would also be good that in RAN1 discussion it can be confirmed whether the agreement would apply to both Rel-15 and Rel-16 per UE capabilities for SDL, as the current RAN1 discussion seems focusing on Rel-16 only.</w:t>
            </w:r>
          </w:p>
        </w:tc>
      </w:tr>
      <w:tr w:rsidR="007A24CA" w14:paraId="75FBD07A" w14:textId="2B00814A" w:rsidTr="00392BF8">
        <w:tc>
          <w:tcPr>
            <w:tcW w:w="1838" w:type="dxa"/>
          </w:tcPr>
          <w:p w14:paraId="404A430F" w14:textId="36B51F49" w:rsidR="007A24CA" w:rsidRDefault="007A24CA" w:rsidP="007A24CA">
            <w:r>
              <w:rPr>
                <w:rFonts w:eastAsia="SimSun" w:hint="eastAsia"/>
                <w:lang w:eastAsia="zh-CN"/>
              </w:rPr>
              <w:t>O</w:t>
            </w:r>
            <w:r>
              <w:rPr>
                <w:rFonts w:eastAsia="SimSun"/>
                <w:lang w:eastAsia="zh-CN"/>
              </w:rPr>
              <w:t>PPO (Qianxi)</w:t>
            </w:r>
          </w:p>
        </w:tc>
        <w:tc>
          <w:tcPr>
            <w:tcW w:w="7796" w:type="dxa"/>
          </w:tcPr>
          <w:p w14:paraId="4D6CC208" w14:textId="5D7E0BEF" w:rsidR="007A24CA" w:rsidRPr="00736801" w:rsidRDefault="007A24CA" w:rsidP="007A24CA">
            <w:pPr>
              <w:rPr>
                <w:b/>
                <w:bCs/>
              </w:rPr>
            </w:pPr>
            <w:r w:rsidRPr="00045B5C">
              <w:rPr>
                <w:rFonts w:eastAsia="SimSun"/>
                <w:bCs/>
                <w:lang w:eastAsia="zh-CN"/>
              </w:rPr>
              <w:t>Better to wait for RAN1 to conclude first</w:t>
            </w:r>
            <w:r>
              <w:rPr>
                <w:rFonts w:eastAsia="SimSun"/>
                <w:bCs/>
                <w:lang w:eastAsia="zh-CN"/>
              </w:rPr>
              <w:t>.</w:t>
            </w:r>
          </w:p>
        </w:tc>
      </w:tr>
      <w:tr w:rsidR="00FB6800" w14:paraId="18086D64" w14:textId="77777777" w:rsidTr="00392BF8">
        <w:tc>
          <w:tcPr>
            <w:tcW w:w="1838" w:type="dxa"/>
          </w:tcPr>
          <w:p w14:paraId="19118477" w14:textId="77263904" w:rsidR="00FB6800" w:rsidRDefault="00FB6800" w:rsidP="00FB6800">
            <w:pPr>
              <w:rPr>
                <w:rFonts w:eastAsia="SimSun" w:hint="eastAsia"/>
                <w:lang w:eastAsia="zh-CN"/>
              </w:rPr>
            </w:pPr>
            <w:r>
              <w:lastRenderedPageBreak/>
              <w:t>Ericsson</w:t>
            </w:r>
          </w:p>
        </w:tc>
        <w:tc>
          <w:tcPr>
            <w:tcW w:w="7796" w:type="dxa"/>
          </w:tcPr>
          <w:p w14:paraId="501385FF" w14:textId="6601FF64" w:rsidR="00FB6800" w:rsidRPr="00045B5C" w:rsidRDefault="00FB6800" w:rsidP="00FB6800">
            <w:pPr>
              <w:rPr>
                <w:rFonts w:eastAsia="SimSun"/>
                <w:bCs/>
                <w:lang w:eastAsia="zh-CN"/>
              </w:rPr>
            </w:pPr>
            <w:r>
              <w:t>W</w:t>
            </w:r>
            <w:r>
              <w:t xml:space="preserve">e are </w:t>
            </w:r>
            <w:r>
              <w:t>f</w:t>
            </w:r>
            <w:r>
              <w:t>ine to wait for RAN1.</w:t>
            </w: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ListParagraph"/>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ListParagraph"/>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ListParagraph"/>
        <w:numPr>
          <w:ilvl w:val="0"/>
          <w:numId w:val="28"/>
        </w:numPr>
        <w:rPr>
          <w:bCs/>
        </w:rPr>
      </w:pPr>
      <w:r>
        <w:rPr>
          <w:bCs/>
        </w:rPr>
        <w:t xml:space="preserve">Ericsson: </w:t>
      </w:r>
      <w:r w:rsidRPr="00555F20">
        <w:rPr>
          <w:bCs/>
        </w:rPr>
        <w:t>R2-2101432</w:t>
      </w:r>
    </w:p>
    <w:p w14:paraId="4028B52B" w14:textId="0B433AB8" w:rsidR="00392BF8" w:rsidRDefault="00392BF8" w:rsidP="00392BF8">
      <w:pPr>
        <w:pStyle w:val="ListParagraph"/>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ListParagraph"/>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lang w:eastAsia="ja-JP"/>
              </w:rPr>
            </w:pPr>
            <w:r w:rsidRPr="003616F4">
              <w:rPr>
                <w:rFonts w:eastAsiaTheme="minorEastAsia" w:hint="eastAsia"/>
                <w:lang w:eastAsia="ja-JP"/>
              </w:rPr>
              <w:t>N</w:t>
            </w:r>
            <w:r w:rsidRPr="003616F4">
              <w:rPr>
                <w:rFonts w:eastAsiaTheme="minorEastAsia"/>
                <w:lang w:eastAsia="ja-JP"/>
              </w:rPr>
              <w:t>o strong view.</w:t>
            </w:r>
          </w:p>
        </w:tc>
      </w:tr>
      <w:tr w:rsidR="00CC36C5" w14:paraId="4DE17A63" w14:textId="77777777" w:rsidTr="00960F06">
        <w:tc>
          <w:tcPr>
            <w:tcW w:w="1838" w:type="dxa"/>
          </w:tcPr>
          <w:p w14:paraId="22CB153A" w14:textId="01BA8CC8" w:rsidR="00CC36C5" w:rsidRDefault="00CC36C5" w:rsidP="00CC36C5">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Pr>
          <w:p w14:paraId="63FA234A" w14:textId="6CB783A2" w:rsidR="00CC36C5" w:rsidRPr="00C654E1" w:rsidRDefault="00CC36C5" w:rsidP="00CC36C5">
            <w:pPr>
              <w:rPr>
                <w:b/>
                <w:bCs/>
              </w:rPr>
            </w:pPr>
            <w:r w:rsidRPr="00AE3AD4">
              <w:rPr>
                <w:rFonts w:eastAsia="SimSun" w:hint="eastAsia"/>
                <w:lang w:eastAsia="zh-CN"/>
              </w:rPr>
              <w:t>1</w:t>
            </w:r>
          </w:p>
        </w:tc>
        <w:tc>
          <w:tcPr>
            <w:tcW w:w="6520" w:type="dxa"/>
          </w:tcPr>
          <w:p w14:paraId="0E28CA31" w14:textId="5741D9C9" w:rsidR="00CC36C5" w:rsidRPr="00C654E1" w:rsidRDefault="00CC36C5" w:rsidP="00CC36C5">
            <w:pPr>
              <w:rPr>
                <w:b/>
                <w:bCs/>
              </w:rPr>
            </w:pPr>
            <w:r w:rsidRPr="00AE3AD4">
              <w:rPr>
                <w:rFonts w:eastAsia="SimSun"/>
                <w:bCs/>
                <w:lang w:eastAsia="zh-CN"/>
              </w:rPr>
              <w:t xml:space="preserve">We prefer to </w:t>
            </w:r>
            <w:r>
              <w:rPr>
                <w:rFonts w:eastAsia="SimSun"/>
                <w:bCs/>
                <w:lang w:eastAsia="zh-CN"/>
              </w:rPr>
              <w:t>add normative text instead of note as these are clarifications.</w:t>
            </w:r>
          </w:p>
        </w:tc>
      </w:tr>
      <w:tr w:rsidR="007A24CA" w14:paraId="64A9503C" w14:textId="77777777" w:rsidTr="00960F06">
        <w:tc>
          <w:tcPr>
            <w:tcW w:w="1838" w:type="dxa"/>
          </w:tcPr>
          <w:p w14:paraId="5E2117D5" w14:textId="0A610CA0" w:rsidR="007A24CA" w:rsidRDefault="007A24CA" w:rsidP="007A24CA">
            <w:r>
              <w:rPr>
                <w:rFonts w:eastAsia="SimSun" w:hint="eastAsia"/>
                <w:lang w:eastAsia="zh-CN"/>
              </w:rPr>
              <w:t>O</w:t>
            </w:r>
            <w:r>
              <w:rPr>
                <w:rFonts w:eastAsia="SimSun"/>
                <w:lang w:eastAsia="zh-CN"/>
              </w:rPr>
              <w:t>PPO (Qianxi)</w:t>
            </w:r>
          </w:p>
        </w:tc>
        <w:tc>
          <w:tcPr>
            <w:tcW w:w="1276" w:type="dxa"/>
          </w:tcPr>
          <w:p w14:paraId="369C277D" w14:textId="482DF97E" w:rsidR="007A24CA" w:rsidRPr="007A24CA" w:rsidRDefault="007A24CA" w:rsidP="007A24CA">
            <w:pPr>
              <w:rPr>
                <w:bCs/>
              </w:rPr>
            </w:pPr>
            <w:r w:rsidRPr="007A24CA">
              <w:rPr>
                <w:rFonts w:eastAsia="SimSun" w:hint="eastAsia"/>
                <w:bCs/>
                <w:lang w:eastAsia="zh-CN"/>
              </w:rPr>
              <w:t>2</w:t>
            </w:r>
          </w:p>
        </w:tc>
        <w:tc>
          <w:tcPr>
            <w:tcW w:w="6520" w:type="dxa"/>
          </w:tcPr>
          <w:p w14:paraId="26C9266D" w14:textId="77777777" w:rsidR="007A24CA" w:rsidRPr="00045B5C" w:rsidRDefault="007A24CA" w:rsidP="007A24CA">
            <w:pPr>
              <w:rPr>
                <w:rFonts w:eastAsia="SimSun"/>
                <w:bCs/>
                <w:lang w:eastAsia="zh-CN"/>
              </w:rPr>
            </w:pPr>
            <w:r w:rsidRPr="00045B5C">
              <w:rPr>
                <w:rFonts w:eastAsia="SimSun"/>
                <w:bCs/>
                <w:lang w:eastAsia="zh-CN"/>
              </w:rPr>
              <w:t>A note would be sufficient.</w:t>
            </w:r>
          </w:p>
          <w:p w14:paraId="1FA3A979" w14:textId="0DD3DA4C" w:rsidR="007A24CA" w:rsidRPr="00736801" w:rsidRDefault="007A24CA" w:rsidP="007A24CA">
            <w:pPr>
              <w:rPr>
                <w:b/>
                <w:bCs/>
              </w:rPr>
            </w:pPr>
            <w:r w:rsidRPr="00045B5C">
              <w:rPr>
                <w:rFonts w:eastAsia="SimSun"/>
                <w:bCs/>
                <w:lang w:eastAsia="zh-CN"/>
              </w:rPr>
              <w:t>As replied above, for SDL, we tend to wait for RAN1 conclusion first.</w:t>
            </w:r>
          </w:p>
        </w:tc>
      </w:tr>
      <w:tr w:rsidR="003B1AFF" w14:paraId="2E5AA21A" w14:textId="77777777" w:rsidTr="00960F06">
        <w:tc>
          <w:tcPr>
            <w:tcW w:w="1838" w:type="dxa"/>
          </w:tcPr>
          <w:p w14:paraId="011C8B54" w14:textId="22C6827C" w:rsidR="003B1AFF" w:rsidRDefault="003B1AFF" w:rsidP="003B1AFF">
            <w:pPr>
              <w:rPr>
                <w:rFonts w:eastAsia="SimSun" w:hint="eastAsia"/>
                <w:lang w:eastAsia="zh-CN"/>
              </w:rPr>
            </w:pPr>
            <w:r>
              <w:t>Ericsson</w:t>
            </w:r>
          </w:p>
        </w:tc>
        <w:tc>
          <w:tcPr>
            <w:tcW w:w="1276" w:type="dxa"/>
          </w:tcPr>
          <w:p w14:paraId="3F19D25C" w14:textId="3488A6DD" w:rsidR="003B1AFF" w:rsidRPr="007A24CA" w:rsidRDefault="003B1AFF" w:rsidP="003B1AFF">
            <w:pPr>
              <w:rPr>
                <w:rFonts w:eastAsia="SimSun" w:hint="eastAsia"/>
                <w:bCs/>
                <w:lang w:eastAsia="zh-CN"/>
              </w:rPr>
            </w:pPr>
            <w:r w:rsidRPr="000126D5">
              <w:t>Option 1</w:t>
            </w:r>
          </w:p>
        </w:tc>
        <w:tc>
          <w:tcPr>
            <w:tcW w:w="6520" w:type="dxa"/>
          </w:tcPr>
          <w:p w14:paraId="5CA7D9C7" w14:textId="797641A0" w:rsidR="003B1AFF" w:rsidRPr="00045B5C" w:rsidRDefault="003B1AFF" w:rsidP="003B1AFF">
            <w:pPr>
              <w:rPr>
                <w:rFonts w:eastAsia="SimSun"/>
                <w:bCs/>
                <w:lang w:eastAsia="zh-CN"/>
              </w:rPr>
            </w:pPr>
            <w:r>
              <w:t>We think it is safer to clarify in normative text.</w:t>
            </w:r>
          </w:p>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Heading2"/>
      </w:pPr>
      <w:r>
        <w:t>2</w:t>
      </w:r>
      <w:r w:rsidR="00E96879" w:rsidRPr="006E13D1">
        <w:t>.</w:t>
      </w:r>
      <w:r w:rsidR="00AF5CAD">
        <w:t>2</w:t>
      </w:r>
      <w:r w:rsidR="00E96879" w:rsidRPr="006E13D1">
        <w:tab/>
      </w:r>
      <w:r w:rsidR="004C3E05">
        <w:rPr>
          <w:b/>
        </w:rPr>
        <w:t>Fallback per CC</w:t>
      </w:r>
    </w:p>
    <w:p w14:paraId="63C899FE" w14:textId="47860457" w:rsidR="001522FF" w:rsidRDefault="001522FF" w:rsidP="001522FF">
      <w:r>
        <w:t xml:space="preserve">This section deals with </w:t>
      </w:r>
      <w:r>
        <w:rPr>
          <w:b/>
        </w:rPr>
        <w:t>DISC_S2</w:t>
      </w:r>
      <w:r w:rsidRPr="00D6245C">
        <w:rPr>
          <w:b/>
        </w:rPr>
        <w:t xml:space="preserve">: </w:t>
      </w:r>
      <w:r>
        <w:rPr>
          <w:b/>
        </w:rPr>
        <w:t>Fallback per CC</w:t>
      </w:r>
      <w:r>
        <w:t>.</w:t>
      </w:r>
    </w:p>
    <w:p w14:paraId="6CB77D44" w14:textId="77777777" w:rsidR="001522FF" w:rsidRPr="001522FF" w:rsidRDefault="001522FF" w:rsidP="001522FF">
      <w:r w:rsidRPr="001522FF">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fallback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r w:rsidRPr="001522FF">
        <w:t xml:space="preserve">fallback per CC feature set is a feature set per CC that has lower value than the reported values (i.e. MIMO layers and BW) </w:t>
      </w:r>
      <w:r w:rsidRPr="001522FF">
        <w:rPr>
          <w:u w:val="single"/>
        </w:rPr>
        <w:t>while keeping the numerology(SCS) and modulation order the same</w:t>
      </w:r>
      <w:r w:rsidRPr="001522FF">
        <w:t>.</w:t>
      </w:r>
    </w:p>
    <w:p w14:paraId="12C4D7EE" w14:textId="72962D4E" w:rsidR="007D628D" w:rsidRDefault="007D628D" w:rsidP="00240C25">
      <w:r>
        <w:lastRenderedPageBreak/>
        <w:t xml:space="preserve">All above contributions observed that the capabilities that are introduced in Rel-16 </w:t>
      </w:r>
      <w:r w:rsidRPr="007D628D">
        <w:t>could be applicable to the fall</w:t>
      </w:r>
      <w:r>
        <w:t xml:space="preserve">back concept defined in 38.306. CRs suggest to </w:t>
      </w:r>
      <w:r w:rsidRPr="007D628D">
        <w:t>re-word the definition of fallback per CC feature an</w:t>
      </w:r>
      <w:r>
        <w:t>d fallback per band feature set.</w:t>
      </w:r>
    </w:p>
    <w:p w14:paraId="5E7BE110" w14:textId="79CB8C4F" w:rsidR="007D628D" w:rsidRDefault="007D628D" w:rsidP="007D628D">
      <w:pPr>
        <w:pStyle w:val="ListParagraph"/>
        <w:numPr>
          <w:ilvl w:val="0"/>
          <w:numId w:val="28"/>
        </w:numPr>
      </w:pPr>
      <w:r w:rsidRPr="00053AE5">
        <w:rPr>
          <w:b/>
        </w:rPr>
        <w:t>Option 1</w:t>
      </w:r>
      <w:r>
        <w:t xml:space="preserve">: Suggest to </w:t>
      </w:r>
      <w:r w:rsidRPr="007D628D">
        <w:t>re-word the definition of fallback per CC feature an</w:t>
      </w:r>
      <w:r>
        <w:t xml:space="preserve">d fallback per band feature set suggested in </w:t>
      </w:r>
      <w:r w:rsidRPr="007D628D">
        <w:rPr>
          <w:u w:val="single"/>
        </w:rPr>
        <w:t>R2-3101431</w:t>
      </w:r>
      <w:r>
        <w:t>.</w:t>
      </w:r>
    </w:p>
    <w:tbl>
      <w:tblPr>
        <w:tblStyle w:val="TableGrid"/>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r w:rsidRPr="007D628D">
              <w:rPr>
                <w:b/>
                <w:lang w:eastAsia="zh-CN"/>
              </w:rPr>
              <w:t>Fallback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ListParagraph"/>
        <w:ind w:left="1120"/>
      </w:pPr>
    </w:p>
    <w:p w14:paraId="48F4EB07" w14:textId="54B98C02" w:rsidR="007D628D" w:rsidRDefault="007D628D" w:rsidP="007D628D">
      <w:pPr>
        <w:pStyle w:val="ListParagraph"/>
        <w:numPr>
          <w:ilvl w:val="0"/>
          <w:numId w:val="28"/>
        </w:numPr>
      </w:pPr>
      <w:r w:rsidRPr="00053AE5">
        <w:rPr>
          <w:b/>
        </w:rPr>
        <w:t>Option 2</w:t>
      </w:r>
      <w:r>
        <w:t xml:space="preserve">: Suggest to </w:t>
      </w:r>
      <w:r w:rsidRPr="007D628D">
        <w:t>re-word the definition of fallback per CC feature an</w:t>
      </w:r>
      <w:r>
        <w:t xml:space="preserve">d fallback per band feature set suggested in </w:t>
      </w:r>
      <w:r w:rsidRPr="007D628D">
        <w:rPr>
          <w:u w:val="single"/>
        </w:rPr>
        <w:t>R2-3101661</w:t>
      </w:r>
      <w:r>
        <w:t>.</w:t>
      </w:r>
    </w:p>
    <w:p w14:paraId="6D3CFD65" w14:textId="77777777" w:rsidR="007D628D" w:rsidRDefault="007D628D" w:rsidP="007D628D">
      <w:pPr>
        <w:pStyle w:val="ListParagraph"/>
        <w:ind w:left="1120"/>
      </w:pPr>
    </w:p>
    <w:tbl>
      <w:tblPr>
        <w:tblStyle w:val="TableGrid"/>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r w:rsidRPr="00387C93">
              <w:rPr>
                <w:b/>
                <w:lang w:eastAsia="zh-CN"/>
              </w:rPr>
              <w:t>Fallback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r w:rsidRPr="00387C93">
              <w:rPr>
                <w:b/>
                <w:lang w:eastAsia="zh-CN"/>
              </w:rPr>
              <w:t>Fallback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ListParagraph"/>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TableGrid"/>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fallback which has the “same” capability to be included there, in order to avoid the UE indicating the same capability (though unlikely).</w:t>
            </w:r>
          </w:p>
        </w:tc>
      </w:tr>
      <w:tr w:rsidR="00CC36C5" w14:paraId="48CC984C" w14:textId="77777777" w:rsidTr="00AD48D8">
        <w:tc>
          <w:tcPr>
            <w:tcW w:w="1838" w:type="dxa"/>
          </w:tcPr>
          <w:p w14:paraId="056FA999" w14:textId="0E747D22" w:rsidR="00CC36C5" w:rsidRDefault="00CC36C5" w:rsidP="00CC36C5">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Pr>
          <w:p w14:paraId="27CA1352" w14:textId="25F13009" w:rsidR="00CC36C5" w:rsidRPr="00C654E1" w:rsidRDefault="00CC36C5" w:rsidP="00CC36C5">
            <w:pPr>
              <w:rPr>
                <w:b/>
                <w:bCs/>
              </w:rPr>
            </w:pPr>
            <w:r w:rsidRPr="00AE4137">
              <w:rPr>
                <w:bCs/>
              </w:rPr>
              <w:t>Option 2</w:t>
            </w:r>
          </w:p>
        </w:tc>
        <w:tc>
          <w:tcPr>
            <w:tcW w:w="6520" w:type="dxa"/>
          </w:tcPr>
          <w:p w14:paraId="30CC82F7" w14:textId="77777777" w:rsidR="00CC36C5" w:rsidRDefault="00CC36C5" w:rsidP="00CC36C5">
            <w:pPr>
              <w:rPr>
                <w:bCs/>
              </w:rPr>
            </w:pPr>
            <w:r w:rsidRPr="00AE4137">
              <w:rPr>
                <w:bCs/>
              </w:rPr>
              <w:t>Proponent of R2-2101660</w:t>
            </w:r>
            <w:r>
              <w:rPr>
                <w:bCs/>
              </w:rPr>
              <w:t>/</w:t>
            </w:r>
            <w:r w:rsidRPr="00AE4137">
              <w:rPr>
                <w:bCs/>
              </w:rPr>
              <w:t>R2-210166</w:t>
            </w:r>
            <w:r>
              <w:rPr>
                <w:bCs/>
              </w:rPr>
              <w:t>1.</w:t>
            </w:r>
          </w:p>
          <w:p w14:paraId="0E54083C" w14:textId="2CD0D6C4" w:rsidR="00CC36C5" w:rsidRPr="003616F4" w:rsidRDefault="00CC36C5" w:rsidP="00CC36C5">
            <w:pPr>
              <w:rPr>
                <w:b/>
                <w:bCs/>
              </w:rPr>
            </w:pPr>
            <w:r>
              <w:rPr>
                <w:bCs/>
              </w:rPr>
              <w:t xml:space="preserve">Except for the clarification for Rel-15 spec, the IE which is </w:t>
            </w:r>
            <w:r w:rsidRPr="00E87898">
              <w:t>ENUMERATED {supported}</w:t>
            </w:r>
            <w:r>
              <w:t xml:space="preserve"> is introduced in Rel-16, we need to clarify how to understand the fallback for such capability. Besides, we understand the current wording “l</w:t>
            </w:r>
            <w:r w:rsidRPr="00F76137">
              <w:rPr>
                <w:lang w:eastAsia="zh-CN"/>
              </w:rPr>
              <w:t>ower values</w:t>
            </w:r>
            <w:r>
              <w:t xml:space="preserve">” is not always </w:t>
            </w:r>
            <w:r w:rsidRPr="00AE4137">
              <w:t>accurate</w:t>
            </w:r>
            <w:r>
              <w:t>, as “</w:t>
            </w:r>
            <w:r w:rsidRPr="00F76137">
              <w:rPr>
                <w:lang w:eastAsia="zh-CN"/>
              </w:rPr>
              <w:t>lower values</w:t>
            </w:r>
            <w:r>
              <w:rPr>
                <w:lang w:eastAsia="zh-CN"/>
              </w:rPr>
              <w:t xml:space="preserve">” </w:t>
            </w:r>
            <w:proofErr w:type="gramStart"/>
            <w:r>
              <w:rPr>
                <w:lang w:eastAsia="zh-CN"/>
              </w:rPr>
              <w:t>does</w:t>
            </w:r>
            <w:proofErr w:type="gramEnd"/>
            <w:r>
              <w:rPr>
                <w:lang w:eastAsia="zh-CN"/>
              </w:rPr>
              <w:t xml:space="preserve"> not </w:t>
            </w:r>
            <w:r>
              <w:t>always means “</w:t>
            </w:r>
            <w:r w:rsidRPr="00F76137">
              <w:rPr>
                <w:lang w:eastAsia="zh-CN"/>
              </w:rPr>
              <w:t>lower</w:t>
            </w:r>
            <w:r>
              <w:rPr>
                <w:lang w:eastAsia="zh-CN"/>
              </w:rPr>
              <w:t xml:space="preserve"> capability</w:t>
            </w:r>
            <w:r>
              <w:t>”. Thus, the re-wording on “</w:t>
            </w:r>
            <w:r w:rsidRPr="00F76137">
              <w:rPr>
                <w:lang w:eastAsia="zh-CN"/>
              </w:rPr>
              <w:t>lower values</w:t>
            </w:r>
            <w:r>
              <w:rPr>
                <w:lang w:eastAsia="zh-CN"/>
              </w:rPr>
              <w:t>” is needed to avoid considering a better capability as the fallback capability.</w:t>
            </w:r>
          </w:p>
        </w:tc>
      </w:tr>
      <w:tr w:rsidR="007A24CA" w14:paraId="669DAB0C" w14:textId="77777777" w:rsidTr="00AD48D8">
        <w:tc>
          <w:tcPr>
            <w:tcW w:w="1838" w:type="dxa"/>
          </w:tcPr>
          <w:p w14:paraId="6BFB85C8" w14:textId="7202AA25" w:rsidR="007A24CA" w:rsidRDefault="007A24CA" w:rsidP="007A24CA">
            <w:r>
              <w:rPr>
                <w:rFonts w:eastAsia="SimSun" w:hint="eastAsia"/>
                <w:lang w:eastAsia="zh-CN"/>
              </w:rPr>
              <w:t>O</w:t>
            </w:r>
            <w:r>
              <w:rPr>
                <w:rFonts w:eastAsia="SimSun"/>
                <w:lang w:eastAsia="zh-CN"/>
              </w:rPr>
              <w:t>PPO (Zhongda)</w:t>
            </w:r>
          </w:p>
        </w:tc>
        <w:tc>
          <w:tcPr>
            <w:tcW w:w="1276" w:type="dxa"/>
          </w:tcPr>
          <w:p w14:paraId="2B483242" w14:textId="7D789B38" w:rsidR="007A24CA" w:rsidRPr="00736801" w:rsidRDefault="007A24CA" w:rsidP="007A24CA">
            <w:pPr>
              <w:rPr>
                <w:b/>
                <w:bCs/>
              </w:rPr>
            </w:pPr>
            <w:r w:rsidRPr="00045B5C">
              <w:rPr>
                <w:rFonts w:eastAsia="SimSun"/>
                <w:bCs/>
                <w:lang w:eastAsia="zh-CN"/>
              </w:rPr>
              <w:t>See comment</w:t>
            </w:r>
          </w:p>
        </w:tc>
        <w:tc>
          <w:tcPr>
            <w:tcW w:w="6520" w:type="dxa"/>
          </w:tcPr>
          <w:p w14:paraId="16E7AF0E" w14:textId="77777777" w:rsidR="007A24CA" w:rsidRDefault="007A24CA" w:rsidP="007A24CA">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E2A71AA" w14:textId="77777777" w:rsidR="007A24CA" w:rsidRDefault="007A24CA" w:rsidP="007A24CA">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sidDel="00C01697">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sidDel="00C01697">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D574B64" w14:textId="77777777" w:rsidR="007A24CA" w:rsidRDefault="007A24CA" w:rsidP="007A24CA">
            <w:pPr>
              <w:widowControl w:val="0"/>
              <w:autoSpaceDE w:val="0"/>
              <w:autoSpaceDN w:val="0"/>
              <w:adjustRightInd w:val="0"/>
              <w:spacing w:after="0"/>
              <w:rPr>
                <w:lang w:val="en-US" w:eastAsia="en-GB"/>
              </w:rPr>
            </w:pPr>
            <w:r>
              <w:rPr>
                <w:lang w:val="en-US" w:eastAsia="en-GB"/>
              </w:rPr>
              <w:t>reported feature set per band for a given band.</w:t>
            </w:r>
          </w:p>
          <w:p w14:paraId="18F423DB" w14:textId="77777777" w:rsidR="007A24CA" w:rsidRDefault="007A24CA" w:rsidP="007A24CA">
            <w:pPr>
              <w:widowControl w:val="0"/>
              <w:autoSpaceDE w:val="0"/>
              <w:autoSpaceDN w:val="0"/>
              <w:adjustRightInd w:val="0"/>
              <w:spacing w:after="0"/>
              <w:rPr>
                <w:lang w:val="en-US" w:eastAsia="en-GB"/>
              </w:rPr>
            </w:pPr>
          </w:p>
          <w:p w14:paraId="69104B05" w14:textId="77777777" w:rsidR="007A24CA" w:rsidDel="00C01697" w:rsidRDefault="007A24CA" w:rsidP="007A24CA">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sidDel="00C01697">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sidDel="00C01697">
                <w:rPr>
                  <w:lang w:val="en-US" w:eastAsia="en-GB"/>
                </w:rPr>
                <w:delText>of UE supported MIMO layers and BW while</w:delText>
              </w:r>
            </w:del>
          </w:p>
          <w:p w14:paraId="311ADD14" w14:textId="77777777" w:rsidR="007A24CA" w:rsidRDefault="007A24CA" w:rsidP="007A24CA">
            <w:pPr>
              <w:widowControl w:val="0"/>
              <w:autoSpaceDE w:val="0"/>
              <w:autoSpaceDN w:val="0"/>
              <w:adjustRightInd w:val="0"/>
              <w:spacing w:after="0"/>
              <w:rPr>
                <w:lang w:val="en-US" w:eastAsia="en-GB"/>
              </w:rPr>
            </w:pPr>
            <w:del w:id="27" w:author="OPPO(Zhongda)" w:date="2021-01-26T15:26:00Z">
              <w:r w:rsidDel="00C01697">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0BBCD756" w14:textId="6EA00F12" w:rsidR="007A24CA" w:rsidRPr="00736801" w:rsidRDefault="007A24CA" w:rsidP="007A24CA">
            <w:pPr>
              <w:rPr>
                <w:b/>
                <w:bCs/>
              </w:rPr>
            </w:pPr>
            <w:r>
              <w:rPr>
                <w:lang w:val="en-US" w:eastAsia="en-GB"/>
              </w:rPr>
              <w:t>band.</w:t>
            </w:r>
          </w:p>
        </w:tc>
      </w:tr>
      <w:tr w:rsidR="003B1AFF" w14:paraId="7967E373" w14:textId="77777777" w:rsidTr="00AD48D8">
        <w:tc>
          <w:tcPr>
            <w:tcW w:w="1838" w:type="dxa"/>
          </w:tcPr>
          <w:p w14:paraId="02F4C878" w14:textId="3643C1F9" w:rsidR="003B1AFF" w:rsidRDefault="003B1AFF" w:rsidP="003B1AFF">
            <w:pPr>
              <w:rPr>
                <w:rFonts w:eastAsia="SimSun" w:hint="eastAsia"/>
                <w:lang w:eastAsia="zh-CN"/>
              </w:rPr>
            </w:pPr>
            <w:r>
              <w:t>Ericsson</w:t>
            </w:r>
          </w:p>
        </w:tc>
        <w:tc>
          <w:tcPr>
            <w:tcW w:w="1276" w:type="dxa"/>
          </w:tcPr>
          <w:p w14:paraId="03BB52A7" w14:textId="607539CF" w:rsidR="003B1AFF" w:rsidRPr="00045B5C" w:rsidRDefault="003B1AFF" w:rsidP="003B1AFF">
            <w:pPr>
              <w:rPr>
                <w:rFonts w:eastAsia="SimSun"/>
                <w:bCs/>
                <w:lang w:eastAsia="zh-CN"/>
              </w:rPr>
            </w:pPr>
            <w:r w:rsidRPr="000126D5">
              <w:t>Optio</w:t>
            </w:r>
            <w:r>
              <w:t>n 1 and Option 2</w:t>
            </w:r>
          </w:p>
        </w:tc>
        <w:tc>
          <w:tcPr>
            <w:tcW w:w="6520" w:type="dxa"/>
          </w:tcPr>
          <w:p w14:paraId="0C379790" w14:textId="77777777" w:rsidR="003B1AFF" w:rsidRDefault="003B1AFF" w:rsidP="003B1AFF">
            <w:r w:rsidRPr="000126D5">
              <w:t xml:space="preserve">Our </w:t>
            </w:r>
            <w:r>
              <w:t xml:space="preserve">understanding is that the changes touch upon different aspects. </w:t>
            </w:r>
          </w:p>
          <w:p w14:paraId="4BBE2F3A" w14:textId="77777777" w:rsidR="003B1AFF" w:rsidRDefault="003B1AFF" w:rsidP="003B1AFF">
            <w:r>
              <w:t>Option 1 intends to clarify to which capabilities the fallback behaviour concept for feature set per CC applies – in our view, all the capabilities are applicable to such behaviour except the SCS.</w:t>
            </w:r>
          </w:p>
          <w:p w14:paraId="5A269B96" w14:textId="77777777" w:rsidR="003B1AFF" w:rsidRDefault="003B1AFF" w:rsidP="003B1AFF"/>
          <w:p w14:paraId="445E86D8" w14:textId="162BA954" w:rsidR="003B1AFF" w:rsidRDefault="003B1AFF" w:rsidP="003B1AFF">
            <w:pPr>
              <w:rPr>
                <w:rFonts w:eastAsia="SimSun"/>
                <w:bCs/>
                <w:lang w:eastAsia="zh-CN"/>
              </w:rPr>
            </w:pPr>
            <w:r>
              <w:lastRenderedPageBreak/>
              <w:t>Option 2 intends to clarify that lower values in UE capability fields not always mean reduced UE capabilities. Hence, we think also this clarification is needed. But it is safer to not remove the “same or” part.</w:t>
            </w: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Heading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proofErr w:type="spellStart"/>
      <w:r w:rsidRPr="003D6730">
        <w:rPr>
          <w:i/>
        </w:rPr>
        <w:t>supportedNumberTAG</w:t>
      </w:r>
      <w:proofErr w:type="spellEnd"/>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zh-CN"/>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proofErr w:type="spellStart"/>
      <w:r w:rsidRPr="00516118">
        <w:rPr>
          <w:i/>
        </w:rPr>
        <w:t>supportedNumberTAG</w:t>
      </w:r>
      <w:proofErr w:type="spellEnd"/>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number;</w:t>
      </w:r>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the TAG number = band entry number, UE supports the different TAGs configured in both intra-band non-contiguous CA and inter-band CA;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e.g.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w:t>
      </w:r>
      <w:proofErr w:type="spellStart"/>
      <w:r w:rsidRPr="00516118">
        <w:t>signaling</w:t>
      </w:r>
      <w:proofErr w:type="spellEnd"/>
      <w:r w:rsidRPr="00516118">
        <w:t xml:space="preserve"> designed for Async DC capability can be considered to be used to indicate the association between band entry and TAG. </w:t>
      </w:r>
    </w:p>
    <w:p w14:paraId="3D875B0F" w14:textId="12A6DAF6" w:rsidR="00516118" w:rsidRDefault="00516118" w:rsidP="00516118">
      <w:r>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typical deployments can still be address with this solution. Option 2 is more flexible, but introduces complexity and overhead.</w:t>
            </w:r>
          </w:p>
        </w:tc>
      </w:tr>
      <w:tr w:rsidR="00CC36C5" w14:paraId="3706F950" w14:textId="77777777" w:rsidTr="00E8269E">
        <w:tc>
          <w:tcPr>
            <w:tcW w:w="1838" w:type="dxa"/>
          </w:tcPr>
          <w:p w14:paraId="04AF7875" w14:textId="0BFC5C2E" w:rsidR="00CC36C5" w:rsidRDefault="00CC36C5" w:rsidP="00CC36C5">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Pr>
          <w:p w14:paraId="5AACD9E6" w14:textId="6B68F8A5" w:rsidR="00CC36C5" w:rsidRPr="00C654E1" w:rsidRDefault="00CC36C5" w:rsidP="00CC36C5">
            <w:pPr>
              <w:rPr>
                <w:b/>
                <w:bCs/>
              </w:rPr>
            </w:pPr>
            <w:r w:rsidRPr="008277B5">
              <w:rPr>
                <w:rFonts w:eastAsia="SimSun"/>
                <w:bCs/>
                <w:lang w:eastAsia="zh-CN"/>
              </w:rPr>
              <w:t xml:space="preserve">None </w:t>
            </w:r>
          </w:p>
        </w:tc>
        <w:tc>
          <w:tcPr>
            <w:tcW w:w="6520" w:type="dxa"/>
          </w:tcPr>
          <w:p w14:paraId="32A8B452" w14:textId="77777777" w:rsidR="00CC36C5" w:rsidRDefault="00CC36C5" w:rsidP="00CC36C5">
            <w:pPr>
              <w:rPr>
                <w:rFonts w:eastAsiaTheme="minorEastAsia"/>
                <w:lang w:eastAsia="ja-JP"/>
              </w:rPr>
            </w:pPr>
            <w:r w:rsidRPr="00CC36C5">
              <w:rPr>
                <w:rFonts w:eastAsiaTheme="minorEastAsia" w:hint="eastAsia"/>
                <w:lang w:eastAsia="ja-JP"/>
              </w:rPr>
              <w:t xml:space="preserve">We agree there may exist the case that </w:t>
            </w:r>
            <w:proofErr w:type="spellStart"/>
            <w:r w:rsidRPr="00CC36C5">
              <w:rPr>
                <w:rFonts w:eastAsiaTheme="minorEastAsia" w:hint="eastAsia"/>
                <w:lang w:eastAsia="ja-JP"/>
              </w:rPr>
              <w:t>supportedNumberTAG</w:t>
            </w:r>
            <w:proofErr w:type="spellEnd"/>
            <w:r w:rsidRPr="00CC36C5">
              <w:rPr>
                <w:rFonts w:eastAsiaTheme="minorEastAsia" w:hint="eastAsia"/>
                <w:lang w:eastAsia="ja-JP"/>
              </w:rPr>
              <w:t xml:space="preserve"> &lt; band entries in the BC. In this case, it means different TAGs are on different band entries (some band entries may belong to the same TAG) according to the current spec. Option 1 is NBC change from NW perspective and Option 2 is too complicated. </w:t>
            </w:r>
          </w:p>
          <w:p w14:paraId="34302BA4" w14:textId="17217F9B" w:rsidR="00CC36C5" w:rsidRPr="00C654E1" w:rsidRDefault="00CC36C5" w:rsidP="00CC36C5">
            <w:pPr>
              <w:rPr>
                <w:b/>
                <w:bCs/>
              </w:rPr>
            </w:pPr>
            <w:r w:rsidRPr="00CC36C5">
              <w:rPr>
                <w:rFonts w:eastAsiaTheme="minorEastAsia" w:hint="eastAsia"/>
                <w:lang w:eastAsia="ja-JP"/>
              </w:rPr>
              <w:lastRenderedPageBreak/>
              <w:t>We don</w:t>
            </w:r>
            <w:r>
              <w:rPr>
                <w:rFonts w:eastAsiaTheme="minorEastAsia"/>
                <w:lang w:eastAsia="ja-JP"/>
              </w:rPr>
              <w:t>’t</w:t>
            </w:r>
            <w:r w:rsidRPr="00CC36C5">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7A24CA" w14:paraId="13BDF7F6" w14:textId="77777777" w:rsidTr="00E8269E">
        <w:tc>
          <w:tcPr>
            <w:tcW w:w="1838" w:type="dxa"/>
          </w:tcPr>
          <w:p w14:paraId="21973786" w14:textId="19ECDCE0" w:rsidR="007A24CA" w:rsidRDefault="007A24CA" w:rsidP="007A24CA">
            <w:r>
              <w:rPr>
                <w:rFonts w:eastAsia="SimSun" w:hint="eastAsia"/>
                <w:lang w:eastAsia="zh-CN"/>
              </w:rPr>
              <w:lastRenderedPageBreak/>
              <w:t>O</w:t>
            </w:r>
            <w:r>
              <w:rPr>
                <w:rFonts w:eastAsia="SimSun"/>
                <w:lang w:eastAsia="zh-CN"/>
              </w:rPr>
              <w:t>PPO (Qianxi)</w:t>
            </w:r>
          </w:p>
        </w:tc>
        <w:tc>
          <w:tcPr>
            <w:tcW w:w="1276" w:type="dxa"/>
          </w:tcPr>
          <w:p w14:paraId="4139D1C4" w14:textId="77777777" w:rsidR="007A24CA" w:rsidRPr="00736801" w:rsidRDefault="007A24CA" w:rsidP="007A24CA">
            <w:pPr>
              <w:rPr>
                <w:b/>
                <w:bCs/>
              </w:rPr>
            </w:pPr>
          </w:p>
        </w:tc>
        <w:tc>
          <w:tcPr>
            <w:tcW w:w="6520" w:type="dxa"/>
          </w:tcPr>
          <w:p w14:paraId="2EE22EC1" w14:textId="3CE95A61" w:rsidR="007A24CA" w:rsidRPr="00045B5C" w:rsidRDefault="007A24CA" w:rsidP="007A24CA">
            <w:pPr>
              <w:rPr>
                <w:rFonts w:eastAsia="SimSun"/>
                <w:bCs/>
                <w:lang w:eastAsia="zh-CN"/>
              </w:rPr>
            </w:pPr>
            <w:r w:rsidRPr="00045B5C">
              <w:rPr>
                <w:rFonts w:eastAsia="SimSun"/>
                <w:bCs/>
                <w:lang w:eastAsia="zh-CN"/>
              </w:rPr>
              <w:t>We tend to see option-1 as the preferred start</w:t>
            </w:r>
            <w:r>
              <w:rPr>
                <w:rFonts w:eastAsia="SimSun"/>
                <w:bCs/>
                <w:lang w:eastAsia="zh-CN"/>
              </w:rPr>
              <w:t>ing</w:t>
            </w:r>
            <w:r w:rsidRPr="00045B5C">
              <w:rPr>
                <w:rFonts w:eastAsia="SimSun"/>
                <w:bCs/>
                <w:lang w:eastAsia="zh-CN"/>
              </w:rPr>
              <w:t xml:space="preserve"> point.</w:t>
            </w:r>
          </w:p>
          <w:p w14:paraId="3628707D" w14:textId="77777777" w:rsidR="007A24CA" w:rsidRPr="00045B5C" w:rsidRDefault="007A24CA" w:rsidP="007A24CA">
            <w:pPr>
              <w:rPr>
                <w:rFonts w:eastAsia="SimSun"/>
                <w:bCs/>
                <w:lang w:eastAsia="zh-CN"/>
              </w:rPr>
            </w:pPr>
            <w:r w:rsidRPr="00045B5C">
              <w:rPr>
                <w:rFonts w:eastAsia="SimSun"/>
                <w:bCs/>
                <w:lang w:eastAsia="zh-CN"/>
              </w:rPr>
              <w:t xml:space="preserve">On the other hand, option-1 may not be exhaustive so worth further clarification: e.g., </w:t>
            </w:r>
          </w:p>
          <w:p w14:paraId="48704519" w14:textId="77777777" w:rsidR="007A24CA" w:rsidRPr="00045B5C" w:rsidRDefault="007A24CA" w:rsidP="007A24CA">
            <w:pPr>
              <w:pStyle w:val="ListParagraph"/>
              <w:numPr>
                <w:ilvl w:val="0"/>
                <w:numId w:val="31"/>
              </w:numPr>
              <w:ind w:left="452" w:hanging="425"/>
              <w:rPr>
                <w:rFonts w:eastAsia="SimSun"/>
                <w:bCs/>
                <w:lang w:eastAsia="zh-CN"/>
              </w:rPr>
            </w:pPr>
            <w:r w:rsidRPr="00045B5C">
              <w:rPr>
                <w:rFonts w:eastAsia="SimSun"/>
                <w:bCs/>
                <w:lang w:eastAsia="zh-CN"/>
              </w:rPr>
              <w:t xml:space="preserve">When the indicated TAG no. &lt; the no. of band (for inter-band case only), whether the association between TAG and band can be arbitrary. </w:t>
            </w:r>
          </w:p>
          <w:p w14:paraId="62312DFC" w14:textId="2A97E936" w:rsidR="007A24CA" w:rsidRPr="007A24CA" w:rsidRDefault="007A24CA" w:rsidP="007A24CA">
            <w:pPr>
              <w:pStyle w:val="ListParagraph"/>
              <w:numPr>
                <w:ilvl w:val="0"/>
                <w:numId w:val="31"/>
              </w:numPr>
              <w:ind w:left="452" w:hanging="425"/>
              <w:rPr>
                <w:b/>
                <w:bCs/>
              </w:rPr>
            </w:pPr>
            <w:r w:rsidRPr="007A24CA">
              <w:rPr>
                <w:rFonts w:eastAsia="SimSun"/>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rsidR="003B1AFF" w14:paraId="4D98421E" w14:textId="77777777" w:rsidTr="00E8269E">
        <w:tc>
          <w:tcPr>
            <w:tcW w:w="1838" w:type="dxa"/>
          </w:tcPr>
          <w:p w14:paraId="680F279C" w14:textId="3F251CC0" w:rsidR="003B1AFF" w:rsidRDefault="003B1AFF" w:rsidP="003B1AFF">
            <w:pPr>
              <w:jc w:val="center"/>
              <w:rPr>
                <w:rFonts w:eastAsia="SimSun" w:hint="eastAsia"/>
                <w:lang w:eastAsia="zh-CN"/>
              </w:rPr>
            </w:pPr>
            <w:bookmarkStart w:id="29" w:name="_GoBack" w:colFirst="0" w:colLast="0"/>
            <w:r>
              <w:t>Ericsson</w:t>
            </w:r>
          </w:p>
        </w:tc>
        <w:tc>
          <w:tcPr>
            <w:tcW w:w="1276" w:type="dxa"/>
          </w:tcPr>
          <w:p w14:paraId="286F7F4A" w14:textId="0DCCB68A" w:rsidR="003B1AFF" w:rsidRPr="00736801" w:rsidRDefault="003B1AFF" w:rsidP="003B1AFF">
            <w:pPr>
              <w:rPr>
                <w:b/>
                <w:bCs/>
              </w:rPr>
            </w:pPr>
            <w:r>
              <w:t>None</w:t>
            </w:r>
          </w:p>
        </w:tc>
        <w:tc>
          <w:tcPr>
            <w:tcW w:w="6520" w:type="dxa"/>
          </w:tcPr>
          <w:p w14:paraId="5872F7C6" w14:textId="018375DF" w:rsidR="003B1AFF" w:rsidRPr="00045B5C" w:rsidRDefault="003B1AFF" w:rsidP="003B1AFF">
            <w:pPr>
              <w:rPr>
                <w:rFonts w:eastAsia="SimSun"/>
                <w:bCs/>
                <w:lang w:eastAsia="zh-CN"/>
              </w:rPr>
            </w:pPr>
            <w:r>
              <w:t>Option 1 is NBC, a</w:t>
            </w:r>
            <w:r w:rsidRPr="00E13E4E">
              <w:t xml:space="preserve"> UE setting </w:t>
            </w:r>
            <w:proofErr w:type="spellStart"/>
            <w:r w:rsidRPr="00E13E4E">
              <w:rPr>
                <w:i/>
                <w:iCs/>
              </w:rPr>
              <w:t>supportedNumberTAG</w:t>
            </w:r>
            <w:proofErr w:type="spellEnd"/>
            <w:r w:rsidRPr="00E13E4E">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t xml:space="preserve"> Hence, option 2, besides being complex, it is also not needed.</w:t>
            </w:r>
          </w:p>
        </w:tc>
      </w:tr>
      <w:bookmarkEnd w:id="29"/>
    </w:tbl>
    <w:p w14:paraId="79DE62EB" w14:textId="77777777" w:rsidR="00516118" w:rsidRPr="00CC36C5" w:rsidRDefault="00516118" w:rsidP="00516118">
      <w:pPr>
        <w:rPr>
          <w:b/>
          <w:bCs/>
        </w:rPr>
      </w:pPr>
    </w:p>
    <w:p w14:paraId="4888FBA9" w14:textId="21CD303F" w:rsidR="003D6730" w:rsidRDefault="003D6730" w:rsidP="003D6730">
      <w:pPr>
        <w:rPr>
          <w:b/>
          <w:bCs/>
        </w:rPr>
      </w:pPr>
      <w:r w:rsidRPr="00472F7C">
        <w:rPr>
          <w:b/>
          <w:bCs/>
        </w:rPr>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Heading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D4AC" w14:textId="77777777" w:rsidR="002047F9" w:rsidRDefault="002047F9">
      <w:r>
        <w:separator/>
      </w:r>
    </w:p>
  </w:endnote>
  <w:endnote w:type="continuationSeparator" w:id="0">
    <w:p w14:paraId="0465F807" w14:textId="77777777" w:rsidR="002047F9" w:rsidRDefault="002047F9">
      <w:r>
        <w:continuationSeparator/>
      </w:r>
    </w:p>
  </w:endnote>
  <w:endnote w:type="continuationNotice" w:id="1">
    <w:p w14:paraId="3CA5D5A5" w14:textId="77777777" w:rsidR="002047F9" w:rsidRDefault="00204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FF43C" w14:textId="77777777" w:rsidR="002047F9" w:rsidRDefault="002047F9">
      <w:r>
        <w:separator/>
      </w:r>
    </w:p>
  </w:footnote>
  <w:footnote w:type="continuationSeparator" w:id="0">
    <w:p w14:paraId="5EEC844C" w14:textId="77777777" w:rsidR="002047F9" w:rsidRDefault="002047F9">
      <w:r>
        <w:continuationSeparator/>
      </w:r>
    </w:p>
  </w:footnote>
  <w:footnote w:type="continuationNotice" w:id="1">
    <w:p w14:paraId="321B4129" w14:textId="77777777" w:rsidR="002047F9" w:rsidRDefault="002047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2B19"/>
    <w:rsid w:val="00106B2A"/>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83096"/>
    <w:rsid w:val="003872AC"/>
    <w:rsid w:val="00392BF8"/>
    <w:rsid w:val="003A41EF"/>
    <w:rsid w:val="003B1AF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D177D"/>
    <w:rsid w:val="007D628D"/>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84DB2"/>
    <w:rsid w:val="00B856EB"/>
    <w:rsid w:val="00B900F5"/>
    <w:rsid w:val="00B93EA0"/>
    <w:rsid w:val="00BA03C2"/>
    <w:rsid w:val="00BA5D30"/>
    <w:rsid w:val="00BB7A70"/>
    <w:rsid w:val="00BC3555"/>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Normal"/>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BodyText">
    <w:name w:val="Body Text"/>
    <w:basedOn w:val="Normal"/>
    <w:link w:val="BodyTextChar"/>
    <w:rsid w:val="006714D4"/>
    <w:pPr>
      <w:spacing w:after="0"/>
    </w:pPr>
    <w:rPr>
      <w:rFonts w:ascii="Arial" w:eastAsia="Malgun Gothic" w:hAnsi="Arial" w:cs="Arial"/>
      <w:color w:val="FF0000"/>
    </w:rPr>
  </w:style>
  <w:style w:type="character" w:customStyle="1" w:styleId="BodyTextChar">
    <w:name w:val="Body Text Char"/>
    <w:basedOn w:val="DefaultParagraphFont"/>
    <w:link w:val="BodyText"/>
    <w:rsid w:val="006714D4"/>
    <w:rPr>
      <w:rFonts w:ascii="Arial" w:eastAsia="Malgun Gothic" w:hAnsi="Arial" w:cs="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DCF6B310-5929-4474-9A6B-80D93A74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6</Pages>
  <Words>2413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15173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Lian Araujo</cp:lastModifiedBy>
  <cp:revision>4</cp:revision>
  <dcterms:created xsi:type="dcterms:W3CDTF">2021-01-26T10:26:00Z</dcterms:created>
  <dcterms:modified xsi:type="dcterms:W3CDTF">2021-01-26T12:28:00Z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ies>
</file>