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4805" w14:textId="4329F976"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[AT111e][</w:t>
      </w:r>
      <w:proofErr w:type="gramStart"/>
      <w:r>
        <w:t>111</w:t>
      </w:r>
      <w:r w:rsidRPr="00331B12">
        <w:t>][</w:t>
      </w:r>
      <w:proofErr w:type="gramEnd"/>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Hyperlink"/>
          </w:rPr>
          <w:t>R2-2007013</w:t>
        </w:r>
      </w:hyperlink>
      <w:r>
        <w:t xml:space="preserve">, </w:t>
      </w:r>
      <w:hyperlink r:id="rId13" w:tooltip="C:Data3GPPRAN2DocsR2-2007346.zip" w:history="1">
        <w:r w:rsidRPr="00601229">
          <w:rPr>
            <w:rStyle w:val="Hyperlink"/>
          </w:rPr>
          <w:t>R2-2007346</w:t>
        </w:r>
      </w:hyperlink>
      <w:r>
        <w:t xml:space="preserve">, </w:t>
      </w:r>
      <w:hyperlink r:id="rId14" w:tooltip="C:Data3GPPRAN2DocsR2-2007494.zip" w:history="1">
        <w:r w:rsidRPr="00601229">
          <w:rPr>
            <w:rStyle w:val="Hyperlink"/>
          </w:rPr>
          <w:t>R2-2007494</w:t>
        </w:r>
      </w:hyperlink>
      <w:r>
        <w:t xml:space="preserve"> as well as proposals 1 to 4 in </w:t>
      </w:r>
      <w:hyperlink r:id="rId15" w:tooltip="C:Data3GPPRAN2DocsR2-2006748.zip" w:history="1">
        <w:r w:rsidRPr="00601229">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Heading1"/>
        <w:rPr>
          <w:rFonts w:eastAsia="SimSun"/>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Heading2"/>
        <w:rPr>
          <w:rFonts w:eastAsia="SimSun"/>
          <w:lang w:eastAsia="zh-CN"/>
        </w:rPr>
      </w:pPr>
      <w:r>
        <w:rPr>
          <w:lang w:eastAsia="ko-KR"/>
        </w:rPr>
        <w:t>2.1</w:t>
      </w:r>
      <w:r>
        <w:rPr>
          <w:lang w:eastAsia="ko-KR"/>
        </w:rPr>
        <w:tab/>
      </w:r>
      <w:r w:rsidR="001B3064">
        <w:rPr>
          <w:rFonts w:eastAsia="SimSun" w:hint="eastAsia"/>
          <w:lang w:eastAsia="zh-CN"/>
        </w:rPr>
        <w:t xml:space="preserve">Support of eDRX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SimSun"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SimSun"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Heading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eDRX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3616C3B6" w14:textId="77777777" w:rsidTr="00DD281F">
        <w:trPr>
          <w:jc w:val="center"/>
        </w:trPr>
        <w:tc>
          <w:tcPr>
            <w:tcW w:w="1381"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DD281F">
        <w:trPr>
          <w:jc w:val="center"/>
        </w:trPr>
        <w:tc>
          <w:tcPr>
            <w:tcW w:w="1381"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DD281F">
        <w:trPr>
          <w:jc w:val="center"/>
        </w:trPr>
        <w:tc>
          <w:tcPr>
            <w:tcW w:w="1381" w:type="dxa"/>
          </w:tcPr>
          <w:p w14:paraId="0CD0460D" w14:textId="7E4394C1"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DD281F" w:rsidRPr="00C5044D" w14:paraId="16DC0E24" w14:textId="77777777" w:rsidTr="00DD281F">
        <w:trPr>
          <w:jc w:val="center"/>
        </w:trPr>
        <w:tc>
          <w:tcPr>
            <w:tcW w:w="1381" w:type="dxa"/>
          </w:tcPr>
          <w:p w14:paraId="1933D75D" w14:textId="7C720D7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4D9CF0B" w14:textId="3E7C986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Disagree </w:t>
            </w:r>
          </w:p>
        </w:tc>
        <w:tc>
          <w:tcPr>
            <w:tcW w:w="6525" w:type="dxa"/>
          </w:tcPr>
          <w:p w14:paraId="62E8C50A" w14:textId="4CF07EF7"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DD281F">
        <w:trPr>
          <w:jc w:val="center"/>
        </w:trPr>
        <w:tc>
          <w:tcPr>
            <w:tcW w:w="1381" w:type="dxa"/>
          </w:tcPr>
          <w:p w14:paraId="13173813" w14:textId="41439CC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7CCEDED4" w14:textId="59E1557A"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47787B" w14:textId="3499207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are postivie to use LTE eDRX as baselie. </w:t>
            </w:r>
          </w:p>
        </w:tc>
      </w:tr>
      <w:tr w:rsidR="00DD281F" w:rsidRPr="00C5044D" w14:paraId="30886E12" w14:textId="77777777" w:rsidTr="00DD281F">
        <w:trPr>
          <w:jc w:val="center"/>
        </w:trPr>
        <w:tc>
          <w:tcPr>
            <w:tcW w:w="1381" w:type="dxa"/>
          </w:tcPr>
          <w:p w14:paraId="3C874A7E" w14:textId="1EBE138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2D4187BC" w14:textId="7D002DA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010778"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6B2C4D5B" w14:textId="77777777" w:rsidTr="00DD281F">
        <w:trPr>
          <w:jc w:val="center"/>
        </w:trPr>
        <w:tc>
          <w:tcPr>
            <w:tcW w:w="1381" w:type="dxa"/>
          </w:tcPr>
          <w:p w14:paraId="0DE033D5" w14:textId="26814977"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6D313609" w14:textId="48EC120D"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F2F84D" w14:textId="1C48EEA6" w:rsidR="003C3C9E" w:rsidRPr="00C5044D"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Use </w:t>
            </w:r>
            <w:r w:rsidRPr="00B06074">
              <w:rPr>
                <w:rFonts w:ascii="Arial" w:eastAsia="SimSun" w:hAnsi="Arial"/>
                <w:noProof/>
                <w:sz w:val="18"/>
                <w:szCs w:val="24"/>
                <w:lang w:eastAsia="zh-CN"/>
              </w:rPr>
              <w:t>LTE eDRX Hyper system frame</w:t>
            </w:r>
            <w:r>
              <w:rPr>
                <w:rFonts w:ascii="Arial" w:eastAsia="SimSun" w:hAnsi="Arial"/>
                <w:noProof/>
                <w:sz w:val="18"/>
                <w:szCs w:val="24"/>
                <w:lang w:eastAsia="zh-CN"/>
              </w:rPr>
              <w:t xml:space="preserve">, </w:t>
            </w:r>
            <w:r w:rsidRPr="00B06074">
              <w:rPr>
                <w:rFonts w:ascii="Arial" w:eastAsia="SimSun" w:hAnsi="Arial"/>
                <w:noProof/>
                <w:sz w:val="18"/>
                <w:szCs w:val="24"/>
                <w:lang w:eastAsia="zh-CN"/>
              </w:rPr>
              <w:t>Paging Hyper frame</w:t>
            </w:r>
            <w:r>
              <w:rPr>
                <w:rFonts w:ascii="Arial" w:eastAsia="SimSun" w:hAnsi="Arial"/>
                <w:noProof/>
                <w:sz w:val="18"/>
                <w:szCs w:val="24"/>
                <w:lang w:eastAsia="zh-CN"/>
              </w:rPr>
              <w:t xml:space="preserve"> and Paging Time Window as baseline.</w:t>
            </w:r>
          </w:p>
        </w:tc>
      </w:tr>
      <w:tr w:rsidR="00303231" w:rsidRPr="00C5044D" w14:paraId="342DA080" w14:textId="77777777" w:rsidTr="00DD281F">
        <w:trPr>
          <w:jc w:val="center"/>
        </w:trPr>
        <w:tc>
          <w:tcPr>
            <w:tcW w:w="1381" w:type="dxa"/>
          </w:tcPr>
          <w:p w14:paraId="42363267" w14:textId="593BA86A"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3438665F" w14:textId="10808348"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2BC12E4" w14:textId="77777777" w:rsidR="00303231" w:rsidRDefault="00303231" w:rsidP="003C3C9E">
            <w:pPr>
              <w:spacing w:before="60" w:after="0"/>
              <w:rPr>
                <w:rFonts w:ascii="Arial" w:eastAsia="SimSun" w:hAnsi="Arial"/>
                <w:noProof/>
                <w:sz w:val="18"/>
                <w:szCs w:val="24"/>
                <w:lang w:eastAsia="zh-CN"/>
              </w:rPr>
            </w:pPr>
          </w:p>
        </w:tc>
      </w:tr>
    </w:tbl>
    <w:p w14:paraId="7CF37C75" w14:textId="77777777" w:rsidR="00A849E5"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Heading2"/>
        <w:rPr>
          <w:lang w:eastAsia="ko-KR"/>
        </w:rPr>
      </w:pPr>
      <w:r>
        <w:rPr>
          <w:lang w:eastAsia="ko-KR"/>
        </w:rPr>
        <w:t>2.3</w:t>
      </w:r>
      <w:r>
        <w:rPr>
          <w:lang w:eastAsia="ko-KR"/>
        </w:rPr>
        <w:tab/>
      </w:r>
      <w:r w:rsidR="00DA06A4">
        <w:rPr>
          <w:rFonts w:eastAsia="SimSun" w:hint="eastAsia"/>
          <w:lang w:eastAsia="zh-CN"/>
        </w:rPr>
        <w:t>eDRX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lastRenderedPageBreak/>
        <w:t>For example, in [3] the following proposals were made</w:t>
      </w:r>
    </w:p>
    <w:tbl>
      <w:tblPr>
        <w:tblStyle w:val="TableGrid"/>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Proposal 3: Consider the maximum value of 2621.44s (almost 44 min) eDRX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Proposal 4: Study the possibility of introducing longer eDRX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TableGrid"/>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For UEs in RRC_IDLE, to discuss whether to enable paging DRX cycles above 10.24 ‎sec similarly as it is done for LTE eDRX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42F68FC4" w14:textId="77777777" w:rsidTr="00DD281F">
        <w:trPr>
          <w:jc w:val="center"/>
        </w:trPr>
        <w:tc>
          <w:tcPr>
            <w:tcW w:w="1381"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DD281F">
        <w:trPr>
          <w:jc w:val="center"/>
        </w:trPr>
        <w:tc>
          <w:tcPr>
            <w:tcW w:w="1381"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DD281F">
        <w:trPr>
          <w:jc w:val="center"/>
        </w:trPr>
        <w:tc>
          <w:tcPr>
            <w:tcW w:w="1381" w:type="dxa"/>
          </w:tcPr>
          <w:p w14:paraId="1741AC72" w14:textId="6E58DDEB"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DD281F">
        <w:trPr>
          <w:jc w:val="center"/>
        </w:trPr>
        <w:tc>
          <w:tcPr>
            <w:tcW w:w="1381" w:type="dxa"/>
          </w:tcPr>
          <w:p w14:paraId="19E1403E" w14:textId="6F306A9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16A3920" w14:textId="2F76F8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1E8015" w14:textId="022EF79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DD281F" w:rsidRPr="00C5044D" w14:paraId="0DEF23BA" w14:textId="77777777" w:rsidTr="00DD281F">
        <w:trPr>
          <w:jc w:val="center"/>
        </w:trPr>
        <w:tc>
          <w:tcPr>
            <w:tcW w:w="1381" w:type="dxa"/>
          </w:tcPr>
          <w:p w14:paraId="5152F44A" w14:textId="5EDC2CA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7672A79A" w14:textId="3FAAA8C4"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94AE4A" w14:textId="11192F5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DD281F">
        <w:trPr>
          <w:jc w:val="center"/>
        </w:trPr>
        <w:tc>
          <w:tcPr>
            <w:tcW w:w="1381" w:type="dxa"/>
          </w:tcPr>
          <w:p w14:paraId="2A3A5E0E" w14:textId="0955563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Ericsson</w:t>
            </w:r>
          </w:p>
        </w:tc>
        <w:tc>
          <w:tcPr>
            <w:tcW w:w="1723" w:type="dxa"/>
          </w:tcPr>
          <w:p w14:paraId="1C36FD81" w14:textId="29D81CC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D48748" w14:textId="2439C9DB" w:rsidR="00DD281F"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We support studying longer DRX cycles in RRC_INACTIVE in addition to  RRC_IDLE. The IWSN use case explicitly mentions lifetime of several years.</w:t>
            </w:r>
            <w:r w:rsidR="0008721D">
              <w:rPr>
                <w:rFonts w:ascii="Arial" w:eastAsia="SimSun" w:hAnsi="Arial"/>
                <w:noProof/>
                <w:sz w:val="18"/>
                <w:szCs w:val="24"/>
                <w:lang w:eastAsia="zh-CN"/>
              </w:rPr>
              <w:t xml:space="preserve"> For example results on possible gain see our contribution in </w:t>
            </w:r>
            <w:hyperlink r:id="rId16" w:history="1">
              <w:r w:rsidR="0008721D" w:rsidRPr="0008721D">
                <w:rPr>
                  <w:rStyle w:val="Hyperlink"/>
                  <w:rFonts w:ascii="Arial" w:eastAsia="SimSun" w:hAnsi="Arial"/>
                  <w:noProof/>
                  <w:sz w:val="18"/>
                  <w:szCs w:val="24"/>
                  <w:lang w:eastAsia="zh-CN"/>
                </w:rPr>
                <w:t>R2-2006913</w:t>
              </w:r>
            </w:hyperlink>
            <w:r w:rsidR="0008721D">
              <w:rPr>
                <w:rFonts w:ascii="Arial" w:eastAsia="SimSun" w:hAnsi="Arial"/>
                <w:noProof/>
                <w:sz w:val="18"/>
                <w:szCs w:val="24"/>
                <w:lang w:eastAsia="zh-CN"/>
              </w:rPr>
              <w:t>.</w:t>
            </w:r>
            <w:r>
              <w:rPr>
                <w:rFonts w:ascii="Arial" w:eastAsia="SimSun" w:hAnsi="Arial"/>
                <w:noProof/>
                <w:sz w:val="18"/>
                <w:szCs w:val="24"/>
                <w:lang w:eastAsia="zh-CN"/>
              </w:rPr>
              <w:t xml:space="preserve"> </w:t>
            </w:r>
          </w:p>
          <w:p w14:paraId="045F67C1" w14:textId="3364AEE7" w:rsidR="0008721D" w:rsidRDefault="00102C28"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w:t>
            </w:r>
            <w:r w:rsidR="0008721D">
              <w:rPr>
                <w:rFonts w:ascii="Arial" w:eastAsia="SimSun" w:hAnsi="Arial"/>
                <w:noProof/>
                <w:sz w:val="18"/>
                <w:szCs w:val="24"/>
                <w:lang w:eastAsia="zh-CN"/>
              </w:rPr>
              <w:t xml:space="preserve">rom RAN2 perspective </w:t>
            </w:r>
            <w:r w:rsidR="00DD281F">
              <w:rPr>
                <w:rFonts w:ascii="Arial" w:eastAsia="SimSun" w:hAnsi="Arial"/>
                <w:noProof/>
                <w:sz w:val="18"/>
                <w:szCs w:val="24"/>
                <w:lang w:eastAsia="zh-CN"/>
              </w:rPr>
              <w:t xml:space="preserve">we see it beneficial to combine the signaling saving in RRC_INACTIVE with power saving potential of eDRX – for example consider </w:t>
            </w:r>
            <w:r w:rsidR="0054554E">
              <w:rPr>
                <w:rFonts w:ascii="Arial" w:eastAsia="SimSun" w:hAnsi="Arial"/>
                <w:noProof/>
                <w:sz w:val="18"/>
                <w:szCs w:val="24"/>
                <w:lang w:eastAsia="zh-CN"/>
              </w:rPr>
              <w:t xml:space="preserve">the </w:t>
            </w:r>
            <w:r w:rsidR="00DD281F">
              <w:rPr>
                <w:rFonts w:ascii="Arial" w:eastAsia="SimSun" w:hAnsi="Arial"/>
                <w:noProof/>
                <w:sz w:val="18"/>
                <w:szCs w:val="24"/>
                <w:lang w:eastAsia="zh-CN"/>
              </w:rPr>
              <w:t>combination with R17 Small data</w:t>
            </w:r>
            <w:r w:rsidR="0054554E">
              <w:rPr>
                <w:rFonts w:ascii="Arial" w:eastAsia="SimSun"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SimSun" w:hAnsi="Arial"/>
                <w:noProof/>
                <w:sz w:val="18"/>
                <w:szCs w:val="24"/>
                <w:lang w:eastAsia="zh-CN"/>
              </w:rPr>
            </w:pPr>
          </w:p>
          <w:p w14:paraId="04A7FD1B" w14:textId="40F2F07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Otherwise, the only real power saving state is RRC_IDLE</w:t>
            </w:r>
            <w:r w:rsidR="0008721D">
              <w:rPr>
                <w:rFonts w:ascii="Arial" w:eastAsia="SimSun" w:hAnsi="Arial"/>
                <w:noProof/>
                <w:sz w:val="18"/>
                <w:szCs w:val="24"/>
                <w:lang w:eastAsia="zh-CN"/>
              </w:rPr>
              <w:t>,</w:t>
            </w:r>
            <w:r>
              <w:rPr>
                <w:rFonts w:ascii="Arial" w:eastAsia="SimSun" w:hAnsi="Arial"/>
                <w:noProof/>
                <w:sz w:val="18"/>
                <w:szCs w:val="24"/>
                <w:lang w:eastAsia="zh-CN"/>
              </w:rPr>
              <w:t xml:space="preserve"> which </w:t>
            </w:r>
            <w:r w:rsidR="00805834">
              <w:rPr>
                <w:rFonts w:ascii="Arial" w:eastAsia="SimSun" w:hAnsi="Arial"/>
                <w:noProof/>
                <w:sz w:val="18"/>
                <w:szCs w:val="24"/>
                <w:lang w:eastAsia="zh-CN"/>
              </w:rPr>
              <w:t>in our view is not a good</w:t>
            </w:r>
            <w:r>
              <w:rPr>
                <w:rFonts w:ascii="Arial" w:eastAsia="SimSun"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SimSun" w:hAnsi="Arial"/>
                <w:noProof/>
                <w:sz w:val="18"/>
                <w:szCs w:val="24"/>
                <w:lang w:eastAsia="zh-CN"/>
              </w:rPr>
              <w:t>.</w:t>
            </w:r>
          </w:p>
        </w:tc>
      </w:tr>
      <w:tr w:rsidR="003C3C9E" w:rsidRPr="00C5044D" w14:paraId="75C0279E" w14:textId="77777777" w:rsidTr="00DD281F">
        <w:trPr>
          <w:jc w:val="center"/>
        </w:trPr>
        <w:tc>
          <w:tcPr>
            <w:tcW w:w="1381" w:type="dxa"/>
          </w:tcPr>
          <w:p w14:paraId="7A7C15C5" w14:textId="4F56EFF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055C16F6" w14:textId="5541CE5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8E9A087" w14:textId="7F3DDE5A" w:rsidR="003C3C9E" w:rsidRDefault="003B1809"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We believe in similar motivations as captured by Ericsson above.</w:t>
            </w:r>
          </w:p>
        </w:tc>
      </w:tr>
      <w:tr w:rsidR="00303231" w:rsidRPr="00C5044D" w14:paraId="2FCE9513" w14:textId="77777777" w:rsidTr="00DD281F">
        <w:trPr>
          <w:jc w:val="center"/>
        </w:trPr>
        <w:tc>
          <w:tcPr>
            <w:tcW w:w="1381" w:type="dxa"/>
          </w:tcPr>
          <w:p w14:paraId="53EE387F" w14:textId="025E64C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74FA45BD" w14:textId="700583AC"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0524930" w14:textId="7B77338B"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Similar views as Ericsson</w:t>
            </w:r>
          </w:p>
        </w:tc>
      </w:tr>
    </w:tbl>
    <w:p w14:paraId="5EF63604" w14:textId="77777777" w:rsidR="007B77B2"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2D71F84A" w14:textId="77777777" w:rsidTr="00DD281F">
        <w:trPr>
          <w:jc w:val="center"/>
        </w:trPr>
        <w:tc>
          <w:tcPr>
            <w:tcW w:w="1381"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DD281F">
        <w:trPr>
          <w:jc w:val="center"/>
        </w:trPr>
        <w:tc>
          <w:tcPr>
            <w:tcW w:w="1381"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We don’t see any of the three target RedCap use cases can have extra long eDRX cycles</w:t>
            </w:r>
            <w:r w:rsidR="006A6519">
              <w:rPr>
                <w:rFonts w:ascii="Arial" w:eastAsia="SimSun" w:hAnsi="Arial"/>
                <w:noProof/>
                <w:sz w:val="18"/>
                <w:szCs w:val="24"/>
                <w:lang w:eastAsia="zh-CN"/>
              </w:rPr>
              <w:t>.</w:t>
            </w:r>
          </w:p>
        </w:tc>
      </w:tr>
      <w:tr w:rsidR="007B77B2" w:rsidRPr="00C5044D" w14:paraId="3FEFC392" w14:textId="77777777" w:rsidTr="00DD281F">
        <w:trPr>
          <w:jc w:val="center"/>
        </w:trPr>
        <w:tc>
          <w:tcPr>
            <w:tcW w:w="1381" w:type="dxa"/>
          </w:tcPr>
          <w:p w14:paraId="11C9D308" w14:textId="1BC6DBDE"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DD281F" w:rsidRPr="00C5044D" w14:paraId="35DA5E1A" w14:textId="77777777" w:rsidTr="00DD281F">
        <w:trPr>
          <w:jc w:val="center"/>
        </w:trPr>
        <w:tc>
          <w:tcPr>
            <w:tcW w:w="1381" w:type="dxa"/>
          </w:tcPr>
          <w:p w14:paraId="6C2E983F" w14:textId="7150004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52938B6B" w14:textId="25285AF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01585C52" w14:textId="1836C393"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DD281F">
        <w:trPr>
          <w:jc w:val="center"/>
        </w:trPr>
        <w:tc>
          <w:tcPr>
            <w:tcW w:w="1381" w:type="dxa"/>
          </w:tcPr>
          <w:p w14:paraId="1558DAA6" w14:textId="07F98BF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0CC8D106" w14:textId="0B7B20A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0F0787EF" w14:textId="0D9F86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DD281F">
        <w:trPr>
          <w:jc w:val="center"/>
        </w:trPr>
        <w:tc>
          <w:tcPr>
            <w:tcW w:w="1381" w:type="dxa"/>
          </w:tcPr>
          <w:p w14:paraId="432C56EC" w14:textId="72E47A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70F7055" w14:textId="4243651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552320" w14:textId="2E8AE5C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DD281F">
        <w:trPr>
          <w:jc w:val="center"/>
        </w:trPr>
        <w:tc>
          <w:tcPr>
            <w:tcW w:w="1381" w:type="dxa"/>
          </w:tcPr>
          <w:p w14:paraId="7CD585E7" w14:textId="335A87A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267EE0F6" w14:textId="743951E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C890286" w14:textId="508A2871"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303231" w:rsidRPr="00C5044D" w14:paraId="566CD5BC" w14:textId="77777777" w:rsidTr="00DD281F">
        <w:trPr>
          <w:jc w:val="center"/>
        </w:trPr>
        <w:tc>
          <w:tcPr>
            <w:tcW w:w="1381" w:type="dxa"/>
          </w:tcPr>
          <w:p w14:paraId="6C2B4653" w14:textId="20E6CC06"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5335D9C8" w14:textId="1F5EAB02"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53F0C2C5" w14:textId="1776100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There could be redcap UE types which do not need INACTIVE mode of operation as much, but require higher power savings.</w:t>
            </w: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ListParagraph"/>
        <w:numPr>
          <w:ilvl w:val="0"/>
          <w:numId w:val="13"/>
        </w:numPr>
        <w:spacing w:before="240" w:after="120"/>
        <w:jc w:val="both"/>
        <w:rPr>
          <w:rFonts w:ascii="Arial" w:eastAsia="SimSun" w:hAnsi="Arial"/>
          <w:noProof/>
          <w:szCs w:val="24"/>
        </w:rPr>
      </w:pPr>
      <w:r>
        <w:rPr>
          <w:rFonts w:ascii="Arial" w:eastAsia="SimSun" w:hAnsi="Arial" w:hint="eastAsia"/>
          <w:noProof/>
          <w:szCs w:val="24"/>
        </w:rPr>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lastRenderedPageBreak/>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TableGrid"/>
        <w:tblW w:w="0" w:type="auto"/>
        <w:jc w:val="center"/>
        <w:tblLook w:val="04A0" w:firstRow="1" w:lastRow="0" w:firstColumn="1" w:lastColumn="0" w:noHBand="0" w:noVBand="1"/>
      </w:tblPr>
      <w:tblGrid>
        <w:gridCol w:w="1382"/>
        <w:gridCol w:w="1711"/>
        <w:gridCol w:w="6536"/>
      </w:tblGrid>
      <w:tr w:rsidR="00561A78" w:rsidRPr="00C5044D" w14:paraId="1785D38B" w14:textId="77777777" w:rsidTr="00EF49D1">
        <w:trPr>
          <w:jc w:val="center"/>
        </w:trPr>
        <w:tc>
          <w:tcPr>
            <w:tcW w:w="1382"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EF49D1">
        <w:trPr>
          <w:jc w:val="center"/>
        </w:trPr>
        <w:tc>
          <w:tcPr>
            <w:tcW w:w="1382"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1"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EF49D1">
        <w:trPr>
          <w:jc w:val="center"/>
        </w:trPr>
        <w:tc>
          <w:tcPr>
            <w:tcW w:w="1382" w:type="dxa"/>
          </w:tcPr>
          <w:p w14:paraId="5C9E49A3" w14:textId="2DC8D48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EF49D1" w:rsidRPr="00C5044D" w14:paraId="6A84AF7B" w14:textId="77777777" w:rsidTr="00EF49D1">
        <w:trPr>
          <w:jc w:val="center"/>
        </w:trPr>
        <w:tc>
          <w:tcPr>
            <w:tcW w:w="1382" w:type="dxa"/>
          </w:tcPr>
          <w:p w14:paraId="495579BC" w14:textId="36B155F7"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1" w:type="dxa"/>
          </w:tcPr>
          <w:p w14:paraId="6F2C06BF" w14:textId="4C3BB67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70BCB58" w14:textId="29D446A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See our reply to Proposal D.</w:t>
            </w:r>
          </w:p>
        </w:tc>
      </w:tr>
      <w:tr w:rsidR="00EF49D1" w:rsidRPr="00C5044D" w14:paraId="2C8E0DD8" w14:textId="77777777" w:rsidTr="00EF49D1">
        <w:trPr>
          <w:jc w:val="center"/>
        </w:trPr>
        <w:tc>
          <w:tcPr>
            <w:tcW w:w="1382" w:type="dxa"/>
          </w:tcPr>
          <w:p w14:paraId="7F4CEA94" w14:textId="4FA84B5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1" w:type="dxa"/>
          </w:tcPr>
          <w:p w14:paraId="44D03B5B" w14:textId="065E2E8F"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381FB30" w14:textId="77777777" w:rsidR="00EF49D1" w:rsidRPr="00C5044D" w:rsidRDefault="00EF49D1" w:rsidP="00EF49D1">
            <w:pPr>
              <w:spacing w:before="60" w:after="0"/>
              <w:rPr>
                <w:rFonts w:ascii="Arial" w:eastAsia="SimSun" w:hAnsi="Arial"/>
                <w:noProof/>
                <w:sz w:val="18"/>
                <w:szCs w:val="24"/>
                <w:lang w:eastAsia="zh-CN"/>
              </w:rPr>
            </w:pPr>
          </w:p>
        </w:tc>
      </w:tr>
      <w:tr w:rsidR="00EF49D1" w:rsidRPr="00C5044D" w14:paraId="73B191D8" w14:textId="77777777" w:rsidTr="00EF49D1">
        <w:trPr>
          <w:jc w:val="center"/>
        </w:trPr>
        <w:tc>
          <w:tcPr>
            <w:tcW w:w="1382" w:type="dxa"/>
          </w:tcPr>
          <w:p w14:paraId="60B5F427" w14:textId="54CAED09"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1" w:type="dxa"/>
          </w:tcPr>
          <w:p w14:paraId="3F647075" w14:textId="07F45AA6"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B3B0EC0" w14:textId="444646C1"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EF49D1">
        <w:trPr>
          <w:jc w:val="center"/>
        </w:trPr>
        <w:tc>
          <w:tcPr>
            <w:tcW w:w="1382" w:type="dxa"/>
          </w:tcPr>
          <w:p w14:paraId="04AF7156" w14:textId="375730F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1" w:type="dxa"/>
          </w:tcPr>
          <w:p w14:paraId="599BB39A" w14:textId="26FDD862"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45460019" w14:textId="77777777" w:rsidR="003C3C9E" w:rsidRDefault="003C3C9E" w:rsidP="003C3C9E">
            <w:pPr>
              <w:spacing w:before="60" w:after="0"/>
              <w:rPr>
                <w:rFonts w:ascii="Arial" w:eastAsia="SimSun" w:hAnsi="Arial"/>
                <w:noProof/>
                <w:sz w:val="18"/>
                <w:szCs w:val="24"/>
                <w:lang w:eastAsia="zh-CN"/>
              </w:rPr>
            </w:pPr>
          </w:p>
        </w:tc>
      </w:tr>
      <w:tr w:rsidR="00303231" w:rsidRPr="00C5044D" w14:paraId="423E4DF2" w14:textId="77777777" w:rsidTr="00EF49D1">
        <w:trPr>
          <w:jc w:val="center"/>
        </w:trPr>
        <w:tc>
          <w:tcPr>
            <w:tcW w:w="1382" w:type="dxa"/>
          </w:tcPr>
          <w:p w14:paraId="2A1AA93B" w14:textId="6945C22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1" w:type="dxa"/>
          </w:tcPr>
          <w:p w14:paraId="5BDB1632" w14:textId="22C67AE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7EEF6D3A" w14:textId="5549A14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RANP guidelines suggest RedCap UEs are no worse than LWA? In that sense, we do not need to go even further. </w:t>
            </w: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ListParagraph"/>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TableGrid"/>
        <w:tblW w:w="0" w:type="auto"/>
        <w:jc w:val="center"/>
        <w:tblLook w:val="04A0" w:firstRow="1" w:lastRow="0" w:firstColumn="1" w:lastColumn="0" w:noHBand="0" w:noVBand="1"/>
      </w:tblPr>
      <w:tblGrid>
        <w:gridCol w:w="1381"/>
        <w:gridCol w:w="1713"/>
        <w:gridCol w:w="6535"/>
      </w:tblGrid>
      <w:tr w:rsidR="00561A78" w:rsidRPr="00C5044D" w14:paraId="38D4DEC9" w14:textId="77777777" w:rsidTr="00EF49D1">
        <w:trPr>
          <w:jc w:val="center"/>
        </w:trPr>
        <w:tc>
          <w:tcPr>
            <w:tcW w:w="1381"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EF49D1">
        <w:trPr>
          <w:jc w:val="center"/>
        </w:trPr>
        <w:tc>
          <w:tcPr>
            <w:tcW w:w="1381"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p>
        </w:tc>
      </w:tr>
      <w:tr w:rsidR="00561A78" w:rsidRPr="00C5044D" w14:paraId="0C530B75" w14:textId="77777777" w:rsidTr="00EF49D1">
        <w:trPr>
          <w:jc w:val="center"/>
        </w:trPr>
        <w:tc>
          <w:tcPr>
            <w:tcW w:w="1381" w:type="dxa"/>
          </w:tcPr>
          <w:p w14:paraId="573D80CF" w14:textId="6E766AA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 on the RAN2 agreements.</w:t>
            </w:r>
          </w:p>
        </w:tc>
      </w:tr>
      <w:tr w:rsidR="00EF49D1" w:rsidRPr="00C5044D" w14:paraId="0BC65AE5" w14:textId="77777777" w:rsidTr="00EF49D1">
        <w:trPr>
          <w:jc w:val="center"/>
        </w:trPr>
        <w:tc>
          <w:tcPr>
            <w:tcW w:w="1381" w:type="dxa"/>
          </w:tcPr>
          <w:p w14:paraId="68EB3535" w14:textId="197AC7C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3" w:type="dxa"/>
          </w:tcPr>
          <w:p w14:paraId="22652AD1" w14:textId="164FB3F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5" w:type="dxa"/>
          </w:tcPr>
          <w:p w14:paraId="1E28515F" w14:textId="0AB75F2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EF49D1">
        <w:trPr>
          <w:jc w:val="center"/>
        </w:trPr>
        <w:tc>
          <w:tcPr>
            <w:tcW w:w="1381" w:type="dxa"/>
          </w:tcPr>
          <w:p w14:paraId="5399AB34" w14:textId="37C90D0B"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3" w:type="dxa"/>
          </w:tcPr>
          <w:p w14:paraId="4949C394" w14:textId="37061E3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DE0EEDE" w14:textId="00C2C95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It depends on the RAN2 agreements.</w:t>
            </w:r>
          </w:p>
        </w:tc>
      </w:tr>
      <w:tr w:rsidR="00EF49D1" w:rsidRPr="00C5044D" w14:paraId="010F7526" w14:textId="77777777" w:rsidTr="00EF49D1">
        <w:trPr>
          <w:jc w:val="center"/>
        </w:trPr>
        <w:tc>
          <w:tcPr>
            <w:tcW w:w="1381" w:type="dxa"/>
          </w:tcPr>
          <w:p w14:paraId="761085D8" w14:textId="660704A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3" w:type="dxa"/>
          </w:tcPr>
          <w:p w14:paraId="72EBA8A0" w14:textId="5785ED5F" w:rsidR="00EF49D1" w:rsidRPr="00C5044D" w:rsidRDefault="002B7E6C"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w:t>
            </w:r>
          </w:p>
        </w:tc>
        <w:tc>
          <w:tcPr>
            <w:tcW w:w="6535" w:type="dxa"/>
          </w:tcPr>
          <w:p w14:paraId="55B0F763" w14:textId="23DA4C0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needed if eDRX in any form is specified – but RAN2 should progress the work first. </w:t>
            </w:r>
            <w:r w:rsidR="00FB625B">
              <w:rPr>
                <w:rFonts w:ascii="Arial" w:eastAsia="SimSun" w:hAnsi="Arial"/>
                <w:noProof/>
                <w:sz w:val="18"/>
                <w:szCs w:val="24"/>
                <w:lang w:eastAsia="zh-CN"/>
              </w:rPr>
              <w:t>Can be addressed later.</w:t>
            </w:r>
          </w:p>
        </w:tc>
      </w:tr>
      <w:tr w:rsidR="003C3C9E" w:rsidRPr="00C5044D" w14:paraId="2A16AD6D" w14:textId="77777777" w:rsidTr="00EF49D1">
        <w:trPr>
          <w:jc w:val="center"/>
        </w:trPr>
        <w:tc>
          <w:tcPr>
            <w:tcW w:w="1381" w:type="dxa"/>
          </w:tcPr>
          <w:p w14:paraId="2CC88BB4" w14:textId="1F0BEF65"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3" w:type="dxa"/>
          </w:tcPr>
          <w:p w14:paraId="24A43F93" w14:textId="77777777" w:rsidR="003C3C9E" w:rsidRDefault="003C3C9E" w:rsidP="003C3C9E">
            <w:pPr>
              <w:spacing w:before="60" w:after="0"/>
              <w:rPr>
                <w:rFonts w:ascii="Arial" w:eastAsia="SimSun" w:hAnsi="Arial"/>
                <w:noProof/>
                <w:sz w:val="18"/>
                <w:szCs w:val="24"/>
                <w:lang w:eastAsia="zh-CN"/>
              </w:rPr>
            </w:pPr>
          </w:p>
        </w:tc>
        <w:tc>
          <w:tcPr>
            <w:tcW w:w="6535" w:type="dxa"/>
          </w:tcPr>
          <w:p w14:paraId="4C27B34F" w14:textId="37368990"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To early to decide</w:t>
            </w:r>
            <w:r w:rsidR="003B1809">
              <w:rPr>
                <w:rFonts w:ascii="Arial" w:eastAsia="SimSun" w:hAnsi="Arial"/>
                <w:noProof/>
                <w:sz w:val="18"/>
                <w:szCs w:val="24"/>
                <w:lang w:eastAsia="zh-CN"/>
              </w:rPr>
              <w:t xml:space="preserve"> but likely needed depending</w:t>
            </w:r>
            <w:r>
              <w:rPr>
                <w:rFonts w:ascii="Arial" w:eastAsia="SimSun"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EF49D1">
        <w:trPr>
          <w:jc w:val="center"/>
        </w:trPr>
        <w:tc>
          <w:tcPr>
            <w:tcW w:w="1381" w:type="dxa"/>
          </w:tcPr>
          <w:p w14:paraId="16EC08E5" w14:textId="4A830B09"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3" w:type="dxa"/>
          </w:tcPr>
          <w:p w14:paraId="781DFB93" w14:textId="77777777" w:rsidR="00303231" w:rsidRDefault="00303231" w:rsidP="003C3C9E">
            <w:pPr>
              <w:spacing w:before="60" w:after="0"/>
              <w:rPr>
                <w:rFonts w:ascii="Arial" w:eastAsia="SimSun" w:hAnsi="Arial"/>
                <w:noProof/>
                <w:sz w:val="18"/>
                <w:szCs w:val="24"/>
                <w:lang w:eastAsia="zh-CN"/>
              </w:rPr>
            </w:pPr>
          </w:p>
        </w:tc>
        <w:tc>
          <w:tcPr>
            <w:tcW w:w="6535" w:type="dxa"/>
          </w:tcPr>
          <w:p w14:paraId="3149340F" w14:textId="63FE140F"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Can be discussed online towards the end of the meeting.</w:t>
            </w:r>
          </w:p>
        </w:tc>
      </w:tr>
    </w:tbl>
    <w:p w14:paraId="2504E0CF" w14:textId="77777777" w:rsidR="000B4F44"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TableGrid"/>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This contribution is on the topic of eDRX in NR, under the R17 RedCap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RAN2-111e - R16 eMIMO-CLI-PRN-RACS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Discussion on eDRX for RRC_INACTIVE and RRC_IDLE‎</w:t>
      </w:r>
      <w:r w:rsidR="00F55667" w:rsidRPr="00F55667">
        <w:rPr>
          <w:rFonts w:ascii="Arial" w:eastAsia="SimSun" w:hAnsi="Arial" w:cs="Arial"/>
          <w:lang w:eastAsia="zh-CN"/>
        </w:rPr>
        <w:tab/>
        <w:t xml:space="preserve">Huawei, </w:t>
      </w:r>
      <w:proofErr w:type="spellStart"/>
      <w:r w:rsidR="00F55667" w:rsidRPr="00F55667">
        <w:rPr>
          <w:rFonts w:ascii="Arial" w:eastAsia="SimSun" w:hAnsi="Arial" w:cs="Arial"/>
          <w:lang w:eastAsia="zh-CN"/>
        </w:rPr>
        <w:t>HiSilicon</w:t>
      </w:r>
      <w:proofErr w:type="spellEnd"/>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reduced capability UEs</w:t>
      </w:r>
      <w:r w:rsidR="00F55667" w:rsidRPr="00F55667">
        <w:rPr>
          <w:rFonts w:ascii="Arial" w:eastAsia="SimSun" w:hAnsi="Arial" w:cs="Arial"/>
          <w:lang w:eastAsia="zh-CN"/>
        </w:rPr>
        <w:tab/>
        <w:t>MediaTek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lastRenderedPageBreak/>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SimSun" w:hAnsi="Arial"/>
                <w:noProof/>
                <w:szCs w:val="24"/>
                <w:lang w:eastAsia="zh-CN"/>
              </w:rPr>
            </w:pPr>
            <w:r>
              <w:rPr>
                <w:rFonts w:ascii="Arial" w:eastAsia="SimSun" w:hAnsi="Arial"/>
                <w:noProof/>
                <w:szCs w:val="24"/>
                <w:lang w:eastAsia="zh-CN"/>
              </w:rPr>
              <w:t>Nokia, Nokia Shanghai Bell</w:t>
            </w:r>
          </w:p>
        </w:tc>
        <w:tc>
          <w:tcPr>
            <w:tcW w:w="3731" w:type="dxa"/>
          </w:tcPr>
          <w:p w14:paraId="58703E37" w14:textId="65EA3102" w:rsidR="00FE64EB" w:rsidRDefault="00456C15" w:rsidP="00C47629">
            <w:pPr>
              <w:spacing w:before="60" w:after="0"/>
              <w:jc w:val="both"/>
              <w:rPr>
                <w:rFonts w:ascii="Arial" w:eastAsia="SimSun" w:hAnsi="Arial"/>
                <w:noProof/>
                <w:szCs w:val="24"/>
                <w:lang w:eastAsia="zh-CN"/>
              </w:rPr>
            </w:pPr>
            <w:hyperlink r:id="rId17" w:history="1">
              <w:r w:rsidR="00672DFF" w:rsidRPr="001D61DC">
                <w:rPr>
                  <w:rStyle w:val="Hyperlink"/>
                  <w:rFonts w:ascii="Arial" w:eastAsia="SimSun"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naveen.palle@apple.com</w:t>
            </w: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SimSun" w:hAnsi="Arial"/>
                <w:noProof/>
                <w:szCs w:val="24"/>
                <w:lang w:eastAsia="zh-CN"/>
              </w:rPr>
            </w:pPr>
          </w:p>
        </w:tc>
        <w:tc>
          <w:tcPr>
            <w:tcW w:w="3731" w:type="dxa"/>
          </w:tcPr>
          <w:p w14:paraId="490A7FE3" w14:textId="77777777" w:rsidR="00FE64EB" w:rsidRDefault="00FE64EB" w:rsidP="00C47629">
            <w:pPr>
              <w:spacing w:before="60" w:after="0"/>
              <w:jc w:val="both"/>
              <w:rPr>
                <w:rFonts w:ascii="Arial" w:eastAsia="SimSun"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SimSun" w:hAnsi="Arial"/>
                <w:noProof/>
                <w:szCs w:val="24"/>
                <w:lang w:eastAsia="zh-CN"/>
              </w:rPr>
            </w:pPr>
          </w:p>
        </w:tc>
        <w:tc>
          <w:tcPr>
            <w:tcW w:w="3731" w:type="dxa"/>
          </w:tcPr>
          <w:p w14:paraId="2067E46C" w14:textId="77777777" w:rsidR="00FE64EB" w:rsidRDefault="00FE64EB" w:rsidP="00C47629">
            <w:pPr>
              <w:spacing w:before="60" w:after="0"/>
              <w:jc w:val="both"/>
              <w:rPr>
                <w:rFonts w:ascii="Arial" w:eastAsia="SimSun"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SimSun" w:hAnsi="Arial"/>
                <w:noProof/>
                <w:szCs w:val="24"/>
                <w:lang w:eastAsia="zh-CN"/>
              </w:rPr>
            </w:pPr>
          </w:p>
        </w:tc>
        <w:tc>
          <w:tcPr>
            <w:tcW w:w="3731" w:type="dxa"/>
          </w:tcPr>
          <w:p w14:paraId="5A8A2337" w14:textId="77777777" w:rsidR="00FE64EB" w:rsidRDefault="00FE64EB" w:rsidP="00C47629">
            <w:pPr>
              <w:spacing w:before="60" w:after="0"/>
              <w:jc w:val="both"/>
              <w:rPr>
                <w:rFonts w:ascii="Arial" w:eastAsia="SimSun"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p w14:paraId="32CB35E4" w14:textId="6402B685" w:rsidR="00024318" w:rsidRDefault="00024318" w:rsidP="000217BB">
      <w:pPr>
        <w:pStyle w:val="Heading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1: The LTE eDRX mechanism for idle mode should be reused for NR with the ‎consideration of multi-beam i.e. define eDRX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2: The eDRX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3: Only one eDRX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4: eDRX parameters should be exchanged between CN and RAN to support UE ‎monitor paging according to eDRX in RRC inactive if eDRX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5: The eDRX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6: RAN 2 should discuss how to configure the eDRX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-‎Option 1: via NAS signaling by CN, and the CN send the eDRX parameters to RAN.‎</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‎-‎Option 2: via RRS signaling by RAN, the RAN acquires the eDRX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eDRX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Proposal 2: the procedure of eDRX mechanism in LTE could be used as baseline of NR eDRX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Idle mode eDRX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gNB decides UE’s inactive eDRX parameters based on the negotiated eDRX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Include idle eDRX parameters and inactive eDRX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lastRenderedPageBreak/>
              <w:t>Proposal 3: Consider the maximum value of 2621.44s (almost 44 min) eDRX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Proposal 4: Study the possibility of introducing longer eDRX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eDRX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Proposal 6: Study whether to introduce PTW mechanism or not for RRC_INACTIVE if it is agreed to introduce eDRX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Proposal 7: Study SI acquisition enhancement mechanism in NR after eDRX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t>Proposal 8: Involve RAN4 in the WID after REDCAP study item finishes and eDRX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Observation 1: Introducing eDRX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eDRX mechanisms in LTE/NB-IoT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t xml:space="preserve">Proposal 2: RAN2 to send </w:t>
            </w:r>
            <w:proofErr w:type="gramStart"/>
            <w:r w:rsidRPr="00024318">
              <w:rPr>
                <w:rFonts w:ascii="Arial" w:hAnsi="Arial" w:cs="Arial"/>
                <w:sz w:val="18"/>
              </w:rPr>
              <w:t>an</w:t>
            </w:r>
            <w:proofErr w:type="gramEnd"/>
            <w:r w:rsidRPr="00024318">
              <w:rPr>
                <w:rFonts w:ascii="Arial" w:hAnsi="Arial" w:cs="Arial"/>
                <w:sz w:val="18"/>
              </w:rPr>
              <w:t xml:space="preserve"> LS to SA2 with recommendation to introduce eDRX, to check if there are any potential issues for RedCap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2.‎</w:t>
            </w:r>
            <w:r w:rsidRPr="00912C2A">
              <w:rPr>
                <w:rFonts w:ascii="Arial" w:eastAsia="SimSun" w:hAnsi="Arial" w:cs="Arial"/>
                <w:sz w:val="18"/>
                <w:szCs w:val="18"/>
                <w:lang w:eastAsia="zh-CN"/>
              </w:rPr>
              <w:tab/>
              <w:t>If Proposal 1 is agreed, this feature can follow similar approach as it was done for LTE ‎I-eDRX feature i.e. (1) upper layers configure eDRX, (2) when configured, eDRX value is used (instead of ‎the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For UEs in RRC_IDLE, to discuss whether to enable paging DRX cycles above 10.24 ‎sec similarly as it is done for LTE eDRX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8EE3B" w14:textId="77777777" w:rsidR="00456C15" w:rsidRDefault="00456C15">
      <w:r>
        <w:separator/>
      </w:r>
    </w:p>
  </w:endnote>
  <w:endnote w:type="continuationSeparator" w:id="0">
    <w:p w14:paraId="6FEA7941" w14:textId="77777777" w:rsidR="00456C15" w:rsidRDefault="0045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altName w:val="Cambria Math"/>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08479" w14:textId="77777777" w:rsidR="00456C15" w:rsidRDefault="00456C15">
      <w:r>
        <w:separator/>
      </w:r>
    </w:p>
  </w:footnote>
  <w:footnote w:type="continuationSeparator" w:id="0">
    <w:p w14:paraId="328DF474" w14:textId="77777777" w:rsidR="00456C15" w:rsidRDefault="0045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3984"/>
    <w:rsid w:val="00BF45B1"/>
    <w:rsid w:val="00BF6371"/>
    <w:rsid w:val="00BF668A"/>
    <w:rsid w:val="00BF7BFD"/>
    <w:rsid w:val="00C00C2E"/>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styleId="UnresolvedMention">
    <w:name w:val="Unresolved Mention"/>
    <w:basedOn w:val="DefaultParagraphFont"/>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3.xml><?xml version="1.0" encoding="utf-8"?>
<ds:datastoreItem xmlns:ds="http://schemas.openxmlformats.org/officeDocument/2006/customXml" ds:itemID="{9255E220-7E6F-4D54-9666-EF8D3214FA24}">
  <ds:schemaRefs>
    <ds:schemaRef ds:uri="http://schemas.openxmlformats.org/officeDocument/2006/bibliography"/>
  </ds:schemaRefs>
</ds:datastoreItem>
</file>

<file path=customXml/itemProps4.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2898</Words>
  <Characters>16525</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Maruthi Alamuri</cp:lastModifiedBy>
  <cp:revision>3</cp:revision>
  <cp:lastPrinted>1900-12-31T16:00:00Z</cp:lastPrinted>
  <dcterms:created xsi:type="dcterms:W3CDTF">2020-08-21T14:24:00Z</dcterms:created>
  <dcterms:modified xsi:type="dcterms:W3CDTF">2020-08-21T18:51:00Z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ies>
</file>