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7B8BAC95"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4B73E8">
        <w:rPr>
          <w:rFonts w:ascii="Arial" w:hAnsi="Arial" w:cs="Arial"/>
          <w:b/>
          <w:color w:val="000000"/>
          <w:kern w:val="2"/>
          <w:sz w:val="24"/>
          <w:lang w:val="en-US"/>
        </w:rPr>
        <w:t>1</w:t>
      </w:r>
      <w:r w:rsidR="0011251F">
        <w:rPr>
          <w:rFonts w:ascii="Arial" w:hAnsi="Arial" w:cs="Arial"/>
          <w:b/>
          <w:color w:val="000000"/>
          <w:kern w:val="2"/>
          <w:sz w:val="24"/>
          <w:lang w:val="en-US"/>
        </w:rPr>
        <w:t>1</w:t>
      </w:r>
      <w:r w:rsidR="004B73E8">
        <w:rPr>
          <w:rFonts w:ascii="Arial" w:hAnsi="Arial" w:cs="Arial"/>
          <w:b/>
          <w:color w:val="000000"/>
          <w:kern w:val="2"/>
          <w:sz w:val="24"/>
          <w:lang w:val="en-US"/>
        </w:rPr>
        <w:t>-e</w:t>
      </w:r>
      <w:r w:rsidRPr="00474D76">
        <w:rPr>
          <w:rFonts w:ascii="Arial" w:hAnsi="Arial" w:cs="Arial"/>
          <w:b/>
          <w:color w:val="000000"/>
          <w:kern w:val="2"/>
          <w:sz w:val="24"/>
          <w:lang w:val="en-US"/>
        </w:rPr>
        <w:tab/>
      </w:r>
      <w:r w:rsidR="00404D76" w:rsidRPr="00404D76">
        <w:rPr>
          <w:rFonts w:ascii="Arial" w:hAnsi="Arial" w:cs="Arial"/>
          <w:b/>
          <w:bCs/>
          <w:color w:val="000000"/>
          <w:kern w:val="2"/>
          <w:sz w:val="24"/>
        </w:rPr>
        <w:t>R2-2007958</w:t>
      </w:r>
    </w:p>
    <w:p w14:paraId="1EA6616C" w14:textId="0AB5C848"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Electronic, 1</w:t>
      </w:r>
      <w:r w:rsidR="0011251F">
        <w:rPr>
          <w:rFonts w:ascii="Arial" w:hAnsi="Arial" w:cs="Arial"/>
          <w:b/>
          <w:color w:val="000000"/>
          <w:kern w:val="2"/>
          <w:sz w:val="24"/>
          <w:lang w:val="en-US"/>
        </w:rPr>
        <w:t>7</w:t>
      </w:r>
      <w:r>
        <w:rPr>
          <w:rFonts w:ascii="Arial" w:hAnsi="Arial" w:cs="Arial"/>
          <w:b/>
          <w:color w:val="000000"/>
          <w:kern w:val="2"/>
          <w:sz w:val="24"/>
          <w:lang w:val="en-US"/>
        </w:rPr>
        <w:t xml:space="preserve"> </w:t>
      </w:r>
      <w:r w:rsidR="0011251F">
        <w:rPr>
          <w:rFonts w:ascii="Arial" w:hAnsi="Arial" w:cs="Arial"/>
          <w:b/>
          <w:color w:val="000000"/>
          <w:kern w:val="2"/>
          <w:sz w:val="24"/>
          <w:lang w:val="en-US"/>
        </w:rPr>
        <w:t>–</w:t>
      </w:r>
      <w:r>
        <w:rPr>
          <w:rFonts w:ascii="Arial" w:hAnsi="Arial" w:cs="Arial"/>
          <w:b/>
          <w:color w:val="000000"/>
          <w:kern w:val="2"/>
          <w:sz w:val="24"/>
          <w:lang w:val="en-US"/>
        </w:rPr>
        <w:t xml:space="preserve"> </w:t>
      </w:r>
      <w:r w:rsidR="0011251F">
        <w:rPr>
          <w:rFonts w:ascii="Arial" w:hAnsi="Arial" w:cs="Arial"/>
          <w:b/>
          <w:color w:val="000000"/>
          <w:kern w:val="2"/>
          <w:sz w:val="24"/>
          <w:lang w:val="en-US"/>
        </w:rPr>
        <w:t>28 August</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72D60B1"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A208B7">
        <w:rPr>
          <w:rFonts w:ascii="Arial" w:eastAsia="MS Mincho" w:hAnsi="Arial" w:cs="Arial"/>
          <w:b/>
          <w:bCs/>
          <w:sz w:val="24"/>
        </w:rPr>
        <w:t>5.3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13A7B35C"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208B7">
        <w:rPr>
          <w:rFonts w:ascii="Arial" w:hAnsi="Arial" w:cs="Arial"/>
          <w:b/>
          <w:bCs/>
          <w:sz w:val="24"/>
          <w:lang w:eastAsia="en-US"/>
        </w:rPr>
        <w:t>Uplink enhancements for controlled unlicensed operation</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3B5F467D" w:rsidR="00F623B5" w:rsidRDefault="00177D86" w:rsidP="00B45A76">
      <w:pPr>
        <w:spacing w:beforeLines="50" w:before="120" w:line="240" w:lineRule="auto"/>
        <w:jc w:val="left"/>
        <w:rPr>
          <w:sz w:val="20"/>
          <w:szCs w:val="18"/>
        </w:rPr>
      </w:pPr>
      <w:r>
        <w:rPr>
          <w:sz w:val="20"/>
          <w:szCs w:val="18"/>
        </w:rPr>
        <w:t xml:space="preserve">One of the objectives of the Rel-17 WI </w:t>
      </w:r>
      <w:r w:rsidR="00A208B7">
        <w:rPr>
          <w:sz w:val="20"/>
          <w:szCs w:val="18"/>
        </w:rPr>
        <w:t>on IIoT and URLLC enhancements</w:t>
      </w:r>
      <w:r>
        <w:rPr>
          <w:sz w:val="20"/>
          <w:szCs w:val="18"/>
        </w:rPr>
        <w:t xml:space="preserve"> [1] is </w:t>
      </w:r>
      <w:r w:rsidR="00A208B7">
        <w:rPr>
          <w:sz w:val="20"/>
          <w:szCs w:val="18"/>
        </w:rPr>
        <w:t>regarding uplink</w:t>
      </w:r>
      <w:r>
        <w:rPr>
          <w:sz w:val="20"/>
          <w:szCs w:val="18"/>
        </w:rPr>
        <w:t xml:space="preserve"> enhancements </w:t>
      </w:r>
      <w:r w:rsidR="00A208B7">
        <w:rPr>
          <w:sz w:val="20"/>
          <w:szCs w:val="18"/>
        </w:rPr>
        <w:t>for unlicensed operation as follows</w:t>
      </w:r>
      <w:r>
        <w:rPr>
          <w:sz w:val="20"/>
          <w:szCs w:val="18"/>
        </w:rPr>
        <w:t>:</w:t>
      </w:r>
    </w:p>
    <w:p w14:paraId="570F1ED9" w14:textId="77777777" w:rsidR="00A208B7" w:rsidRPr="00A208B7" w:rsidRDefault="00A208B7" w:rsidP="00A208B7">
      <w:pPr>
        <w:numPr>
          <w:ilvl w:val="0"/>
          <w:numId w:val="36"/>
        </w:numPr>
        <w:spacing w:beforeLines="50" w:before="120" w:line="240" w:lineRule="auto"/>
        <w:jc w:val="left"/>
        <w:rPr>
          <w:bCs/>
          <w:i/>
          <w:iCs/>
          <w:sz w:val="20"/>
          <w:szCs w:val="18"/>
          <w:lang w:val="en-US"/>
        </w:rPr>
      </w:pPr>
      <w:bookmarkStart w:id="1" w:name="_Hlk26864288"/>
      <w:r w:rsidRPr="00A208B7">
        <w:rPr>
          <w:bCs/>
          <w:i/>
          <w:iCs/>
          <w:sz w:val="20"/>
          <w:szCs w:val="18"/>
          <w:lang w:val="en-US"/>
        </w:rPr>
        <w:t>Uplink enhancements for URLLC in unlicensed controlled environments [RAN1, RAN2]:</w:t>
      </w:r>
    </w:p>
    <w:p w14:paraId="7A1F5F58" w14:textId="77777777" w:rsidR="00A208B7" w:rsidRPr="00A208B7" w:rsidRDefault="00A208B7" w:rsidP="00A208B7">
      <w:pPr>
        <w:numPr>
          <w:ilvl w:val="1"/>
          <w:numId w:val="36"/>
        </w:numPr>
        <w:spacing w:beforeLines="50" w:before="120" w:line="240" w:lineRule="auto"/>
        <w:jc w:val="left"/>
        <w:rPr>
          <w:bCs/>
          <w:i/>
          <w:iCs/>
          <w:sz w:val="20"/>
          <w:szCs w:val="18"/>
        </w:rPr>
      </w:pPr>
      <w:r w:rsidRPr="00A208B7">
        <w:rPr>
          <w:bCs/>
          <w:i/>
          <w:iCs/>
          <w:sz w:val="20"/>
          <w:szCs w:val="18"/>
        </w:rPr>
        <w:t xml:space="preserve"> </w:t>
      </w:r>
      <w:r w:rsidRPr="00A208B7">
        <w:rPr>
          <w:bCs/>
          <w:i/>
          <w:iCs/>
          <w:sz w:val="20"/>
          <w:szCs w:val="18"/>
          <w:lang w:val="en-US"/>
        </w:rPr>
        <w:t>Specify support for UE-initiated COT for FBE with minimum specification effort</w:t>
      </w:r>
    </w:p>
    <w:p w14:paraId="20999E1E" w14:textId="51200AF7" w:rsidR="00A208B7" w:rsidRPr="00A208B7" w:rsidRDefault="00A208B7" w:rsidP="00A208B7">
      <w:pPr>
        <w:numPr>
          <w:ilvl w:val="1"/>
          <w:numId w:val="36"/>
        </w:numPr>
        <w:spacing w:beforeLines="50" w:before="120" w:line="240" w:lineRule="auto"/>
        <w:jc w:val="left"/>
        <w:rPr>
          <w:bCs/>
          <w:i/>
          <w:iCs/>
          <w:sz w:val="20"/>
          <w:szCs w:val="18"/>
        </w:rPr>
      </w:pPr>
      <w:r w:rsidRPr="00A208B7">
        <w:rPr>
          <w:bCs/>
          <w:i/>
          <w:iCs/>
          <w:sz w:val="20"/>
          <w:szCs w:val="18"/>
        </w:rPr>
        <w:t xml:space="preserve"> </w:t>
      </w:r>
      <w:r w:rsidRPr="00A208B7">
        <w:rPr>
          <w:bCs/>
          <w:i/>
          <w:iCs/>
          <w:sz w:val="20"/>
          <w:szCs w:val="18"/>
          <w:lang w:val="en-US"/>
        </w:rPr>
        <w:t>Harmonizing UL configured-grant enhancements in NR-U and URLLC introduced in Rel-16 to be applicable for unlicensed spectrum</w:t>
      </w:r>
    </w:p>
    <w:p w14:paraId="5551929A" w14:textId="255D5179" w:rsidR="00A208B7" w:rsidRPr="00A208B7" w:rsidRDefault="00A208B7" w:rsidP="00A208B7">
      <w:pPr>
        <w:spacing w:beforeLines="50" w:before="120" w:line="240" w:lineRule="auto"/>
        <w:jc w:val="left"/>
        <w:rPr>
          <w:bCs/>
          <w:sz w:val="20"/>
          <w:szCs w:val="18"/>
        </w:rPr>
      </w:pPr>
      <w:r>
        <w:rPr>
          <w:bCs/>
          <w:sz w:val="20"/>
          <w:szCs w:val="18"/>
          <w:lang w:val="en-US"/>
        </w:rPr>
        <w:t xml:space="preserve">Another related objective of the WI is the following, which can benefit from enhancements suited for unlicensed operation: </w:t>
      </w:r>
    </w:p>
    <w:bookmarkEnd w:id="1"/>
    <w:p w14:paraId="412899AF" w14:textId="77777777" w:rsidR="00A208B7" w:rsidRPr="00A208B7" w:rsidRDefault="00A208B7" w:rsidP="00A208B7">
      <w:pPr>
        <w:numPr>
          <w:ilvl w:val="0"/>
          <w:numId w:val="36"/>
        </w:numPr>
        <w:spacing w:beforeLines="50" w:before="120" w:line="240" w:lineRule="auto"/>
        <w:jc w:val="left"/>
        <w:rPr>
          <w:bCs/>
          <w:i/>
          <w:iCs/>
          <w:sz w:val="20"/>
          <w:szCs w:val="18"/>
        </w:rPr>
      </w:pPr>
      <w:r w:rsidRPr="00A208B7">
        <w:rPr>
          <w:bCs/>
          <w:i/>
          <w:iCs/>
          <w:sz w:val="20"/>
          <w:szCs w:val="18"/>
        </w:rPr>
        <w:t xml:space="preserve">RAN enhancements based on new QoS related parameters if any, e.g. survival time, burst spread, decided in SA2. [RAN2, RAN3] </w:t>
      </w:r>
    </w:p>
    <w:p w14:paraId="13AA6171" w14:textId="3453B3EE" w:rsidR="00177D86" w:rsidRDefault="008343BD" w:rsidP="00B45A76">
      <w:pPr>
        <w:spacing w:beforeLines="50" w:before="120" w:line="240" w:lineRule="auto"/>
        <w:jc w:val="left"/>
        <w:rPr>
          <w:sz w:val="20"/>
          <w:szCs w:val="18"/>
        </w:rPr>
      </w:pPr>
      <w:r>
        <w:rPr>
          <w:sz w:val="20"/>
          <w:szCs w:val="18"/>
        </w:rPr>
        <w:t xml:space="preserve">In this contribution, we discuss </w:t>
      </w:r>
      <w:r w:rsidR="00A208B7">
        <w:rPr>
          <w:sz w:val="20"/>
          <w:szCs w:val="18"/>
        </w:rPr>
        <w:t>the issues related to the WI objectives above.</w:t>
      </w:r>
    </w:p>
    <w:p w14:paraId="73975FDE" w14:textId="17031119" w:rsidR="00970058" w:rsidRDefault="004B73E8" w:rsidP="00B45A76">
      <w:pPr>
        <w:pStyle w:val="Heading1"/>
        <w:numPr>
          <w:ilvl w:val="0"/>
          <w:numId w:val="3"/>
        </w:numPr>
        <w:jc w:val="left"/>
      </w:pPr>
      <w:r>
        <w:t>Discussion</w:t>
      </w:r>
      <w:r w:rsidR="00F84440">
        <w:t xml:space="preserve"> </w:t>
      </w:r>
    </w:p>
    <w:p w14:paraId="29BCC74E" w14:textId="0FA6535F" w:rsidR="003827BF" w:rsidRPr="00D03BF7" w:rsidRDefault="003827BF" w:rsidP="00D03BF7">
      <w:pPr>
        <w:jc w:val="left"/>
        <w:rPr>
          <w:rFonts w:eastAsia="Times New Roman"/>
          <w:sz w:val="20"/>
          <w:lang w:val="en-US" w:eastAsia="ja-JP"/>
        </w:rPr>
      </w:pPr>
      <w:r w:rsidRPr="00D03BF7">
        <w:rPr>
          <w:rFonts w:eastAsia="Times New Roman"/>
          <w:sz w:val="20"/>
          <w:lang w:val="en-US" w:eastAsia="ja-JP"/>
        </w:rPr>
        <w:t>The first objective quoted above is regarding the UE-initiated COT for FBE</w:t>
      </w:r>
      <w:r w:rsidR="00045F3D">
        <w:rPr>
          <w:rFonts w:eastAsia="Times New Roman"/>
          <w:sz w:val="20"/>
          <w:lang w:val="en-US" w:eastAsia="ja-JP"/>
        </w:rPr>
        <w:t xml:space="preserve"> operation,</w:t>
      </w:r>
      <w:r w:rsidRPr="00D03BF7">
        <w:rPr>
          <w:rFonts w:eastAsia="Times New Roman"/>
          <w:sz w:val="20"/>
          <w:lang w:val="en-US" w:eastAsia="ja-JP"/>
        </w:rPr>
        <w:t xml:space="preserve"> also called “semi-static” </w:t>
      </w:r>
      <w:r w:rsidR="00045F3D">
        <w:rPr>
          <w:rFonts w:eastAsia="Times New Roman"/>
          <w:sz w:val="20"/>
          <w:lang w:val="en-US" w:eastAsia="ja-JP"/>
        </w:rPr>
        <w:t xml:space="preserve">mode </w:t>
      </w:r>
      <w:r w:rsidRPr="00D03BF7">
        <w:rPr>
          <w:rFonts w:eastAsia="Times New Roman"/>
          <w:sz w:val="20"/>
          <w:lang w:val="en-US" w:eastAsia="ja-JP"/>
        </w:rPr>
        <w:t xml:space="preserve">in the specification. This </w:t>
      </w:r>
      <w:r w:rsidR="00045F3D">
        <w:rPr>
          <w:rFonts w:eastAsia="Times New Roman"/>
          <w:sz w:val="20"/>
          <w:lang w:val="en-US" w:eastAsia="ja-JP"/>
        </w:rPr>
        <w:t xml:space="preserve">objective mostly </w:t>
      </w:r>
      <w:r w:rsidRPr="00D03BF7">
        <w:rPr>
          <w:rFonts w:eastAsia="Times New Roman"/>
          <w:sz w:val="20"/>
          <w:lang w:val="en-US" w:eastAsia="ja-JP"/>
        </w:rPr>
        <w:t xml:space="preserve">concerns changes </w:t>
      </w:r>
      <w:r w:rsidR="00045F3D">
        <w:rPr>
          <w:rFonts w:eastAsia="Times New Roman"/>
          <w:sz w:val="20"/>
          <w:lang w:val="en-US" w:eastAsia="ja-JP"/>
        </w:rPr>
        <w:t>at</w:t>
      </w:r>
      <w:r w:rsidRPr="00D03BF7">
        <w:rPr>
          <w:rFonts w:eastAsia="Times New Roman"/>
          <w:sz w:val="20"/>
          <w:lang w:val="en-US" w:eastAsia="ja-JP"/>
        </w:rPr>
        <w:t xml:space="preserve"> the physical layer. Therefore, at the first step, RAN2 does not need </w:t>
      </w:r>
      <w:r w:rsidR="00045F3D">
        <w:rPr>
          <w:rFonts w:eastAsia="Times New Roman"/>
          <w:sz w:val="20"/>
          <w:lang w:val="en-US" w:eastAsia="ja-JP"/>
        </w:rPr>
        <w:t>be involved in the</w:t>
      </w:r>
      <w:r w:rsidRPr="00D03BF7">
        <w:rPr>
          <w:rFonts w:eastAsia="Times New Roman"/>
          <w:sz w:val="20"/>
          <w:lang w:val="en-US" w:eastAsia="ja-JP"/>
        </w:rPr>
        <w:t xml:space="preserve"> design. </w:t>
      </w:r>
      <w:r w:rsidR="00045F3D">
        <w:rPr>
          <w:rFonts w:eastAsia="Times New Roman"/>
          <w:sz w:val="20"/>
          <w:lang w:val="en-US" w:eastAsia="ja-JP"/>
        </w:rPr>
        <w:t>If the</w:t>
      </w:r>
      <w:r w:rsidRPr="00D03BF7">
        <w:rPr>
          <w:rFonts w:eastAsia="Times New Roman"/>
          <w:sz w:val="20"/>
          <w:lang w:val="en-US" w:eastAsia="ja-JP"/>
        </w:rPr>
        <w:t xml:space="preserve"> RAN1 design necessitate</w:t>
      </w:r>
      <w:r w:rsidR="00045F3D">
        <w:rPr>
          <w:rFonts w:eastAsia="Times New Roman"/>
          <w:sz w:val="20"/>
          <w:lang w:val="en-US" w:eastAsia="ja-JP"/>
        </w:rPr>
        <w:t>s</w:t>
      </w:r>
      <w:r w:rsidRPr="00D03BF7">
        <w:rPr>
          <w:rFonts w:eastAsia="Times New Roman"/>
          <w:sz w:val="20"/>
          <w:lang w:val="en-US" w:eastAsia="ja-JP"/>
        </w:rPr>
        <w:t xml:space="preserve"> some new upper layer signaling </w:t>
      </w:r>
      <w:r w:rsidR="00045F3D">
        <w:rPr>
          <w:rFonts w:eastAsia="Times New Roman"/>
          <w:sz w:val="20"/>
          <w:lang w:val="en-US" w:eastAsia="ja-JP"/>
        </w:rPr>
        <w:t>or changes, these</w:t>
      </w:r>
      <w:r w:rsidRPr="00D03BF7">
        <w:rPr>
          <w:rFonts w:eastAsia="Times New Roman"/>
          <w:sz w:val="20"/>
          <w:lang w:val="en-US" w:eastAsia="ja-JP"/>
        </w:rPr>
        <w:t xml:space="preserve"> can be handled based on </w:t>
      </w:r>
      <w:r w:rsidR="00045F3D">
        <w:rPr>
          <w:rFonts w:eastAsia="Times New Roman"/>
          <w:sz w:val="20"/>
          <w:lang w:val="en-US" w:eastAsia="ja-JP"/>
        </w:rPr>
        <w:t xml:space="preserve">further </w:t>
      </w:r>
      <w:r w:rsidRPr="00D03BF7">
        <w:rPr>
          <w:rFonts w:eastAsia="Times New Roman"/>
          <w:sz w:val="20"/>
          <w:lang w:val="en-US" w:eastAsia="ja-JP"/>
        </w:rPr>
        <w:t>input from RAN1.</w:t>
      </w:r>
    </w:p>
    <w:p w14:paraId="72D8DA4E" w14:textId="1C52C992" w:rsidR="00784868" w:rsidRPr="00D03BF7" w:rsidRDefault="00784868" w:rsidP="00D03BF7">
      <w:pPr>
        <w:jc w:val="left"/>
        <w:rPr>
          <w:rFonts w:eastAsia="Times New Roman"/>
          <w:b/>
          <w:bCs/>
          <w:sz w:val="20"/>
          <w:lang w:val="en-US" w:eastAsia="ja-JP"/>
        </w:rPr>
      </w:pPr>
      <w:r w:rsidRPr="00D03BF7">
        <w:rPr>
          <w:rFonts w:eastAsia="Times New Roman"/>
          <w:b/>
          <w:bCs/>
          <w:sz w:val="20"/>
          <w:lang w:val="en-US" w:eastAsia="ja-JP"/>
        </w:rPr>
        <w:t>Observation 1: RAN1 will design UE-initiated COT for FBE</w:t>
      </w:r>
      <w:r w:rsidR="00045F3D">
        <w:rPr>
          <w:rFonts w:eastAsia="Times New Roman"/>
          <w:b/>
          <w:bCs/>
          <w:sz w:val="20"/>
          <w:lang w:val="en-US" w:eastAsia="ja-JP"/>
        </w:rPr>
        <w:t xml:space="preserve"> operation</w:t>
      </w:r>
      <w:r w:rsidRPr="00D03BF7">
        <w:rPr>
          <w:rFonts w:eastAsia="Times New Roman"/>
          <w:b/>
          <w:bCs/>
          <w:sz w:val="20"/>
          <w:lang w:val="en-US" w:eastAsia="ja-JP"/>
        </w:rPr>
        <w:t xml:space="preserve">. RAN2 can be involved based on RAN1 request when needed. </w:t>
      </w:r>
    </w:p>
    <w:p w14:paraId="6ECA338C" w14:textId="3B412F2E" w:rsidR="003827BF" w:rsidRPr="00D03BF7" w:rsidRDefault="00CA7913" w:rsidP="00D03BF7">
      <w:pPr>
        <w:jc w:val="left"/>
        <w:rPr>
          <w:rFonts w:eastAsia="Times New Roman"/>
          <w:sz w:val="20"/>
          <w:lang w:val="en-US" w:eastAsia="ja-JP"/>
        </w:rPr>
      </w:pPr>
      <w:r w:rsidRPr="00D03BF7">
        <w:rPr>
          <w:rFonts w:eastAsia="Times New Roman"/>
          <w:sz w:val="20"/>
          <w:lang w:val="en-US" w:eastAsia="ja-JP"/>
        </w:rPr>
        <w:t xml:space="preserve">The second objective is for the harmonization of NR-U and URLLC CG enhancements </w:t>
      </w:r>
      <w:r w:rsidR="00045F3D">
        <w:rPr>
          <w:rFonts w:eastAsia="Times New Roman"/>
          <w:sz w:val="20"/>
          <w:lang w:val="en-US" w:eastAsia="ja-JP"/>
        </w:rPr>
        <w:t>that</w:t>
      </w:r>
      <w:r w:rsidRPr="00D03BF7">
        <w:rPr>
          <w:rFonts w:eastAsia="Times New Roman"/>
          <w:sz w:val="20"/>
          <w:lang w:val="en-US" w:eastAsia="ja-JP"/>
        </w:rPr>
        <w:t xml:space="preserve"> were introduced in Rel-16. </w:t>
      </w:r>
    </w:p>
    <w:p w14:paraId="4D4A12DB" w14:textId="64F7A5C2" w:rsidR="00CA7913" w:rsidRPr="00045F3D" w:rsidRDefault="00CA7913" w:rsidP="00D03BF7">
      <w:pPr>
        <w:jc w:val="left"/>
        <w:rPr>
          <w:rFonts w:eastAsia="Times New Roman"/>
          <w:i/>
          <w:iCs/>
          <w:sz w:val="20"/>
          <w:lang w:val="en-US" w:eastAsia="ja-JP"/>
        </w:rPr>
      </w:pPr>
      <w:r w:rsidRPr="00D03BF7">
        <w:rPr>
          <w:rFonts w:eastAsia="Times New Roman"/>
          <w:sz w:val="20"/>
          <w:lang w:val="en-US" w:eastAsia="ja-JP"/>
        </w:rPr>
        <w:t>The NR-U CG design in Rel-16 introduced UE based HARQ and RVID selection (and uplink signaling to carry that information</w:t>
      </w:r>
      <w:r w:rsidR="00045F3D">
        <w:rPr>
          <w:rFonts w:eastAsia="Times New Roman"/>
          <w:sz w:val="20"/>
          <w:lang w:val="en-US" w:eastAsia="ja-JP"/>
        </w:rPr>
        <w:t xml:space="preserve"> in UCI</w:t>
      </w:r>
      <w:r w:rsidRPr="00D03BF7">
        <w:rPr>
          <w:rFonts w:eastAsia="Times New Roman"/>
          <w:sz w:val="20"/>
          <w:lang w:val="en-US" w:eastAsia="ja-JP"/>
        </w:rPr>
        <w:t xml:space="preserve">), downlink feedback for packet decoding status carried in DFI, and autonomous retransmission when DFI is not received within a certain duration, controlled by the RRC configured parameter </w:t>
      </w:r>
      <w:r w:rsidRPr="00045F3D">
        <w:rPr>
          <w:rFonts w:eastAsia="Times New Roman"/>
          <w:i/>
          <w:iCs/>
          <w:sz w:val="20"/>
          <w:lang w:val="en-US" w:eastAsia="ja-JP"/>
        </w:rPr>
        <w:t xml:space="preserve">cg-RetransmissionTimer. </w:t>
      </w:r>
    </w:p>
    <w:p w14:paraId="52D05A7B" w14:textId="3548B4E5" w:rsidR="00CA7913" w:rsidRPr="00D03BF7" w:rsidRDefault="00CA7913" w:rsidP="00D03BF7">
      <w:pPr>
        <w:jc w:val="left"/>
        <w:rPr>
          <w:rFonts w:eastAsia="Times New Roman"/>
          <w:sz w:val="20"/>
          <w:lang w:val="en-US" w:eastAsia="ja-JP"/>
        </w:rPr>
      </w:pPr>
      <w:r w:rsidRPr="00D03BF7">
        <w:rPr>
          <w:rFonts w:eastAsia="Times New Roman"/>
          <w:sz w:val="20"/>
          <w:lang w:val="en-US" w:eastAsia="ja-JP"/>
        </w:rPr>
        <w:t xml:space="preserve">These enhancements to NR-U CG are not applicable to NR operation in licensed spectrum in Rel-16. It is feasible to extend the same functionality to licensed operation. The RAN2 impact is quite minimal and only requires removing the resctriction in RRC and allowing </w:t>
      </w:r>
      <w:r w:rsidRPr="00045F3D">
        <w:rPr>
          <w:rFonts w:eastAsia="Times New Roman"/>
          <w:i/>
          <w:iCs/>
          <w:sz w:val="20"/>
          <w:lang w:val="en-US" w:eastAsia="ja-JP"/>
        </w:rPr>
        <w:t>cg-RetransmissionTimer</w:t>
      </w:r>
      <w:r w:rsidRPr="00D03BF7">
        <w:rPr>
          <w:rFonts w:eastAsia="Times New Roman"/>
          <w:sz w:val="20"/>
          <w:lang w:val="en-US" w:eastAsia="ja-JP"/>
        </w:rPr>
        <w:t xml:space="preserve"> to be configured for licensed operation. In fact, all the different procedural text in MAC</w:t>
      </w:r>
      <w:r w:rsidR="00206C9D" w:rsidRPr="00D03BF7">
        <w:rPr>
          <w:rFonts w:eastAsia="Times New Roman"/>
          <w:sz w:val="20"/>
          <w:lang w:val="en-US" w:eastAsia="ja-JP"/>
        </w:rPr>
        <w:t xml:space="preserve"> for the NR-U</w:t>
      </w:r>
      <w:r w:rsidRPr="00D03BF7">
        <w:rPr>
          <w:rFonts w:eastAsia="Times New Roman"/>
          <w:sz w:val="20"/>
          <w:lang w:val="en-US" w:eastAsia="ja-JP"/>
        </w:rPr>
        <w:t xml:space="preserve"> </w:t>
      </w:r>
      <w:r w:rsidR="00045F3D">
        <w:rPr>
          <w:rFonts w:eastAsia="Times New Roman"/>
          <w:sz w:val="20"/>
          <w:lang w:val="en-US" w:eastAsia="ja-JP"/>
        </w:rPr>
        <w:t xml:space="preserve">CG </w:t>
      </w:r>
      <w:r w:rsidRPr="00D03BF7">
        <w:rPr>
          <w:rFonts w:eastAsia="Times New Roman"/>
          <w:sz w:val="20"/>
          <w:lang w:val="en-US" w:eastAsia="ja-JP"/>
        </w:rPr>
        <w:t>is controlled</w:t>
      </w:r>
      <w:r w:rsidR="00206C9D" w:rsidRPr="00D03BF7">
        <w:rPr>
          <w:rFonts w:eastAsia="Times New Roman"/>
          <w:sz w:val="20"/>
          <w:lang w:val="en-US" w:eastAsia="ja-JP"/>
        </w:rPr>
        <w:t xml:space="preserve"> by the </w:t>
      </w:r>
      <w:r w:rsidR="00045F3D">
        <w:rPr>
          <w:rFonts w:eastAsia="Times New Roman"/>
          <w:sz w:val="20"/>
          <w:lang w:val="en-US" w:eastAsia="ja-JP"/>
        </w:rPr>
        <w:t xml:space="preserve">configuration </w:t>
      </w:r>
      <w:r w:rsidR="00206C9D" w:rsidRPr="00D03BF7">
        <w:rPr>
          <w:rFonts w:eastAsia="Times New Roman"/>
          <w:sz w:val="20"/>
          <w:lang w:val="en-US" w:eastAsia="ja-JP"/>
        </w:rPr>
        <w:t>of this single parameter.</w:t>
      </w:r>
    </w:p>
    <w:p w14:paraId="3B0D3813" w14:textId="51DCFEAF" w:rsidR="00CA7913" w:rsidRPr="00D03BF7" w:rsidRDefault="00206C9D" w:rsidP="00D03BF7">
      <w:pPr>
        <w:jc w:val="left"/>
        <w:rPr>
          <w:rFonts w:eastAsia="Times New Roman"/>
          <w:sz w:val="20"/>
          <w:lang w:val="en-US" w:eastAsia="ja-JP"/>
        </w:rPr>
      </w:pPr>
      <w:r w:rsidRPr="00D03BF7">
        <w:rPr>
          <w:rFonts w:eastAsia="Times New Roman"/>
          <w:sz w:val="20"/>
          <w:lang w:val="en-US" w:eastAsia="ja-JP"/>
        </w:rPr>
        <w:t>On the other hand</w:t>
      </w:r>
      <w:r w:rsidR="00CA7913" w:rsidRPr="00D03BF7">
        <w:rPr>
          <w:rFonts w:eastAsia="Times New Roman"/>
          <w:sz w:val="20"/>
          <w:lang w:val="en-US" w:eastAsia="ja-JP"/>
        </w:rPr>
        <w:t xml:space="preserve">, the physical layer impact </w:t>
      </w:r>
      <w:r w:rsidR="00045F3D">
        <w:rPr>
          <w:rFonts w:eastAsia="Times New Roman"/>
          <w:sz w:val="20"/>
          <w:lang w:val="en-US" w:eastAsia="ja-JP"/>
        </w:rPr>
        <w:t xml:space="preserve">can be </w:t>
      </w:r>
      <w:r w:rsidR="00CA7913" w:rsidRPr="00D03BF7">
        <w:rPr>
          <w:rFonts w:eastAsia="Times New Roman"/>
          <w:sz w:val="20"/>
          <w:lang w:val="en-US" w:eastAsia="ja-JP"/>
        </w:rPr>
        <w:t>much more</w:t>
      </w:r>
      <w:r w:rsidR="00045F3D">
        <w:rPr>
          <w:rFonts w:eastAsia="Times New Roman"/>
          <w:sz w:val="20"/>
          <w:lang w:val="en-US" w:eastAsia="ja-JP"/>
        </w:rPr>
        <w:t xml:space="preserve"> substantial</w:t>
      </w:r>
      <w:r w:rsidR="00CA7913" w:rsidRPr="00D03BF7">
        <w:rPr>
          <w:rFonts w:eastAsia="Times New Roman"/>
          <w:sz w:val="20"/>
          <w:lang w:val="en-US" w:eastAsia="ja-JP"/>
        </w:rPr>
        <w:t xml:space="preserve"> and </w:t>
      </w:r>
      <w:r w:rsidR="00045F3D">
        <w:rPr>
          <w:rFonts w:eastAsia="Times New Roman"/>
          <w:sz w:val="20"/>
          <w:lang w:val="en-US" w:eastAsia="ja-JP"/>
        </w:rPr>
        <w:t xml:space="preserve">requires </w:t>
      </w:r>
      <w:r w:rsidR="00CA7913" w:rsidRPr="00D03BF7">
        <w:rPr>
          <w:rFonts w:eastAsia="Times New Roman"/>
          <w:sz w:val="20"/>
          <w:lang w:val="en-US" w:eastAsia="ja-JP"/>
        </w:rPr>
        <w:t xml:space="preserve">the introduction </w:t>
      </w:r>
      <w:r w:rsidRPr="00D03BF7">
        <w:rPr>
          <w:rFonts w:eastAsia="Times New Roman"/>
          <w:sz w:val="20"/>
          <w:lang w:val="en-US" w:eastAsia="ja-JP"/>
        </w:rPr>
        <w:t>of similar UCI and DFI information</w:t>
      </w:r>
      <w:r w:rsidR="00045F3D">
        <w:rPr>
          <w:rFonts w:eastAsia="Times New Roman"/>
          <w:sz w:val="20"/>
          <w:lang w:val="en-US" w:eastAsia="ja-JP"/>
        </w:rPr>
        <w:t xml:space="preserve"> and PHY procedures</w:t>
      </w:r>
      <w:r w:rsidRPr="00D03BF7">
        <w:rPr>
          <w:rFonts w:eastAsia="Times New Roman"/>
          <w:sz w:val="20"/>
          <w:lang w:val="en-US" w:eastAsia="ja-JP"/>
        </w:rPr>
        <w:t>. Therefore, due to the amount of more work needed in RAN1, this decision can be left to RAN1.</w:t>
      </w:r>
    </w:p>
    <w:p w14:paraId="58C05782" w14:textId="6FE4C336" w:rsidR="00206C9D" w:rsidRPr="00D03BF7" w:rsidRDefault="00206C9D" w:rsidP="00D03BF7">
      <w:pPr>
        <w:jc w:val="left"/>
        <w:rPr>
          <w:b/>
          <w:bCs/>
          <w:sz w:val="20"/>
        </w:rPr>
      </w:pPr>
      <w:r w:rsidRPr="00D03BF7">
        <w:rPr>
          <w:b/>
          <w:bCs/>
          <w:sz w:val="20"/>
        </w:rPr>
        <w:t>Observation 2: The extension of Rel-16 NR-U CG to licensed operation requires minimal changes in RAN2 specifications while it can require more work in RAN1.</w:t>
      </w:r>
    </w:p>
    <w:p w14:paraId="3621DF89" w14:textId="4C222F52" w:rsidR="00206C9D" w:rsidRPr="00D03BF7" w:rsidRDefault="00206C9D" w:rsidP="00D03BF7">
      <w:pPr>
        <w:jc w:val="left"/>
        <w:rPr>
          <w:b/>
          <w:bCs/>
          <w:sz w:val="20"/>
        </w:rPr>
      </w:pPr>
      <w:r w:rsidRPr="00D03BF7">
        <w:rPr>
          <w:b/>
          <w:bCs/>
          <w:sz w:val="20"/>
        </w:rPr>
        <w:lastRenderedPageBreak/>
        <w:t>Proposal 1: The decision to extend Rel-16 NR-U CG enhancements to NR licensed can be left</w:t>
      </w:r>
      <w:r w:rsidR="00045F3D">
        <w:rPr>
          <w:b/>
          <w:bCs/>
          <w:sz w:val="20"/>
        </w:rPr>
        <w:t xml:space="preserve"> up</w:t>
      </w:r>
      <w:r w:rsidRPr="00D03BF7">
        <w:rPr>
          <w:b/>
          <w:bCs/>
          <w:sz w:val="20"/>
        </w:rPr>
        <w:t xml:space="preserve"> to RAN1.</w:t>
      </w:r>
    </w:p>
    <w:p w14:paraId="334D7AF8" w14:textId="70AF4F6D" w:rsidR="003E798B" w:rsidRDefault="00D03BF7" w:rsidP="00D03BF7">
      <w:pPr>
        <w:jc w:val="left"/>
        <w:rPr>
          <w:sz w:val="20"/>
        </w:rPr>
      </w:pPr>
      <w:r w:rsidRPr="00D03BF7">
        <w:rPr>
          <w:sz w:val="20"/>
        </w:rPr>
        <w:t>On the Rel-16 URLLC side, the main enhancement to CG was the introduction of so-called Type</w:t>
      </w:r>
      <w:r w:rsidR="003E798B">
        <w:rPr>
          <w:sz w:val="20"/>
        </w:rPr>
        <w:t xml:space="preserve"> A and Type </w:t>
      </w:r>
      <w:r w:rsidRPr="00D03BF7">
        <w:rPr>
          <w:sz w:val="20"/>
        </w:rPr>
        <w:t>B PUSCH repetition</w:t>
      </w:r>
      <w:r w:rsidR="003E798B">
        <w:rPr>
          <w:sz w:val="20"/>
        </w:rPr>
        <w:t xml:space="preserve">s. These can be supported also for NR-U and RAN1 can do the necessary design changes. From RAN2 perspective, one input could be regarding the </w:t>
      </w:r>
      <w:r w:rsidR="00545800">
        <w:rPr>
          <w:sz w:val="20"/>
        </w:rPr>
        <w:t xml:space="preserve">HARQ and </w:t>
      </w:r>
      <w:r w:rsidR="003E798B">
        <w:rPr>
          <w:sz w:val="20"/>
        </w:rPr>
        <w:t>RVID selection. In Rel-16</w:t>
      </w:r>
      <w:r w:rsidR="00545800">
        <w:rPr>
          <w:sz w:val="20"/>
        </w:rPr>
        <w:t xml:space="preserve"> NR-U CG, these are left to the UE implementation. The same can also be a</w:t>
      </w:r>
      <w:r w:rsidR="00045F3D">
        <w:rPr>
          <w:sz w:val="20"/>
        </w:rPr>
        <w:t xml:space="preserve">pplicable </w:t>
      </w:r>
      <w:r w:rsidR="00545800">
        <w:rPr>
          <w:sz w:val="20"/>
        </w:rPr>
        <w:t>here.</w:t>
      </w:r>
      <w:r w:rsidR="000413CB">
        <w:rPr>
          <w:sz w:val="20"/>
        </w:rPr>
        <w:t xml:space="preserve"> There doesn’t seem to be any other upper layer impact of concern to RAN2.</w:t>
      </w:r>
    </w:p>
    <w:p w14:paraId="0A6E7909" w14:textId="031E4A1F" w:rsidR="00545800" w:rsidRDefault="00545800" w:rsidP="00D03BF7">
      <w:pPr>
        <w:jc w:val="left"/>
        <w:rPr>
          <w:b/>
          <w:bCs/>
          <w:sz w:val="20"/>
        </w:rPr>
      </w:pPr>
      <w:r w:rsidRPr="00545800">
        <w:rPr>
          <w:b/>
          <w:bCs/>
          <w:sz w:val="20"/>
        </w:rPr>
        <w:t>Observation 3:</w:t>
      </w:r>
      <w:r>
        <w:rPr>
          <w:b/>
          <w:bCs/>
          <w:sz w:val="20"/>
        </w:rPr>
        <w:t xml:space="preserve"> </w:t>
      </w:r>
      <w:r w:rsidR="000413CB">
        <w:rPr>
          <w:b/>
          <w:bCs/>
          <w:sz w:val="20"/>
        </w:rPr>
        <w:t>The changes needed to support Type A and Type B PUSCH repetition at the PHY layer</w:t>
      </w:r>
      <w:r w:rsidR="00045F3D">
        <w:rPr>
          <w:b/>
          <w:bCs/>
          <w:sz w:val="20"/>
        </w:rPr>
        <w:t xml:space="preserve"> for NR-U</w:t>
      </w:r>
      <w:r w:rsidR="000413CB">
        <w:rPr>
          <w:b/>
          <w:bCs/>
          <w:sz w:val="20"/>
        </w:rPr>
        <w:t xml:space="preserve"> will be done by RAN1.</w:t>
      </w:r>
    </w:p>
    <w:p w14:paraId="1B231405" w14:textId="308E8E66" w:rsidR="003402DA" w:rsidRDefault="000413CB" w:rsidP="000413CB">
      <w:pPr>
        <w:jc w:val="left"/>
        <w:rPr>
          <w:b/>
          <w:bCs/>
          <w:sz w:val="20"/>
        </w:rPr>
      </w:pPr>
      <w:r w:rsidRPr="000413CB">
        <w:rPr>
          <w:b/>
          <w:bCs/>
          <w:sz w:val="20"/>
        </w:rPr>
        <w:t>Proposal 2: From RAN2 point of view, Rel-16 Type and Type B PUSCH repetition</w:t>
      </w:r>
      <w:r w:rsidR="00045F3D">
        <w:rPr>
          <w:b/>
          <w:bCs/>
          <w:sz w:val="20"/>
        </w:rPr>
        <w:t xml:space="preserve"> to CG</w:t>
      </w:r>
      <w:r w:rsidRPr="000413CB">
        <w:rPr>
          <w:b/>
          <w:bCs/>
          <w:sz w:val="20"/>
        </w:rPr>
        <w:t xml:space="preserve"> can be supported</w:t>
      </w:r>
      <w:r w:rsidR="00045F3D">
        <w:rPr>
          <w:b/>
          <w:bCs/>
          <w:sz w:val="20"/>
        </w:rPr>
        <w:t xml:space="preserve"> for NR-U</w:t>
      </w:r>
      <w:r w:rsidRPr="000413CB">
        <w:rPr>
          <w:b/>
          <w:bCs/>
          <w:sz w:val="20"/>
        </w:rPr>
        <w:t xml:space="preserve">. </w:t>
      </w:r>
    </w:p>
    <w:p w14:paraId="0E9A7217" w14:textId="29F1E5A7" w:rsidR="000413CB" w:rsidRPr="000413CB" w:rsidRDefault="003402DA" w:rsidP="000413CB">
      <w:pPr>
        <w:jc w:val="left"/>
        <w:rPr>
          <w:b/>
          <w:bCs/>
          <w:sz w:val="20"/>
        </w:rPr>
      </w:pPr>
      <w:r>
        <w:rPr>
          <w:b/>
          <w:bCs/>
          <w:sz w:val="20"/>
        </w:rPr>
        <w:t>Proposal</w:t>
      </w:r>
      <w:r w:rsidR="000B42C0">
        <w:rPr>
          <w:b/>
          <w:bCs/>
          <w:sz w:val="20"/>
        </w:rPr>
        <w:t xml:space="preserve"> </w:t>
      </w:r>
      <w:r>
        <w:rPr>
          <w:b/>
          <w:bCs/>
          <w:sz w:val="20"/>
        </w:rPr>
        <w:t xml:space="preserve">3 : </w:t>
      </w:r>
      <w:r w:rsidR="000413CB" w:rsidRPr="000413CB">
        <w:rPr>
          <w:b/>
          <w:bCs/>
          <w:sz w:val="20"/>
        </w:rPr>
        <w:t>As in Rel-16 NR-U CG, the selection of HARQ ID and RVID for each repetition is left to the UE implementation</w:t>
      </w:r>
      <w:r w:rsidR="00045F3D">
        <w:rPr>
          <w:b/>
          <w:bCs/>
          <w:sz w:val="20"/>
        </w:rPr>
        <w:t xml:space="preserve"> for Type A and Type B CG repetition </w:t>
      </w:r>
      <w:r w:rsidR="000413CB" w:rsidRPr="000413CB">
        <w:rPr>
          <w:b/>
          <w:bCs/>
          <w:sz w:val="20"/>
        </w:rPr>
        <w:t>.</w:t>
      </w:r>
    </w:p>
    <w:p w14:paraId="2A251F6B" w14:textId="3B213767" w:rsidR="00206C9D" w:rsidRDefault="00BD6DD1" w:rsidP="00D03BF7">
      <w:pPr>
        <w:jc w:val="left"/>
        <w:rPr>
          <w:bCs/>
          <w:sz w:val="20"/>
          <w:szCs w:val="18"/>
        </w:rPr>
      </w:pPr>
      <w:r w:rsidRPr="00384D7D">
        <w:rPr>
          <w:sz w:val="20"/>
        </w:rPr>
        <w:t xml:space="preserve">The </w:t>
      </w:r>
      <w:r w:rsidR="00384D7D">
        <w:rPr>
          <w:sz w:val="20"/>
        </w:rPr>
        <w:t>last objective of the WI is “</w:t>
      </w:r>
      <w:r w:rsidR="00384D7D" w:rsidRPr="00A208B7">
        <w:rPr>
          <w:bCs/>
          <w:i/>
          <w:iCs/>
          <w:sz w:val="20"/>
          <w:szCs w:val="18"/>
        </w:rPr>
        <w:t>enhancements based on new QoS related parameters if any, e.g. survival time, burst spread</w:t>
      </w:r>
      <w:r w:rsidR="00384D7D">
        <w:rPr>
          <w:bCs/>
          <w:i/>
          <w:iCs/>
          <w:sz w:val="20"/>
          <w:szCs w:val="18"/>
        </w:rPr>
        <w:t>”</w:t>
      </w:r>
      <w:r w:rsidR="00384D7D">
        <w:rPr>
          <w:bCs/>
          <w:sz w:val="20"/>
          <w:szCs w:val="18"/>
        </w:rPr>
        <w:t>. The survival time, as the name implies, is quite critical for IIoT operation where the successive packet losses can cause catastrophic events. For shared spectrum, the control of such packet losses becomes more difficult due to interference from other nodes and technologies which can’t be coordinated in most instances.</w:t>
      </w:r>
      <w:r w:rsidR="00E916D8">
        <w:rPr>
          <w:bCs/>
          <w:sz w:val="20"/>
          <w:szCs w:val="18"/>
        </w:rPr>
        <w:t xml:space="preserve"> Therefore, new mechanisms are needed to improve the reliability and survival time in shared spectrum.</w:t>
      </w:r>
    </w:p>
    <w:p w14:paraId="0457428A" w14:textId="7D83A0E4" w:rsidR="00E916D8" w:rsidRPr="00E916D8" w:rsidRDefault="00E916D8" w:rsidP="00D03BF7">
      <w:pPr>
        <w:jc w:val="left"/>
        <w:rPr>
          <w:b/>
          <w:sz w:val="20"/>
          <w:szCs w:val="18"/>
        </w:rPr>
      </w:pPr>
      <w:r w:rsidRPr="00E916D8">
        <w:rPr>
          <w:b/>
          <w:sz w:val="20"/>
          <w:szCs w:val="18"/>
        </w:rPr>
        <w:t>Observation 4:</w:t>
      </w:r>
      <w:r>
        <w:rPr>
          <w:b/>
          <w:sz w:val="20"/>
          <w:szCs w:val="18"/>
        </w:rPr>
        <w:t xml:space="preserve"> Due to uncontrolled interference in shared spectrum, successive packet losses can occur more often which disrupts the survival time.</w:t>
      </w:r>
    </w:p>
    <w:p w14:paraId="42899A88" w14:textId="2BE6523B" w:rsidR="00384D7D" w:rsidRDefault="00795935" w:rsidP="00D03BF7">
      <w:pPr>
        <w:jc w:val="left"/>
        <w:rPr>
          <w:bCs/>
          <w:sz w:val="20"/>
          <w:szCs w:val="18"/>
        </w:rPr>
      </w:pPr>
      <w:r>
        <w:rPr>
          <w:bCs/>
          <w:sz w:val="20"/>
          <w:szCs w:val="18"/>
        </w:rPr>
        <w:t xml:space="preserve">Rel-16 NR-U design follows Rel-15 NR licensed </w:t>
      </w:r>
      <w:r w:rsidR="006C052E">
        <w:rPr>
          <w:bCs/>
          <w:sz w:val="20"/>
          <w:szCs w:val="18"/>
        </w:rPr>
        <w:t>closely in terms of configuration of frequency domain resources. In NR-U, the UE is also configured with serving cells and BWPs in each cell. Different from licensed, an LBT operation happens before transmissions at the physical layer</w:t>
      </w:r>
      <w:r w:rsidR="00045F3D">
        <w:rPr>
          <w:bCs/>
          <w:sz w:val="20"/>
          <w:szCs w:val="18"/>
        </w:rPr>
        <w:t xml:space="preserve">. The </w:t>
      </w:r>
      <w:r w:rsidR="006C052E">
        <w:rPr>
          <w:bCs/>
          <w:sz w:val="20"/>
          <w:szCs w:val="18"/>
        </w:rPr>
        <w:t xml:space="preserve">frequency granularity of this operation RB set is 20Mhz in Rel-16. </w:t>
      </w:r>
    </w:p>
    <w:p w14:paraId="04798DB8" w14:textId="75E8F76B" w:rsidR="00384D7D" w:rsidRDefault="005E4E15" w:rsidP="00D03BF7">
      <w:pPr>
        <w:jc w:val="left"/>
        <w:rPr>
          <w:rFonts w:eastAsia="Times New Roman"/>
          <w:sz w:val="20"/>
          <w:lang w:val="en-US" w:eastAsia="ja-JP"/>
        </w:rPr>
      </w:pPr>
      <w:r>
        <w:rPr>
          <w:rFonts w:eastAsia="Times New Roman"/>
          <w:sz w:val="20"/>
          <w:lang w:val="en-US" w:eastAsia="ja-JP"/>
        </w:rPr>
        <w:t xml:space="preserve">If the gNB or UE attempts to make a transmission and LBT fails, this </w:t>
      </w:r>
      <w:r w:rsidR="00045F3D">
        <w:rPr>
          <w:rFonts w:eastAsia="Times New Roman"/>
          <w:sz w:val="20"/>
          <w:lang w:val="en-US" w:eastAsia="ja-JP"/>
        </w:rPr>
        <w:t>will be considered as a packet loss at that time instance</w:t>
      </w:r>
      <w:r>
        <w:rPr>
          <w:rFonts w:eastAsia="Times New Roman"/>
          <w:sz w:val="20"/>
          <w:lang w:val="en-US" w:eastAsia="ja-JP"/>
        </w:rPr>
        <w:t>. The transmitting node can try the next time opportunities</w:t>
      </w:r>
      <w:r w:rsidR="00045F3D">
        <w:rPr>
          <w:rFonts w:eastAsia="Times New Roman"/>
          <w:sz w:val="20"/>
          <w:lang w:val="en-US" w:eastAsia="ja-JP"/>
        </w:rPr>
        <w:t xml:space="preserve"> if available</w:t>
      </w:r>
      <w:r>
        <w:rPr>
          <w:rFonts w:eastAsia="Times New Roman"/>
          <w:sz w:val="20"/>
          <w:lang w:val="en-US" w:eastAsia="ja-JP"/>
        </w:rPr>
        <w:t>. If this is a retransmission, the transmitting node will have to stay on the same frequency location (BWP).</w:t>
      </w:r>
    </w:p>
    <w:p w14:paraId="41A0A298" w14:textId="41B5ECD2" w:rsidR="005E4E15" w:rsidRPr="00384D7D" w:rsidRDefault="005E4E15" w:rsidP="00D03BF7">
      <w:pPr>
        <w:jc w:val="left"/>
        <w:rPr>
          <w:rFonts w:eastAsia="Times New Roman"/>
          <w:sz w:val="20"/>
          <w:lang w:val="en-US" w:eastAsia="ja-JP"/>
        </w:rPr>
      </w:pPr>
      <w:r>
        <w:rPr>
          <w:rFonts w:eastAsia="Times New Roman"/>
          <w:sz w:val="20"/>
          <w:lang w:val="en-US" w:eastAsia="ja-JP"/>
        </w:rPr>
        <w:t xml:space="preserve">When interference happens in shared spectrum, it can impact multiple transmission attempts in time (for example when the interfering node is also NR-U or WiFi). However, there is no fast mechanism for the transmitter and receiver </w:t>
      </w:r>
      <w:r w:rsidR="00045F3D">
        <w:rPr>
          <w:rFonts w:eastAsia="Times New Roman"/>
          <w:sz w:val="20"/>
          <w:lang w:val="en-US" w:eastAsia="ja-JP"/>
        </w:rPr>
        <w:t>concurrently m</w:t>
      </w:r>
      <w:r>
        <w:rPr>
          <w:rFonts w:eastAsia="Times New Roman"/>
          <w:sz w:val="20"/>
          <w:lang w:val="en-US" w:eastAsia="ja-JP"/>
        </w:rPr>
        <w:t>ove to a different frequency location</w:t>
      </w:r>
      <w:r w:rsidR="00045F3D">
        <w:rPr>
          <w:rFonts w:eastAsia="Times New Roman"/>
          <w:sz w:val="20"/>
          <w:lang w:val="en-US" w:eastAsia="ja-JP"/>
        </w:rPr>
        <w:t xml:space="preserve"> where interference could be less. In fact, </w:t>
      </w:r>
      <w:r>
        <w:rPr>
          <w:rFonts w:eastAsia="Times New Roman"/>
          <w:sz w:val="20"/>
          <w:lang w:val="en-US" w:eastAsia="ja-JP"/>
        </w:rPr>
        <w:t xml:space="preserve">Rel-15 procedures of SCell activation/deactivation or BWP change </w:t>
      </w:r>
      <w:r w:rsidR="00045F3D">
        <w:rPr>
          <w:rFonts w:eastAsia="Times New Roman"/>
          <w:sz w:val="20"/>
          <w:lang w:val="en-US" w:eastAsia="ja-JP"/>
        </w:rPr>
        <w:t>are the only available ways</w:t>
      </w:r>
      <w:r>
        <w:rPr>
          <w:rFonts w:eastAsia="Times New Roman"/>
          <w:sz w:val="20"/>
          <w:lang w:val="en-US" w:eastAsia="ja-JP"/>
        </w:rPr>
        <w:t>.</w:t>
      </w:r>
    </w:p>
    <w:p w14:paraId="117E52F0" w14:textId="0E3E0BA1" w:rsidR="004321E9" w:rsidRPr="00D03BF7" w:rsidRDefault="004321E9" w:rsidP="00D03BF7">
      <w:pPr>
        <w:jc w:val="left"/>
        <w:rPr>
          <w:rFonts w:eastAsia="Times New Roman"/>
          <w:b/>
          <w:bCs/>
          <w:sz w:val="20"/>
          <w:lang w:val="en-US" w:eastAsia="ja-JP"/>
        </w:rPr>
      </w:pPr>
      <w:r w:rsidRPr="00D03BF7">
        <w:rPr>
          <w:rFonts w:eastAsia="Times New Roman"/>
          <w:b/>
          <w:bCs/>
          <w:sz w:val="20"/>
          <w:lang w:val="en-US" w:eastAsia="ja-JP"/>
        </w:rPr>
        <w:t>Observation</w:t>
      </w:r>
      <w:r w:rsidR="000B42C0">
        <w:rPr>
          <w:rFonts w:eastAsia="Times New Roman"/>
          <w:b/>
          <w:bCs/>
          <w:sz w:val="20"/>
          <w:lang w:val="en-US" w:eastAsia="ja-JP"/>
        </w:rPr>
        <w:t xml:space="preserve"> 5:</w:t>
      </w:r>
      <w:r w:rsidRPr="00D03BF7">
        <w:rPr>
          <w:rFonts w:eastAsia="Times New Roman"/>
          <w:b/>
          <w:bCs/>
          <w:sz w:val="20"/>
          <w:lang w:val="en-US" w:eastAsia="ja-JP"/>
        </w:rPr>
        <w:t xml:space="preserve"> When LBT fails, allowing transmission of packets in a different frequency location with different LBT </w:t>
      </w:r>
      <w:r w:rsidR="000B42C0">
        <w:rPr>
          <w:rFonts w:eastAsia="Times New Roman"/>
          <w:b/>
          <w:bCs/>
          <w:sz w:val="20"/>
          <w:lang w:val="en-US" w:eastAsia="ja-JP"/>
        </w:rPr>
        <w:t xml:space="preserve">can </w:t>
      </w:r>
      <w:r w:rsidRPr="00D03BF7">
        <w:rPr>
          <w:rFonts w:eastAsia="Times New Roman"/>
          <w:b/>
          <w:bCs/>
          <w:sz w:val="20"/>
          <w:lang w:val="en-US" w:eastAsia="ja-JP"/>
        </w:rPr>
        <w:t>improve reliability by providing LBT diversity.</w:t>
      </w:r>
    </w:p>
    <w:p w14:paraId="1FD78345" w14:textId="6891C155" w:rsidR="004321E9" w:rsidRPr="00D03BF7" w:rsidRDefault="004321E9" w:rsidP="00D03BF7">
      <w:pPr>
        <w:jc w:val="left"/>
        <w:rPr>
          <w:rFonts w:eastAsia="Times New Roman"/>
          <w:b/>
          <w:bCs/>
          <w:sz w:val="20"/>
          <w:lang w:val="en-US" w:eastAsia="ja-JP"/>
        </w:rPr>
      </w:pPr>
      <w:r w:rsidRPr="00D03BF7">
        <w:rPr>
          <w:rFonts w:eastAsia="Times New Roman"/>
          <w:b/>
          <w:bCs/>
          <w:sz w:val="20"/>
          <w:lang w:val="en-US" w:eastAsia="ja-JP"/>
        </w:rPr>
        <w:t>Observation</w:t>
      </w:r>
      <w:r w:rsidR="000B42C0">
        <w:rPr>
          <w:rFonts w:eastAsia="Times New Roman"/>
          <w:b/>
          <w:bCs/>
          <w:sz w:val="20"/>
          <w:lang w:val="en-US" w:eastAsia="ja-JP"/>
        </w:rPr>
        <w:t xml:space="preserve"> 6</w:t>
      </w:r>
      <w:r w:rsidRPr="00D03BF7">
        <w:rPr>
          <w:rFonts w:eastAsia="Times New Roman"/>
          <w:b/>
          <w:bCs/>
          <w:sz w:val="20"/>
          <w:lang w:val="en-US" w:eastAsia="ja-JP"/>
        </w:rPr>
        <w:t xml:space="preserve">: Fast switching to a different frequency location by the UE and gNB </w:t>
      </w:r>
      <w:r w:rsidR="00A539FD">
        <w:rPr>
          <w:rFonts w:eastAsia="Times New Roman"/>
          <w:b/>
          <w:bCs/>
          <w:sz w:val="20"/>
          <w:lang w:val="en-US" w:eastAsia="ja-JP"/>
        </w:rPr>
        <w:t xml:space="preserve">concurrently </w:t>
      </w:r>
      <w:r w:rsidRPr="00D03BF7">
        <w:rPr>
          <w:rFonts w:eastAsia="Times New Roman"/>
          <w:b/>
          <w:bCs/>
          <w:sz w:val="20"/>
          <w:lang w:val="en-US" w:eastAsia="ja-JP"/>
        </w:rPr>
        <w:t>will provide faster reaction to LBT failures.</w:t>
      </w:r>
    </w:p>
    <w:p w14:paraId="44DC2E3C" w14:textId="40181D14" w:rsidR="004321E9" w:rsidRPr="00D03BF7" w:rsidRDefault="004321E9" w:rsidP="00D03BF7">
      <w:pPr>
        <w:jc w:val="left"/>
        <w:rPr>
          <w:rFonts w:eastAsia="Times New Roman"/>
          <w:b/>
          <w:bCs/>
          <w:sz w:val="20"/>
          <w:lang w:val="en-US" w:eastAsia="ja-JP"/>
        </w:rPr>
      </w:pPr>
      <w:r w:rsidRPr="00D03BF7">
        <w:rPr>
          <w:rFonts w:eastAsia="Times New Roman"/>
          <w:b/>
          <w:bCs/>
          <w:sz w:val="20"/>
          <w:lang w:val="en-US" w:eastAsia="ja-JP"/>
        </w:rPr>
        <w:t>Proposal</w:t>
      </w:r>
      <w:r w:rsidR="000B42C0">
        <w:rPr>
          <w:rFonts w:eastAsia="Times New Roman"/>
          <w:b/>
          <w:bCs/>
          <w:sz w:val="20"/>
          <w:lang w:val="en-US" w:eastAsia="ja-JP"/>
        </w:rPr>
        <w:t xml:space="preserve"> 4</w:t>
      </w:r>
      <w:r w:rsidRPr="00D03BF7">
        <w:rPr>
          <w:rFonts w:eastAsia="Times New Roman"/>
          <w:b/>
          <w:bCs/>
          <w:sz w:val="20"/>
          <w:lang w:val="en-US" w:eastAsia="ja-JP"/>
        </w:rPr>
        <w:t xml:space="preserve">: RAN2 to consider mechanisms to support </w:t>
      </w:r>
      <w:r w:rsidR="00A539FD">
        <w:rPr>
          <w:rFonts w:eastAsia="Times New Roman"/>
          <w:b/>
          <w:bCs/>
          <w:sz w:val="20"/>
          <w:lang w:val="en-US" w:eastAsia="ja-JP"/>
        </w:rPr>
        <w:t xml:space="preserve">fast </w:t>
      </w:r>
      <w:r w:rsidRPr="00D03BF7">
        <w:rPr>
          <w:rFonts w:eastAsia="Times New Roman"/>
          <w:b/>
          <w:bCs/>
          <w:sz w:val="20"/>
          <w:lang w:val="en-US" w:eastAsia="ja-JP"/>
        </w:rPr>
        <w:t xml:space="preserve">switching </w:t>
      </w:r>
      <w:r w:rsidR="00A539FD">
        <w:rPr>
          <w:rFonts w:eastAsia="Times New Roman"/>
          <w:b/>
          <w:bCs/>
          <w:sz w:val="20"/>
          <w:lang w:val="en-US" w:eastAsia="ja-JP"/>
        </w:rPr>
        <w:t>to a</w:t>
      </w:r>
      <w:r w:rsidRPr="00D03BF7">
        <w:rPr>
          <w:rFonts w:eastAsia="Times New Roman"/>
          <w:b/>
          <w:bCs/>
          <w:sz w:val="20"/>
          <w:lang w:val="en-US" w:eastAsia="ja-JP"/>
        </w:rPr>
        <w:t xml:space="preserve"> different frequency locations (BWP or cell) when LBT fails in the existing frequency location.</w:t>
      </w:r>
    </w:p>
    <w:p w14:paraId="0DF654D2" w14:textId="61FF970C" w:rsidR="000D7539" w:rsidRPr="000B42C0" w:rsidRDefault="000B42C0" w:rsidP="00D03BF7">
      <w:pPr>
        <w:jc w:val="left"/>
        <w:rPr>
          <w:rFonts w:eastAsia="Times New Roman"/>
          <w:b/>
          <w:bCs/>
          <w:sz w:val="20"/>
          <w:lang w:val="en-US" w:eastAsia="ja-JP"/>
        </w:rPr>
      </w:pPr>
      <w:r>
        <w:rPr>
          <w:rFonts w:eastAsia="Times New Roman"/>
          <w:sz w:val="20"/>
          <w:lang w:val="en-US" w:eastAsia="ja-JP"/>
        </w:rPr>
        <w:t xml:space="preserve">Another possible enhancement to improve the packet transmission success and thus survival time is by providing more diversity for the transmissions. </w:t>
      </w:r>
      <w:r w:rsidR="00A539FD">
        <w:rPr>
          <w:rFonts w:eastAsia="Times New Roman"/>
          <w:sz w:val="20"/>
          <w:lang w:val="en-US" w:eastAsia="ja-JP"/>
        </w:rPr>
        <w:t>At upper layers</w:t>
      </w:r>
      <w:r w:rsidR="000D7539" w:rsidRPr="00D03BF7">
        <w:rPr>
          <w:rFonts w:eastAsia="Times New Roman"/>
          <w:sz w:val="20"/>
          <w:lang w:val="en-US" w:eastAsia="ja-JP"/>
        </w:rPr>
        <w:t xml:space="preserve">, the mechanism used </w:t>
      </w:r>
      <w:r>
        <w:rPr>
          <w:rFonts w:eastAsia="Times New Roman"/>
          <w:sz w:val="20"/>
          <w:lang w:val="en-US" w:eastAsia="ja-JP"/>
        </w:rPr>
        <w:t xml:space="preserve">for this purpose </w:t>
      </w:r>
      <w:r w:rsidR="000D7539" w:rsidRPr="00D03BF7">
        <w:rPr>
          <w:rFonts w:eastAsia="Times New Roman"/>
          <w:sz w:val="20"/>
          <w:lang w:val="en-US" w:eastAsia="ja-JP"/>
        </w:rPr>
        <w:t>has been “PDCP duplication” which was introduced in Rel-15 and enhanced in Rel-16 for the IIoT use case.</w:t>
      </w:r>
    </w:p>
    <w:p w14:paraId="42B2B9BE" w14:textId="386BCE7B" w:rsidR="000B42C0" w:rsidRDefault="00DB7447" w:rsidP="00D03BF7">
      <w:pPr>
        <w:jc w:val="left"/>
        <w:rPr>
          <w:rFonts w:eastAsia="Times New Roman"/>
          <w:sz w:val="20"/>
          <w:lang w:val="en-US" w:eastAsia="ja-JP"/>
        </w:rPr>
      </w:pPr>
      <w:r>
        <w:rPr>
          <w:rFonts w:eastAsia="Times New Roman"/>
          <w:sz w:val="20"/>
          <w:lang w:val="en-US" w:eastAsia="ja-JP"/>
        </w:rPr>
        <w:t xml:space="preserve">In both Rel-15 and Rel-16, PDCP duplication is configured by RRC and </w:t>
      </w:r>
      <w:r w:rsidR="00A539FD">
        <w:rPr>
          <w:rFonts w:eastAsia="Times New Roman"/>
          <w:sz w:val="20"/>
          <w:lang w:val="en-US" w:eastAsia="ja-JP"/>
        </w:rPr>
        <w:t>activated or deactivated</w:t>
      </w:r>
      <w:r>
        <w:rPr>
          <w:rFonts w:eastAsia="Times New Roman"/>
          <w:sz w:val="20"/>
          <w:lang w:val="en-US" w:eastAsia="ja-JP"/>
        </w:rPr>
        <w:t xml:space="preserve"> via MAC CE. Rel-16 also provides selection of different RLC </w:t>
      </w:r>
      <w:r w:rsidR="00A539FD">
        <w:rPr>
          <w:rFonts w:eastAsia="Times New Roman"/>
          <w:sz w:val="20"/>
          <w:lang w:val="en-US" w:eastAsia="ja-JP"/>
        </w:rPr>
        <w:t xml:space="preserve">entities </w:t>
      </w:r>
      <w:r>
        <w:rPr>
          <w:rFonts w:eastAsia="Times New Roman"/>
          <w:sz w:val="20"/>
          <w:lang w:val="en-US" w:eastAsia="ja-JP"/>
        </w:rPr>
        <w:t>(so-called “legs”) which is again determined by the gNB and controlled via MAC CE.</w:t>
      </w:r>
    </w:p>
    <w:p w14:paraId="269F2A25" w14:textId="77777777" w:rsidR="00C52096" w:rsidRPr="00EF1FAA" w:rsidRDefault="00C52096" w:rsidP="00C52096">
      <w:pPr>
        <w:jc w:val="left"/>
        <w:rPr>
          <w:rFonts w:eastAsia="Times New Roman"/>
          <w:sz w:val="20"/>
          <w:lang w:val="en-US" w:eastAsia="ja-JP"/>
        </w:rPr>
      </w:pPr>
      <w:r w:rsidRPr="00EF1FAA">
        <w:rPr>
          <w:rFonts w:eastAsia="Times New Roman"/>
          <w:sz w:val="20"/>
          <w:lang w:val="en-US" w:eastAsia="ja-JP"/>
        </w:rPr>
        <w:t>There are several shortcomings of Rel-16 solution:</w:t>
      </w:r>
    </w:p>
    <w:p w14:paraId="43209EBD" w14:textId="77777777" w:rsidR="00C52096" w:rsidRPr="00D03BF7" w:rsidRDefault="00C52096" w:rsidP="00C52096">
      <w:pPr>
        <w:pStyle w:val="ListParagraph"/>
        <w:numPr>
          <w:ilvl w:val="0"/>
          <w:numId w:val="36"/>
        </w:numPr>
        <w:jc w:val="left"/>
        <w:rPr>
          <w:rFonts w:eastAsia="Times New Roman"/>
          <w:sz w:val="20"/>
          <w:lang w:val="en-US" w:eastAsia="ja-JP"/>
        </w:rPr>
      </w:pPr>
      <w:r w:rsidRPr="00D03BF7">
        <w:rPr>
          <w:rFonts w:eastAsia="Times New Roman"/>
          <w:sz w:val="20"/>
          <w:lang w:val="en-US" w:eastAsia="ja-JP"/>
        </w:rPr>
        <w:t>The reaction time to dynamic changes on uplink is much slower.</w:t>
      </w:r>
    </w:p>
    <w:p w14:paraId="55769592" w14:textId="77777777" w:rsidR="00C52096" w:rsidRPr="00D03BF7" w:rsidRDefault="00C52096" w:rsidP="00C52096">
      <w:pPr>
        <w:pStyle w:val="ListParagraph"/>
        <w:numPr>
          <w:ilvl w:val="1"/>
          <w:numId w:val="41"/>
        </w:numPr>
        <w:jc w:val="left"/>
        <w:rPr>
          <w:rFonts w:eastAsia="Times New Roman"/>
          <w:sz w:val="20"/>
          <w:lang w:val="en-US" w:eastAsia="ja-JP"/>
        </w:rPr>
      </w:pPr>
      <w:r w:rsidRPr="00D03BF7">
        <w:rPr>
          <w:rFonts w:eastAsia="Times New Roman"/>
          <w:sz w:val="20"/>
          <w:lang w:val="en-US" w:eastAsia="ja-JP"/>
        </w:rPr>
        <w:lastRenderedPageBreak/>
        <w:t>Such changes also include LBT failures for NR-U</w:t>
      </w:r>
    </w:p>
    <w:p w14:paraId="4154E4DF" w14:textId="2DEA1961" w:rsidR="00C52096" w:rsidRPr="00D03BF7" w:rsidRDefault="00C52096" w:rsidP="00C52096">
      <w:pPr>
        <w:pStyle w:val="ListParagraph"/>
        <w:numPr>
          <w:ilvl w:val="0"/>
          <w:numId w:val="36"/>
        </w:numPr>
        <w:jc w:val="left"/>
        <w:rPr>
          <w:rFonts w:eastAsia="Times New Roman"/>
          <w:sz w:val="20"/>
          <w:lang w:val="en-US" w:eastAsia="ja-JP"/>
        </w:rPr>
      </w:pPr>
      <w:r w:rsidRPr="00D03BF7">
        <w:rPr>
          <w:rFonts w:eastAsia="Times New Roman"/>
          <w:sz w:val="20"/>
          <w:lang w:val="en-US" w:eastAsia="ja-JP"/>
        </w:rPr>
        <w:t xml:space="preserve">For DC, since there is no standardized coordination between MN and SN, </w:t>
      </w:r>
      <w:r>
        <w:rPr>
          <w:rFonts w:eastAsia="Times New Roman"/>
          <w:sz w:val="20"/>
          <w:lang w:val="en-US" w:eastAsia="ja-JP"/>
        </w:rPr>
        <w:t>which can cause</w:t>
      </w:r>
      <w:r w:rsidRPr="00D03BF7">
        <w:rPr>
          <w:rFonts w:eastAsia="Times New Roman"/>
          <w:sz w:val="20"/>
          <w:lang w:val="en-US" w:eastAsia="ja-JP"/>
        </w:rPr>
        <w:t xml:space="preserve"> conflicting activation</w:t>
      </w:r>
      <w:r>
        <w:rPr>
          <w:rFonts w:eastAsia="Times New Roman"/>
          <w:sz w:val="20"/>
          <w:lang w:val="en-US" w:eastAsia="ja-JP"/>
        </w:rPr>
        <w:t>s of legs which may not be feasible for the UE</w:t>
      </w:r>
    </w:p>
    <w:p w14:paraId="635B3201" w14:textId="47116CB9" w:rsidR="00DB7447" w:rsidRDefault="00C52096" w:rsidP="00D03BF7">
      <w:pPr>
        <w:jc w:val="left"/>
        <w:rPr>
          <w:rFonts w:eastAsia="Times New Roman"/>
          <w:sz w:val="20"/>
          <w:lang w:val="en-US" w:eastAsia="ja-JP"/>
        </w:rPr>
      </w:pPr>
      <w:r>
        <w:rPr>
          <w:rFonts w:eastAsia="Times New Roman"/>
          <w:sz w:val="20"/>
          <w:lang w:val="en-US" w:eastAsia="ja-JP"/>
        </w:rPr>
        <w:t xml:space="preserve">The shared spectrum brings even more challenges where, as mentioned above, the channel conditions and interefence are not predictable and controllable. </w:t>
      </w:r>
      <w:r w:rsidR="008A1B5C">
        <w:rPr>
          <w:rFonts w:eastAsia="Times New Roman"/>
          <w:sz w:val="20"/>
          <w:lang w:val="en-US" w:eastAsia="ja-JP"/>
        </w:rPr>
        <w:t xml:space="preserve">On the uplink side, the UE can experience LBT failures but will report this to the gNB only after they happen consistently. This will be very slow, </w:t>
      </w:r>
      <w:r w:rsidR="00A539FD">
        <w:rPr>
          <w:rFonts w:eastAsia="Times New Roman"/>
          <w:sz w:val="20"/>
          <w:lang w:val="en-US" w:eastAsia="ja-JP"/>
        </w:rPr>
        <w:t xml:space="preserve">will </w:t>
      </w:r>
      <w:r w:rsidR="008A1B5C">
        <w:rPr>
          <w:rFonts w:eastAsia="Times New Roman"/>
          <w:sz w:val="20"/>
          <w:lang w:val="en-US" w:eastAsia="ja-JP"/>
        </w:rPr>
        <w:t>not provide quick recovery, and potentially cause the loss of survial time. However, since the UE is aware of the LBT failure</w:t>
      </w:r>
      <w:r w:rsidR="00A539FD">
        <w:rPr>
          <w:rFonts w:eastAsia="Times New Roman"/>
          <w:sz w:val="20"/>
          <w:lang w:val="en-US" w:eastAsia="ja-JP"/>
        </w:rPr>
        <w:t>s</w:t>
      </w:r>
      <w:r w:rsidR="008A1B5C">
        <w:rPr>
          <w:rFonts w:eastAsia="Times New Roman"/>
          <w:sz w:val="20"/>
          <w:lang w:val="en-US" w:eastAsia="ja-JP"/>
        </w:rPr>
        <w:t xml:space="preserve"> and interference, it can react much faster, for example it is allowed more freedom in the operation of PDCP duplication.</w:t>
      </w:r>
    </w:p>
    <w:p w14:paraId="0F3729AB" w14:textId="1141FA69" w:rsidR="008A1B5C" w:rsidRDefault="008A1B5C" w:rsidP="00D03BF7">
      <w:pPr>
        <w:jc w:val="left"/>
        <w:rPr>
          <w:rFonts w:eastAsia="Times New Roman"/>
          <w:b/>
          <w:bCs/>
          <w:sz w:val="20"/>
          <w:lang w:val="en-US" w:eastAsia="ja-JP"/>
        </w:rPr>
      </w:pPr>
      <w:r w:rsidRPr="008A1B5C">
        <w:rPr>
          <w:rFonts w:eastAsia="Times New Roman"/>
          <w:b/>
          <w:bCs/>
          <w:sz w:val="20"/>
          <w:lang w:val="en-US" w:eastAsia="ja-JP"/>
        </w:rPr>
        <w:t xml:space="preserve">Observation 7: </w:t>
      </w:r>
      <w:r>
        <w:rPr>
          <w:rFonts w:eastAsia="Times New Roman"/>
          <w:b/>
          <w:bCs/>
          <w:sz w:val="20"/>
          <w:lang w:val="en-US" w:eastAsia="ja-JP"/>
        </w:rPr>
        <w:t xml:space="preserve">Rel-15/Rel-16 PDCP duplication is not efficient for where </w:t>
      </w:r>
      <w:r w:rsidR="009A4AC7">
        <w:rPr>
          <w:rFonts w:eastAsia="Times New Roman"/>
          <w:b/>
          <w:bCs/>
          <w:sz w:val="20"/>
          <w:lang w:val="en-US" w:eastAsia="ja-JP"/>
        </w:rPr>
        <w:t xml:space="preserve">channel conditions and interference are less predictable. </w:t>
      </w:r>
    </w:p>
    <w:p w14:paraId="2B303DCD" w14:textId="660AD948" w:rsidR="009A4AC7" w:rsidRDefault="009A4AC7" w:rsidP="00D03BF7">
      <w:pPr>
        <w:jc w:val="left"/>
        <w:rPr>
          <w:rFonts w:eastAsia="Times New Roman"/>
          <w:b/>
          <w:bCs/>
          <w:sz w:val="20"/>
          <w:lang w:val="en-US" w:eastAsia="ja-JP"/>
        </w:rPr>
      </w:pPr>
      <w:r>
        <w:rPr>
          <w:rFonts w:eastAsia="Times New Roman"/>
          <w:b/>
          <w:bCs/>
          <w:sz w:val="20"/>
          <w:lang w:val="en-US" w:eastAsia="ja-JP"/>
        </w:rPr>
        <w:t>Observation 8: Rel-16 PDCP duplication in DC case can also cause selection of legs which are not feasible for the UE.</w:t>
      </w:r>
    </w:p>
    <w:p w14:paraId="08FE5AFC" w14:textId="00FE13CA" w:rsidR="00BD3AF3" w:rsidRPr="00EF1FAA" w:rsidRDefault="006167E8" w:rsidP="00D03BF7">
      <w:pPr>
        <w:jc w:val="left"/>
        <w:rPr>
          <w:rFonts w:eastAsia="Times New Roman"/>
          <w:sz w:val="20"/>
          <w:lang w:val="en-US" w:eastAsia="ja-JP"/>
        </w:rPr>
      </w:pPr>
      <w:bookmarkStart w:id="2" w:name="_Hlk47620830"/>
      <w:r>
        <w:rPr>
          <w:rFonts w:eastAsia="Times New Roman"/>
          <w:sz w:val="20"/>
          <w:lang w:val="en-US" w:eastAsia="ja-JP"/>
        </w:rPr>
        <w:t xml:space="preserve">A </w:t>
      </w:r>
      <w:r w:rsidR="00EF1FAA" w:rsidRPr="00EF1FAA">
        <w:rPr>
          <w:rFonts w:eastAsia="Times New Roman"/>
          <w:sz w:val="20"/>
          <w:lang w:val="en-US" w:eastAsia="ja-JP"/>
        </w:rPr>
        <w:t xml:space="preserve">UE-assisted leg selection </w:t>
      </w:r>
      <w:bookmarkEnd w:id="2"/>
      <w:r w:rsidR="00EF1FAA" w:rsidRPr="00EF1FAA">
        <w:rPr>
          <w:rFonts w:eastAsia="Times New Roman"/>
          <w:sz w:val="20"/>
          <w:lang w:val="en-US" w:eastAsia="ja-JP"/>
        </w:rPr>
        <w:t>or autonomous activation/deactivation</w:t>
      </w:r>
      <w:r w:rsidR="0020644E" w:rsidRPr="00D03BF7">
        <w:rPr>
          <w:rFonts w:eastAsia="Times New Roman"/>
          <w:sz w:val="20"/>
          <w:lang w:val="en-US" w:eastAsia="ja-JP"/>
        </w:rPr>
        <w:t xml:space="preserve"> </w:t>
      </w:r>
      <w:r>
        <w:rPr>
          <w:rFonts w:eastAsia="Times New Roman"/>
          <w:sz w:val="20"/>
          <w:lang w:val="en-US" w:eastAsia="ja-JP"/>
        </w:rPr>
        <w:t xml:space="preserve">of PDCP duplication </w:t>
      </w:r>
      <w:r w:rsidR="0020644E" w:rsidRPr="00D03BF7">
        <w:rPr>
          <w:rFonts w:eastAsia="Times New Roman"/>
          <w:sz w:val="20"/>
          <w:lang w:val="en-US" w:eastAsia="ja-JP"/>
        </w:rPr>
        <w:t xml:space="preserve">can solve the above shortcomings. </w:t>
      </w:r>
      <w:r>
        <w:rPr>
          <w:rFonts w:eastAsia="Times New Roman"/>
          <w:sz w:val="20"/>
          <w:lang w:val="en-US" w:eastAsia="ja-JP"/>
        </w:rPr>
        <w:t xml:space="preserve">For example, the UE can make these decisions based on LBT outcomes, dynamic </w:t>
      </w:r>
      <w:r w:rsidR="00BD3AF3" w:rsidRPr="00EF1FAA">
        <w:rPr>
          <w:rFonts w:eastAsia="Times New Roman"/>
          <w:sz w:val="20"/>
          <w:lang w:val="en-US" w:eastAsia="ja-JP"/>
        </w:rPr>
        <w:t>channel</w:t>
      </w:r>
      <w:r>
        <w:rPr>
          <w:rFonts w:eastAsia="Times New Roman"/>
          <w:sz w:val="20"/>
          <w:lang w:val="en-US" w:eastAsia="ja-JP"/>
        </w:rPr>
        <w:t xml:space="preserve"> and b</w:t>
      </w:r>
      <w:r w:rsidR="00BD3AF3" w:rsidRPr="00EF1FAA">
        <w:rPr>
          <w:rFonts w:eastAsia="Times New Roman"/>
          <w:sz w:val="20"/>
          <w:lang w:val="en-US" w:eastAsia="ja-JP"/>
        </w:rPr>
        <w:t>eam</w:t>
      </w:r>
      <w:r>
        <w:rPr>
          <w:rFonts w:eastAsia="Times New Roman"/>
          <w:sz w:val="20"/>
          <w:lang w:val="en-US" w:eastAsia="ja-JP"/>
        </w:rPr>
        <w:t xml:space="preserve"> conditions, and </w:t>
      </w:r>
      <w:r w:rsidR="00BD3AF3" w:rsidRPr="00EF1FAA">
        <w:rPr>
          <w:rFonts w:eastAsia="Times New Roman"/>
          <w:sz w:val="20"/>
          <w:lang w:val="en-US" w:eastAsia="ja-JP"/>
        </w:rPr>
        <w:t>power headroom changes when sharing across carriers in headroom limited scenarios</w:t>
      </w:r>
      <w:r w:rsidR="00BD3AF3" w:rsidRPr="00D03BF7">
        <w:rPr>
          <w:rFonts w:eastAsia="Times New Roman"/>
          <w:sz w:val="20"/>
          <w:lang w:val="en-US" w:eastAsia="ja-JP"/>
        </w:rPr>
        <w:t xml:space="preserve">. </w:t>
      </w:r>
    </w:p>
    <w:p w14:paraId="4290CFD9" w14:textId="476997E8" w:rsidR="0020644E" w:rsidRPr="00EF1FAA" w:rsidRDefault="0020644E" w:rsidP="00D03BF7">
      <w:pPr>
        <w:jc w:val="left"/>
        <w:rPr>
          <w:rFonts w:eastAsia="Times New Roman"/>
          <w:b/>
          <w:bCs/>
          <w:sz w:val="20"/>
          <w:lang w:val="en-US" w:eastAsia="ja-JP"/>
        </w:rPr>
      </w:pPr>
      <w:r w:rsidRPr="00D03BF7">
        <w:rPr>
          <w:rFonts w:eastAsia="Times New Roman"/>
          <w:b/>
          <w:bCs/>
          <w:sz w:val="20"/>
          <w:lang w:val="en-US" w:eastAsia="ja-JP"/>
        </w:rPr>
        <w:t>Proposal</w:t>
      </w:r>
      <w:r w:rsidR="009A4AC7">
        <w:rPr>
          <w:rFonts w:eastAsia="Times New Roman"/>
          <w:b/>
          <w:bCs/>
          <w:sz w:val="20"/>
          <w:lang w:val="en-US" w:eastAsia="ja-JP"/>
        </w:rPr>
        <w:t xml:space="preserve"> 5</w:t>
      </w:r>
      <w:r w:rsidRPr="00D03BF7">
        <w:rPr>
          <w:rFonts w:eastAsia="Times New Roman"/>
          <w:b/>
          <w:bCs/>
          <w:sz w:val="20"/>
          <w:lang w:val="en-US" w:eastAsia="ja-JP"/>
        </w:rPr>
        <w:t xml:space="preserve">: RAN2 to consider </w:t>
      </w:r>
      <w:r w:rsidR="009A4AC7">
        <w:rPr>
          <w:rFonts w:eastAsia="Times New Roman"/>
          <w:b/>
          <w:bCs/>
          <w:sz w:val="20"/>
          <w:lang w:val="en-US" w:eastAsia="ja-JP"/>
        </w:rPr>
        <w:t>enhancements to PDCP duplication which can allow</w:t>
      </w:r>
      <w:r w:rsidR="00045F3D">
        <w:rPr>
          <w:rFonts w:eastAsia="Times New Roman"/>
          <w:b/>
          <w:bCs/>
          <w:sz w:val="20"/>
          <w:lang w:val="en-US" w:eastAsia="ja-JP"/>
        </w:rPr>
        <w:t xml:space="preserve"> more</w:t>
      </w:r>
      <w:r w:rsidR="009A4AC7">
        <w:rPr>
          <w:rFonts w:eastAsia="Times New Roman"/>
          <w:b/>
          <w:bCs/>
          <w:sz w:val="20"/>
          <w:lang w:val="en-US" w:eastAsia="ja-JP"/>
        </w:rPr>
        <w:t xml:space="preserve"> </w:t>
      </w:r>
      <w:r w:rsidR="006167E8">
        <w:rPr>
          <w:rFonts w:eastAsia="Times New Roman"/>
          <w:b/>
          <w:bCs/>
          <w:sz w:val="20"/>
          <w:lang w:val="en-US" w:eastAsia="ja-JP"/>
        </w:rPr>
        <w:t>UE freedom</w:t>
      </w:r>
      <w:r w:rsidR="00045F3D">
        <w:rPr>
          <w:rFonts w:eastAsia="Times New Roman"/>
          <w:b/>
          <w:bCs/>
          <w:sz w:val="20"/>
          <w:lang w:val="en-US" w:eastAsia="ja-JP"/>
        </w:rPr>
        <w:t xml:space="preserve"> in PDCP duplication operation such </w:t>
      </w:r>
      <w:r w:rsidR="00A539FD">
        <w:rPr>
          <w:rFonts w:eastAsia="Times New Roman"/>
          <w:b/>
          <w:bCs/>
          <w:sz w:val="20"/>
          <w:lang w:val="en-US" w:eastAsia="ja-JP"/>
        </w:rPr>
        <w:t xml:space="preserve">as </w:t>
      </w:r>
      <w:r w:rsidR="00045F3D">
        <w:rPr>
          <w:rFonts w:eastAsia="Times New Roman"/>
          <w:b/>
          <w:bCs/>
          <w:sz w:val="20"/>
          <w:lang w:val="en-US" w:eastAsia="ja-JP"/>
        </w:rPr>
        <w:t>selection of the configured duplication legs</w:t>
      </w:r>
      <w:r w:rsidR="009A4AC7">
        <w:rPr>
          <w:rFonts w:eastAsia="Times New Roman"/>
          <w:b/>
          <w:bCs/>
          <w:sz w:val="20"/>
          <w:lang w:val="en-US" w:eastAsia="ja-JP"/>
        </w:rPr>
        <w:t xml:space="preserve"> </w:t>
      </w:r>
      <w:r w:rsidR="00A539FD">
        <w:rPr>
          <w:rFonts w:eastAsia="Times New Roman"/>
          <w:b/>
          <w:bCs/>
          <w:sz w:val="20"/>
          <w:lang w:val="en-US" w:eastAsia="ja-JP"/>
        </w:rPr>
        <w:t>and/</w:t>
      </w:r>
      <w:r w:rsidR="00045F3D">
        <w:rPr>
          <w:rFonts w:eastAsia="Times New Roman"/>
          <w:b/>
          <w:bCs/>
          <w:sz w:val="20"/>
          <w:lang w:val="en-US" w:eastAsia="ja-JP"/>
        </w:rPr>
        <w:t>or activation of duplication dynamically.</w:t>
      </w:r>
    </w:p>
    <w:p w14:paraId="661B2F06" w14:textId="68257006" w:rsidR="005D529E" w:rsidRDefault="005D529E" w:rsidP="005D529E">
      <w:pPr>
        <w:pStyle w:val="Heading1"/>
        <w:numPr>
          <w:ilvl w:val="0"/>
          <w:numId w:val="3"/>
        </w:numPr>
        <w:jc w:val="left"/>
      </w:pPr>
      <w:bookmarkStart w:id="3" w:name="_GoBack"/>
      <w:bookmarkEnd w:id="3"/>
      <w:r>
        <w:t>Conclusion</w:t>
      </w:r>
    </w:p>
    <w:p w14:paraId="7EAF9219" w14:textId="00F56D97" w:rsidR="003E3439" w:rsidRPr="00045F3D" w:rsidRDefault="00E349E6" w:rsidP="000D7539">
      <w:pPr>
        <w:rPr>
          <w:rFonts w:eastAsia="Times New Roman"/>
          <w:sz w:val="20"/>
          <w:lang w:val="en-US" w:eastAsia="ja-JP"/>
        </w:rPr>
      </w:pPr>
      <w:r w:rsidRPr="00045F3D">
        <w:rPr>
          <w:sz w:val="20"/>
          <w:szCs w:val="18"/>
        </w:rPr>
        <w:t xml:space="preserve">In this document, we </w:t>
      </w:r>
      <w:r w:rsidR="005B1A69" w:rsidRPr="00045F3D">
        <w:rPr>
          <w:sz w:val="20"/>
          <w:szCs w:val="18"/>
        </w:rPr>
        <w:t xml:space="preserve">have </w:t>
      </w:r>
      <w:r w:rsidR="00045F3D" w:rsidRPr="00045F3D">
        <w:rPr>
          <w:sz w:val="20"/>
          <w:szCs w:val="18"/>
        </w:rPr>
        <w:t>uplink enhancements for controlled unlicensed operation</w:t>
      </w:r>
      <w:r w:rsidR="00045F3D">
        <w:rPr>
          <w:sz w:val="20"/>
          <w:szCs w:val="18"/>
        </w:rPr>
        <w:t xml:space="preserve"> and propose the following:</w:t>
      </w:r>
    </w:p>
    <w:p w14:paraId="14959EB7" w14:textId="77777777" w:rsidR="008F7BE6" w:rsidRPr="00D03BF7" w:rsidRDefault="008F7BE6" w:rsidP="008F7BE6">
      <w:pPr>
        <w:jc w:val="left"/>
        <w:rPr>
          <w:rFonts w:eastAsia="Times New Roman"/>
          <w:b/>
          <w:bCs/>
          <w:sz w:val="20"/>
          <w:lang w:val="en-US" w:eastAsia="ja-JP"/>
        </w:rPr>
      </w:pPr>
      <w:r w:rsidRPr="00D03BF7">
        <w:rPr>
          <w:rFonts w:eastAsia="Times New Roman"/>
          <w:b/>
          <w:bCs/>
          <w:sz w:val="20"/>
          <w:lang w:val="en-US" w:eastAsia="ja-JP"/>
        </w:rPr>
        <w:t>Observation 1: RAN1 will design UE-initiated COT for FBE</w:t>
      </w:r>
      <w:r>
        <w:rPr>
          <w:rFonts w:eastAsia="Times New Roman"/>
          <w:b/>
          <w:bCs/>
          <w:sz w:val="20"/>
          <w:lang w:val="en-US" w:eastAsia="ja-JP"/>
        </w:rPr>
        <w:t xml:space="preserve"> operation</w:t>
      </w:r>
      <w:r w:rsidRPr="00D03BF7">
        <w:rPr>
          <w:rFonts w:eastAsia="Times New Roman"/>
          <w:b/>
          <w:bCs/>
          <w:sz w:val="20"/>
          <w:lang w:val="en-US" w:eastAsia="ja-JP"/>
        </w:rPr>
        <w:t xml:space="preserve">. RAN2 can be involved based on RAN1 request when needed. </w:t>
      </w:r>
    </w:p>
    <w:p w14:paraId="2BEF433B" w14:textId="77777777" w:rsidR="008F7BE6" w:rsidRPr="00D03BF7" w:rsidRDefault="008F7BE6" w:rsidP="008F7BE6">
      <w:pPr>
        <w:jc w:val="left"/>
        <w:rPr>
          <w:b/>
          <w:bCs/>
          <w:sz w:val="20"/>
        </w:rPr>
      </w:pPr>
      <w:r w:rsidRPr="00D03BF7">
        <w:rPr>
          <w:b/>
          <w:bCs/>
          <w:sz w:val="20"/>
        </w:rPr>
        <w:t>Observation 2: The extension of Rel-16 NR-U CG to licensed operation requires minimal changes in RAN2 specifications while it can require more work in RAN1.</w:t>
      </w:r>
    </w:p>
    <w:p w14:paraId="14F30308" w14:textId="77777777" w:rsidR="008F7BE6" w:rsidRPr="00D03BF7" w:rsidRDefault="008F7BE6" w:rsidP="008F7BE6">
      <w:pPr>
        <w:jc w:val="left"/>
        <w:rPr>
          <w:b/>
          <w:bCs/>
          <w:sz w:val="20"/>
        </w:rPr>
      </w:pPr>
      <w:r w:rsidRPr="00D03BF7">
        <w:rPr>
          <w:b/>
          <w:bCs/>
          <w:sz w:val="20"/>
        </w:rPr>
        <w:t>Proposal 1: The decision to extend Rel-16 NR-U CG enhancements to NR licensed can be left</w:t>
      </w:r>
      <w:r>
        <w:rPr>
          <w:b/>
          <w:bCs/>
          <w:sz w:val="20"/>
        </w:rPr>
        <w:t xml:space="preserve"> up</w:t>
      </w:r>
      <w:r w:rsidRPr="00D03BF7">
        <w:rPr>
          <w:b/>
          <w:bCs/>
          <w:sz w:val="20"/>
        </w:rPr>
        <w:t xml:space="preserve"> to RAN1.</w:t>
      </w:r>
    </w:p>
    <w:p w14:paraId="18BAC57E" w14:textId="77777777" w:rsidR="008F7BE6" w:rsidRDefault="008F7BE6" w:rsidP="008F7BE6">
      <w:pPr>
        <w:jc w:val="left"/>
        <w:rPr>
          <w:b/>
          <w:bCs/>
          <w:sz w:val="20"/>
        </w:rPr>
      </w:pPr>
      <w:r w:rsidRPr="00545800">
        <w:rPr>
          <w:b/>
          <w:bCs/>
          <w:sz w:val="20"/>
        </w:rPr>
        <w:t>Observation 3:</w:t>
      </w:r>
      <w:r>
        <w:rPr>
          <w:b/>
          <w:bCs/>
          <w:sz w:val="20"/>
        </w:rPr>
        <w:t xml:space="preserve"> The changes needed to support Type A and Type B PUSCH repetition at the PHY layer for NR-U will be done by RAN1.</w:t>
      </w:r>
    </w:p>
    <w:p w14:paraId="503726C6" w14:textId="77777777" w:rsidR="008F7BE6" w:rsidRDefault="008F7BE6" w:rsidP="008F7BE6">
      <w:pPr>
        <w:jc w:val="left"/>
        <w:rPr>
          <w:b/>
          <w:bCs/>
          <w:sz w:val="20"/>
        </w:rPr>
      </w:pPr>
      <w:r w:rsidRPr="000413CB">
        <w:rPr>
          <w:b/>
          <w:bCs/>
          <w:sz w:val="20"/>
        </w:rPr>
        <w:t>Proposal 2: From RAN2 point of view, Rel-16 Type and Type B PUSCH repetition</w:t>
      </w:r>
      <w:r>
        <w:rPr>
          <w:b/>
          <w:bCs/>
          <w:sz w:val="20"/>
        </w:rPr>
        <w:t xml:space="preserve"> to CG</w:t>
      </w:r>
      <w:r w:rsidRPr="000413CB">
        <w:rPr>
          <w:b/>
          <w:bCs/>
          <w:sz w:val="20"/>
        </w:rPr>
        <w:t xml:space="preserve"> can be supported</w:t>
      </w:r>
      <w:r>
        <w:rPr>
          <w:b/>
          <w:bCs/>
          <w:sz w:val="20"/>
        </w:rPr>
        <w:t xml:space="preserve"> for NR-U</w:t>
      </w:r>
      <w:r w:rsidRPr="000413CB">
        <w:rPr>
          <w:b/>
          <w:bCs/>
          <w:sz w:val="20"/>
        </w:rPr>
        <w:t xml:space="preserve">. </w:t>
      </w:r>
    </w:p>
    <w:p w14:paraId="6ED75604" w14:textId="77777777" w:rsidR="008F7BE6" w:rsidRPr="000413CB" w:rsidRDefault="008F7BE6" w:rsidP="008F7BE6">
      <w:pPr>
        <w:jc w:val="left"/>
        <w:rPr>
          <w:b/>
          <w:bCs/>
          <w:sz w:val="20"/>
        </w:rPr>
      </w:pPr>
      <w:r>
        <w:rPr>
          <w:b/>
          <w:bCs/>
          <w:sz w:val="20"/>
        </w:rPr>
        <w:t xml:space="preserve">Proposal 3 : </w:t>
      </w:r>
      <w:r w:rsidRPr="000413CB">
        <w:rPr>
          <w:b/>
          <w:bCs/>
          <w:sz w:val="20"/>
        </w:rPr>
        <w:t>As in Rel-16 NR-U CG, the selection of HARQ ID and RVID for each repetition is left to the UE implementation</w:t>
      </w:r>
      <w:r>
        <w:rPr>
          <w:b/>
          <w:bCs/>
          <w:sz w:val="20"/>
        </w:rPr>
        <w:t xml:space="preserve"> for Type A and Type B CG repetition </w:t>
      </w:r>
      <w:r w:rsidRPr="000413CB">
        <w:rPr>
          <w:b/>
          <w:bCs/>
          <w:sz w:val="20"/>
        </w:rPr>
        <w:t>.</w:t>
      </w:r>
    </w:p>
    <w:p w14:paraId="1AF92C46" w14:textId="77777777" w:rsidR="008F7BE6" w:rsidRPr="00E916D8" w:rsidRDefault="008F7BE6" w:rsidP="008F7BE6">
      <w:pPr>
        <w:jc w:val="left"/>
        <w:rPr>
          <w:b/>
          <w:sz w:val="20"/>
          <w:szCs w:val="18"/>
        </w:rPr>
      </w:pPr>
      <w:r w:rsidRPr="00E916D8">
        <w:rPr>
          <w:b/>
          <w:sz w:val="20"/>
          <w:szCs w:val="18"/>
        </w:rPr>
        <w:t>Observation 4:</w:t>
      </w:r>
      <w:r>
        <w:rPr>
          <w:b/>
          <w:sz w:val="20"/>
          <w:szCs w:val="18"/>
        </w:rPr>
        <w:t xml:space="preserve"> Due to uncontrolled interference in shared spectrum, successive packet losses can occur more often which disrupts the survival time.</w:t>
      </w:r>
    </w:p>
    <w:p w14:paraId="60B1CB1E" w14:textId="77777777" w:rsidR="008F7BE6" w:rsidRPr="00D03BF7" w:rsidRDefault="008F7BE6" w:rsidP="008F7BE6">
      <w:pPr>
        <w:jc w:val="left"/>
        <w:rPr>
          <w:rFonts w:eastAsia="Times New Roman"/>
          <w:b/>
          <w:bCs/>
          <w:sz w:val="20"/>
          <w:lang w:val="en-US" w:eastAsia="ja-JP"/>
        </w:rPr>
      </w:pPr>
      <w:r w:rsidRPr="00D03BF7">
        <w:rPr>
          <w:rFonts w:eastAsia="Times New Roman"/>
          <w:b/>
          <w:bCs/>
          <w:sz w:val="20"/>
          <w:lang w:val="en-US" w:eastAsia="ja-JP"/>
        </w:rPr>
        <w:t>Observation</w:t>
      </w:r>
      <w:r>
        <w:rPr>
          <w:rFonts w:eastAsia="Times New Roman"/>
          <w:b/>
          <w:bCs/>
          <w:sz w:val="20"/>
          <w:lang w:val="en-US" w:eastAsia="ja-JP"/>
        </w:rPr>
        <w:t xml:space="preserve"> 5:</w:t>
      </w:r>
      <w:r w:rsidRPr="00D03BF7">
        <w:rPr>
          <w:rFonts w:eastAsia="Times New Roman"/>
          <w:b/>
          <w:bCs/>
          <w:sz w:val="20"/>
          <w:lang w:val="en-US" w:eastAsia="ja-JP"/>
        </w:rPr>
        <w:t xml:space="preserve"> When LBT fails, allowing transmission of packets in a different frequency location with different LBT </w:t>
      </w:r>
      <w:r>
        <w:rPr>
          <w:rFonts w:eastAsia="Times New Roman"/>
          <w:b/>
          <w:bCs/>
          <w:sz w:val="20"/>
          <w:lang w:val="en-US" w:eastAsia="ja-JP"/>
        </w:rPr>
        <w:t xml:space="preserve">can </w:t>
      </w:r>
      <w:r w:rsidRPr="00D03BF7">
        <w:rPr>
          <w:rFonts w:eastAsia="Times New Roman"/>
          <w:b/>
          <w:bCs/>
          <w:sz w:val="20"/>
          <w:lang w:val="en-US" w:eastAsia="ja-JP"/>
        </w:rPr>
        <w:t>improve reliability by providing LBT diversity.</w:t>
      </w:r>
    </w:p>
    <w:p w14:paraId="1FCA1B43" w14:textId="77777777" w:rsidR="008F7BE6" w:rsidRPr="00D03BF7" w:rsidRDefault="008F7BE6" w:rsidP="008F7BE6">
      <w:pPr>
        <w:jc w:val="left"/>
        <w:rPr>
          <w:rFonts w:eastAsia="Times New Roman"/>
          <w:b/>
          <w:bCs/>
          <w:sz w:val="20"/>
          <w:lang w:val="en-US" w:eastAsia="ja-JP"/>
        </w:rPr>
      </w:pPr>
      <w:r w:rsidRPr="00D03BF7">
        <w:rPr>
          <w:rFonts w:eastAsia="Times New Roman"/>
          <w:b/>
          <w:bCs/>
          <w:sz w:val="20"/>
          <w:lang w:val="en-US" w:eastAsia="ja-JP"/>
        </w:rPr>
        <w:t>Observation</w:t>
      </w:r>
      <w:r>
        <w:rPr>
          <w:rFonts w:eastAsia="Times New Roman"/>
          <w:b/>
          <w:bCs/>
          <w:sz w:val="20"/>
          <w:lang w:val="en-US" w:eastAsia="ja-JP"/>
        </w:rPr>
        <w:t xml:space="preserve"> 6</w:t>
      </w:r>
      <w:r w:rsidRPr="00D03BF7">
        <w:rPr>
          <w:rFonts w:eastAsia="Times New Roman"/>
          <w:b/>
          <w:bCs/>
          <w:sz w:val="20"/>
          <w:lang w:val="en-US" w:eastAsia="ja-JP"/>
        </w:rPr>
        <w:t xml:space="preserve">: Fast switching to a different frequency location by the UE and gNB </w:t>
      </w:r>
      <w:r>
        <w:rPr>
          <w:rFonts w:eastAsia="Times New Roman"/>
          <w:b/>
          <w:bCs/>
          <w:sz w:val="20"/>
          <w:lang w:val="en-US" w:eastAsia="ja-JP"/>
        </w:rPr>
        <w:t xml:space="preserve">concurrently </w:t>
      </w:r>
      <w:r w:rsidRPr="00D03BF7">
        <w:rPr>
          <w:rFonts w:eastAsia="Times New Roman"/>
          <w:b/>
          <w:bCs/>
          <w:sz w:val="20"/>
          <w:lang w:val="en-US" w:eastAsia="ja-JP"/>
        </w:rPr>
        <w:t>will provide faster reaction to LBT failures.</w:t>
      </w:r>
    </w:p>
    <w:p w14:paraId="27849941" w14:textId="77777777" w:rsidR="008F7BE6" w:rsidRPr="00D03BF7" w:rsidRDefault="008F7BE6" w:rsidP="008F7BE6">
      <w:pPr>
        <w:jc w:val="left"/>
        <w:rPr>
          <w:rFonts w:eastAsia="Times New Roman"/>
          <w:b/>
          <w:bCs/>
          <w:sz w:val="20"/>
          <w:lang w:val="en-US" w:eastAsia="ja-JP"/>
        </w:rPr>
      </w:pPr>
      <w:r w:rsidRPr="00D03BF7">
        <w:rPr>
          <w:rFonts w:eastAsia="Times New Roman"/>
          <w:b/>
          <w:bCs/>
          <w:sz w:val="20"/>
          <w:lang w:val="en-US" w:eastAsia="ja-JP"/>
        </w:rPr>
        <w:t>Proposal</w:t>
      </w:r>
      <w:r>
        <w:rPr>
          <w:rFonts w:eastAsia="Times New Roman"/>
          <w:b/>
          <w:bCs/>
          <w:sz w:val="20"/>
          <w:lang w:val="en-US" w:eastAsia="ja-JP"/>
        </w:rPr>
        <w:t xml:space="preserve"> 4</w:t>
      </w:r>
      <w:r w:rsidRPr="00D03BF7">
        <w:rPr>
          <w:rFonts w:eastAsia="Times New Roman"/>
          <w:b/>
          <w:bCs/>
          <w:sz w:val="20"/>
          <w:lang w:val="en-US" w:eastAsia="ja-JP"/>
        </w:rPr>
        <w:t xml:space="preserve">: RAN2 to consider mechanisms to support </w:t>
      </w:r>
      <w:r>
        <w:rPr>
          <w:rFonts w:eastAsia="Times New Roman"/>
          <w:b/>
          <w:bCs/>
          <w:sz w:val="20"/>
          <w:lang w:val="en-US" w:eastAsia="ja-JP"/>
        </w:rPr>
        <w:t xml:space="preserve">fast </w:t>
      </w:r>
      <w:r w:rsidRPr="00D03BF7">
        <w:rPr>
          <w:rFonts w:eastAsia="Times New Roman"/>
          <w:b/>
          <w:bCs/>
          <w:sz w:val="20"/>
          <w:lang w:val="en-US" w:eastAsia="ja-JP"/>
        </w:rPr>
        <w:t xml:space="preserve">switching </w:t>
      </w:r>
      <w:r>
        <w:rPr>
          <w:rFonts w:eastAsia="Times New Roman"/>
          <w:b/>
          <w:bCs/>
          <w:sz w:val="20"/>
          <w:lang w:val="en-US" w:eastAsia="ja-JP"/>
        </w:rPr>
        <w:t>to a</w:t>
      </w:r>
      <w:r w:rsidRPr="00D03BF7">
        <w:rPr>
          <w:rFonts w:eastAsia="Times New Roman"/>
          <w:b/>
          <w:bCs/>
          <w:sz w:val="20"/>
          <w:lang w:val="en-US" w:eastAsia="ja-JP"/>
        </w:rPr>
        <w:t xml:space="preserve"> different frequency locations (BWP or cell) when LBT fails in the existing frequency location.</w:t>
      </w:r>
    </w:p>
    <w:p w14:paraId="2F1DAE4E" w14:textId="77777777" w:rsidR="008F7BE6" w:rsidRDefault="008F7BE6" w:rsidP="008F7BE6">
      <w:pPr>
        <w:jc w:val="left"/>
        <w:rPr>
          <w:rFonts w:eastAsia="Times New Roman"/>
          <w:b/>
          <w:bCs/>
          <w:sz w:val="20"/>
          <w:lang w:val="en-US" w:eastAsia="ja-JP"/>
        </w:rPr>
      </w:pPr>
      <w:r w:rsidRPr="008A1B5C">
        <w:rPr>
          <w:rFonts w:eastAsia="Times New Roman"/>
          <w:b/>
          <w:bCs/>
          <w:sz w:val="20"/>
          <w:lang w:val="en-US" w:eastAsia="ja-JP"/>
        </w:rPr>
        <w:t xml:space="preserve">Observation 7: </w:t>
      </w:r>
      <w:r>
        <w:rPr>
          <w:rFonts w:eastAsia="Times New Roman"/>
          <w:b/>
          <w:bCs/>
          <w:sz w:val="20"/>
          <w:lang w:val="en-US" w:eastAsia="ja-JP"/>
        </w:rPr>
        <w:t xml:space="preserve">Rel-15/Rel-16 PDCP duplication is not efficient for where channel conditions and interference are less predictable. </w:t>
      </w:r>
    </w:p>
    <w:p w14:paraId="20B4C5A6" w14:textId="77777777" w:rsidR="008F7BE6" w:rsidRDefault="008F7BE6" w:rsidP="008F7BE6">
      <w:pPr>
        <w:jc w:val="left"/>
        <w:rPr>
          <w:rFonts w:eastAsia="Times New Roman"/>
          <w:b/>
          <w:bCs/>
          <w:sz w:val="20"/>
          <w:lang w:val="en-US" w:eastAsia="ja-JP"/>
        </w:rPr>
      </w:pPr>
      <w:r>
        <w:rPr>
          <w:rFonts w:eastAsia="Times New Roman"/>
          <w:b/>
          <w:bCs/>
          <w:sz w:val="20"/>
          <w:lang w:val="en-US" w:eastAsia="ja-JP"/>
        </w:rPr>
        <w:lastRenderedPageBreak/>
        <w:t>Observation 8: Rel-16 PDCP duplication in DC case can also cause selection of legs which are not feasible for the UE.</w:t>
      </w:r>
    </w:p>
    <w:p w14:paraId="2A47DB3A" w14:textId="77777777" w:rsidR="008F7BE6" w:rsidRPr="00EF1FAA" w:rsidRDefault="008F7BE6" w:rsidP="008F7BE6">
      <w:pPr>
        <w:jc w:val="left"/>
        <w:rPr>
          <w:rFonts w:eastAsia="Times New Roman"/>
          <w:b/>
          <w:bCs/>
          <w:sz w:val="20"/>
          <w:lang w:val="en-US" w:eastAsia="ja-JP"/>
        </w:rPr>
      </w:pPr>
      <w:r w:rsidRPr="00D03BF7">
        <w:rPr>
          <w:rFonts w:eastAsia="Times New Roman"/>
          <w:b/>
          <w:bCs/>
          <w:sz w:val="20"/>
          <w:lang w:val="en-US" w:eastAsia="ja-JP"/>
        </w:rPr>
        <w:t>Proposal</w:t>
      </w:r>
      <w:r>
        <w:rPr>
          <w:rFonts w:eastAsia="Times New Roman"/>
          <w:b/>
          <w:bCs/>
          <w:sz w:val="20"/>
          <w:lang w:val="en-US" w:eastAsia="ja-JP"/>
        </w:rPr>
        <w:t xml:space="preserve"> 5</w:t>
      </w:r>
      <w:r w:rsidRPr="00D03BF7">
        <w:rPr>
          <w:rFonts w:eastAsia="Times New Roman"/>
          <w:b/>
          <w:bCs/>
          <w:sz w:val="20"/>
          <w:lang w:val="en-US" w:eastAsia="ja-JP"/>
        </w:rPr>
        <w:t xml:space="preserve">: RAN2 to consider </w:t>
      </w:r>
      <w:r>
        <w:rPr>
          <w:rFonts w:eastAsia="Times New Roman"/>
          <w:b/>
          <w:bCs/>
          <w:sz w:val="20"/>
          <w:lang w:val="en-US" w:eastAsia="ja-JP"/>
        </w:rPr>
        <w:t>enhancements to PDCP duplication which can allow more UE freedom in PDCP duplication operation such as selection of the configured duplication legs and/or activation of duplication dynamically.</w:t>
      </w:r>
    </w:p>
    <w:p w14:paraId="0ABD0398" w14:textId="65A04931" w:rsidR="00F843E1" w:rsidRDefault="00F843E1" w:rsidP="00F843E1">
      <w:pPr>
        <w:pStyle w:val="Heading1"/>
        <w:numPr>
          <w:ilvl w:val="0"/>
          <w:numId w:val="3"/>
        </w:numPr>
        <w:jc w:val="left"/>
      </w:pPr>
      <w:r>
        <w:t>References</w:t>
      </w:r>
    </w:p>
    <w:p w14:paraId="3D376A4E" w14:textId="6AB7DA64" w:rsidR="00EF1FAA" w:rsidRPr="000D7539" w:rsidRDefault="00F843E1" w:rsidP="00EF1FAA">
      <w:pPr>
        <w:overflowPunct/>
        <w:autoSpaceDE/>
        <w:autoSpaceDN/>
        <w:adjustRightInd/>
        <w:spacing w:after="240" w:line="240" w:lineRule="auto"/>
        <w:jc w:val="left"/>
        <w:textAlignment w:val="auto"/>
        <w:rPr>
          <w:bCs/>
          <w:sz w:val="18"/>
          <w:szCs w:val="16"/>
        </w:rPr>
      </w:pPr>
      <w:bookmarkStart w:id="4" w:name="_Hlk25318115"/>
      <w:r w:rsidRPr="00A208B7">
        <w:rPr>
          <w:bCs/>
          <w:sz w:val="20"/>
        </w:rPr>
        <w:t xml:space="preserve">[1] </w:t>
      </w:r>
      <w:bookmarkEnd w:id="4"/>
      <w:r w:rsidR="00177D86" w:rsidRPr="00A208B7">
        <w:rPr>
          <w:bCs/>
          <w:sz w:val="20"/>
          <w:szCs w:val="18"/>
        </w:rPr>
        <w:t>RP-2013</w:t>
      </w:r>
      <w:r w:rsidR="00A208B7" w:rsidRPr="00A208B7">
        <w:rPr>
          <w:bCs/>
          <w:sz w:val="20"/>
          <w:szCs w:val="18"/>
        </w:rPr>
        <w:t>10</w:t>
      </w:r>
      <w:r w:rsidR="00C41C94" w:rsidRPr="00A208B7">
        <w:rPr>
          <w:bCs/>
          <w:sz w:val="20"/>
          <w:szCs w:val="18"/>
        </w:rPr>
        <w:t xml:space="preserve">, </w:t>
      </w:r>
      <w:r w:rsidR="00A208B7" w:rsidRPr="00A208B7">
        <w:rPr>
          <w:bCs/>
          <w:sz w:val="20"/>
          <w:szCs w:val="18"/>
        </w:rPr>
        <w:t>Enhanced Industrial Internet of Things (IoT) and ultra-reliable and low latency communication (URLLC) support for NR, Nokia</w:t>
      </w:r>
    </w:p>
    <w:p w14:paraId="74C8AB19" w14:textId="4C59DA1D" w:rsidR="0049161D" w:rsidRPr="000D7539" w:rsidRDefault="0049161D" w:rsidP="00E349E6">
      <w:pPr>
        <w:overflowPunct/>
        <w:autoSpaceDE/>
        <w:autoSpaceDN/>
        <w:adjustRightInd/>
        <w:spacing w:after="240" w:line="240" w:lineRule="auto"/>
        <w:jc w:val="left"/>
        <w:textAlignment w:val="auto"/>
        <w:rPr>
          <w:bCs/>
          <w:sz w:val="18"/>
          <w:szCs w:val="16"/>
        </w:rPr>
      </w:pPr>
    </w:p>
    <w:sectPr w:rsidR="0049161D" w:rsidRPr="000D7539"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CA593" w14:textId="77777777" w:rsidR="00FF1AD6" w:rsidRDefault="00FF1AD6">
      <w:pPr>
        <w:spacing w:after="0" w:line="240" w:lineRule="auto"/>
      </w:pPr>
      <w:r>
        <w:separator/>
      </w:r>
    </w:p>
  </w:endnote>
  <w:endnote w:type="continuationSeparator" w:id="0">
    <w:p w14:paraId="72006A63" w14:textId="77777777" w:rsidR="00FF1AD6" w:rsidRDefault="00FF1AD6">
      <w:pPr>
        <w:spacing w:after="0" w:line="240" w:lineRule="auto"/>
      </w:pPr>
      <w:r>
        <w:continuationSeparator/>
      </w:r>
    </w:p>
  </w:endnote>
  <w:endnote w:type="continuationNotice" w:id="1">
    <w:p w14:paraId="7BEB2267" w14:textId="77777777" w:rsidR="00FF1AD6" w:rsidRDefault="00FF1A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D4CBF" w14:textId="77777777" w:rsidR="00FF1AD6" w:rsidRDefault="00FF1AD6">
      <w:pPr>
        <w:spacing w:after="0" w:line="240" w:lineRule="auto"/>
      </w:pPr>
      <w:r>
        <w:separator/>
      </w:r>
    </w:p>
  </w:footnote>
  <w:footnote w:type="continuationSeparator" w:id="0">
    <w:p w14:paraId="3F60184E" w14:textId="77777777" w:rsidR="00FF1AD6" w:rsidRDefault="00FF1AD6">
      <w:pPr>
        <w:spacing w:after="0" w:line="240" w:lineRule="auto"/>
      </w:pPr>
      <w:r>
        <w:continuationSeparator/>
      </w:r>
    </w:p>
  </w:footnote>
  <w:footnote w:type="continuationNotice" w:id="1">
    <w:p w14:paraId="3409257F" w14:textId="77777777" w:rsidR="00FF1AD6" w:rsidRDefault="00FF1A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342B4"/>
    <w:multiLevelType w:val="hybridMultilevel"/>
    <w:tmpl w:val="76948C7C"/>
    <w:lvl w:ilvl="0" w:tplc="FFE8F470">
      <w:start w:val="1"/>
      <w:numFmt w:val="bullet"/>
      <w:lvlText w:val="•"/>
      <w:lvlJc w:val="left"/>
      <w:pPr>
        <w:tabs>
          <w:tab w:val="num" w:pos="720"/>
        </w:tabs>
        <w:ind w:left="720" w:hanging="360"/>
      </w:pPr>
      <w:rPr>
        <w:rFonts w:ascii="Arial" w:hAnsi="Arial" w:hint="default"/>
      </w:rPr>
    </w:lvl>
    <w:lvl w:ilvl="1" w:tplc="28C809D8">
      <w:numFmt w:val="bullet"/>
      <w:lvlText w:val="◦"/>
      <w:lvlJc w:val="left"/>
      <w:pPr>
        <w:tabs>
          <w:tab w:val="num" w:pos="1440"/>
        </w:tabs>
        <w:ind w:left="1440" w:hanging="360"/>
      </w:pPr>
      <w:rPr>
        <w:rFonts w:ascii="Microsoft Sans Serif" w:hAnsi="Microsoft Sans Serif" w:hint="default"/>
      </w:rPr>
    </w:lvl>
    <w:lvl w:ilvl="2" w:tplc="22543B04">
      <w:numFmt w:val="bullet"/>
      <w:lvlText w:val="•"/>
      <w:lvlJc w:val="left"/>
      <w:pPr>
        <w:tabs>
          <w:tab w:val="num" w:pos="2160"/>
        </w:tabs>
        <w:ind w:left="2160" w:hanging="360"/>
      </w:pPr>
      <w:rPr>
        <w:rFonts w:ascii="Microsoft Sans Serif" w:hAnsi="Microsoft Sans Serif" w:hint="default"/>
      </w:rPr>
    </w:lvl>
    <w:lvl w:ilvl="3" w:tplc="7E9457CE" w:tentative="1">
      <w:start w:val="1"/>
      <w:numFmt w:val="bullet"/>
      <w:lvlText w:val="•"/>
      <w:lvlJc w:val="left"/>
      <w:pPr>
        <w:tabs>
          <w:tab w:val="num" w:pos="2880"/>
        </w:tabs>
        <w:ind w:left="2880" w:hanging="360"/>
      </w:pPr>
      <w:rPr>
        <w:rFonts w:ascii="Arial" w:hAnsi="Arial" w:hint="default"/>
      </w:rPr>
    </w:lvl>
    <w:lvl w:ilvl="4" w:tplc="E38C0F7A" w:tentative="1">
      <w:start w:val="1"/>
      <w:numFmt w:val="bullet"/>
      <w:lvlText w:val="•"/>
      <w:lvlJc w:val="left"/>
      <w:pPr>
        <w:tabs>
          <w:tab w:val="num" w:pos="3600"/>
        </w:tabs>
        <w:ind w:left="3600" w:hanging="360"/>
      </w:pPr>
      <w:rPr>
        <w:rFonts w:ascii="Arial" w:hAnsi="Arial" w:hint="default"/>
      </w:rPr>
    </w:lvl>
    <w:lvl w:ilvl="5" w:tplc="29BEB370" w:tentative="1">
      <w:start w:val="1"/>
      <w:numFmt w:val="bullet"/>
      <w:lvlText w:val="•"/>
      <w:lvlJc w:val="left"/>
      <w:pPr>
        <w:tabs>
          <w:tab w:val="num" w:pos="4320"/>
        </w:tabs>
        <w:ind w:left="4320" w:hanging="360"/>
      </w:pPr>
      <w:rPr>
        <w:rFonts w:ascii="Arial" w:hAnsi="Arial" w:hint="default"/>
      </w:rPr>
    </w:lvl>
    <w:lvl w:ilvl="6" w:tplc="62783450" w:tentative="1">
      <w:start w:val="1"/>
      <w:numFmt w:val="bullet"/>
      <w:lvlText w:val="•"/>
      <w:lvlJc w:val="left"/>
      <w:pPr>
        <w:tabs>
          <w:tab w:val="num" w:pos="5040"/>
        </w:tabs>
        <w:ind w:left="5040" w:hanging="360"/>
      </w:pPr>
      <w:rPr>
        <w:rFonts w:ascii="Arial" w:hAnsi="Arial" w:hint="default"/>
      </w:rPr>
    </w:lvl>
    <w:lvl w:ilvl="7" w:tplc="3F98F56A" w:tentative="1">
      <w:start w:val="1"/>
      <w:numFmt w:val="bullet"/>
      <w:lvlText w:val="•"/>
      <w:lvlJc w:val="left"/>
      <w:pPr>
        <w:tabs>
          <w:tab w:val="num" w:pos="5760"/>
        </w:tabs>
        <w:ind w:left="5760" w:hanging="360"/>
      </w:pPr>
      <w:rPr>
        <w:rFonts w:ascii="Arial" w:hAnsi="Arial" w:hint="default"/>
      </w:rPr>
    </w:lvl>
    <w:lvl w:ilvl="8" w:tplc="95508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13BEF"/>
    <w:multiLevelType w:val="hybridMultilevel"/>
    <w:tmpl w:val="4828AE48"/>
    <w:lvl w:ilvl="0" w:tplc="04090001">
      <w:start w:val="1"/>
      <w:numFmt w:val="bullet"/>
      <w:lvlText w:val=""/>
      <w:lvlJc w:val="left"/>
      <w:pPr>
        <w:ind w:left="720" w:hanging="360"/>
      </w:pPr>
      <w:rPr>
        <w:rFonts w:ascii="Symbol" w:hAnsi="Symbol"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2A3D97"/>
    <w:multiLevelType w:val="hybridMultilevel"/>
    <w:tmpl w:val="045A66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3"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7"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D15A4A"/>
    <w:multiLevelType w:val="hybridMultilevel"/>
    <w:tmpl w:val="FE325E76"/>
    <w:lvl w:ilvl="0" w:tplc="3432F20E">
      <w:start w:val="1"/>
      <w:numFmt w:val="bullet"/>
      <w:lvlText w:val="•"/>
      <w:lvlJc w:val="left"/>
      <w:pPr>
        <w:tabs>
          <w:tab w:val="num" w:pos="360"/>
        </w:tabs>
        <w:ind w:left="360" w:hanging="360"/>
      </w:pPr>
      <w:rPr>
        <w:rFonts w:ascii="Arial" w:hAnsi="Arial" w:hint="default"/>
      </w:rPr>
    </w:lvl>
    <w:lvl w:ilvl="1" w:tplc="871A7C8A">
      <w:numFmt w:val="bullet"/>
      <w:lvlText w:val="◦"/>
      <w:lvlJc w:val="left"/>
      <w:pPr>
        <w:tabs>
          <w:tab w:val="num" w:pos="1080"/>
        </w:tabs>
        <w:ind w:left="1080" w:hanging="360"/>
      </w:pPr>
      <w:rPr>
        <w:rFonts w:ascii="Microsoft Sans Serif" w:hAnsi="Microsoft Sans Serif" w:hint="default"/>
      </w:rPr>
    </w:lvl>
    <w:lvl w:ilvl="2" w:tplc="1C88DD46">
      <w:numFmt w:val="bullet"/>
      <w:lvlText w:val="•"/>
      <w:lvlJc w:val="left"/>
      <w:pPr>
        <w:tabs>
          <w:tab w:val="num" w:pos="1800"/>
        </w:tabs>
        <w:ind w:left="1800" w:hanging="360"/>
      </w:pPr>
      <w:rPr>
        <w:rFonts w:ascii="Microsoft Sans Serif" w:hAnsi="Microsoft Sans Serif" w:hint="default"/>
      </w:rPr>
    </w:lvl>
    <w:lvl w:ilvl="3" w:tplc="4A60C9EC" w:tentative="1">
      <w:start w:val="1"/>
      <w:numFmt w:val="bullet"/>
      <w:lvlText w:val="•"/>
      <w:lvlJc w:val="left"/>
      <w:pPr>
        <w:tabs>
          <w:tab w:val="num" w:pos="2520"/>
        </w:tabs>
        <w:ind w:left="2520" w:hanging="360"/>
      </w:pPr>
      <w:rPr>
        <w:rFonts w:ascii="Arial" w:hAnsi="Arial" w:hint="default"/>
      </w:rPr>
    </w:lvl>
    <w:lvl w:ilvl="4" w:tplc="F0AEE8DA" w:tentative="1">
      <w:start w:val="1"/>
      <w:numFmt w:val="bullet"/>
      <w:lvlText w:val="•"/>
      <w:lvlJc w:val="left"/>
      <w:pPr>
        <w:tabs>
          <w:tab w:val="num" w:pos="3240"/>
        </w:tabs>
        <w:ind w:left="3240" w:hanging="360"/>
      </w:pPr>
      <w:rPr>
        <w:rFonts w:ascii="Arial" w:hAnsi="Arial" w:hint="default"/>
      </w:rPr>
    </w:lvl>
    <w:lvl w:ilvl="5" w:tplc="A6E66EEC" w:tentative="1">
      <w:start w:val="1"/>
      <w:numFmt w:val="bullet"/>
      <w:lvlText w:val="•"/>
      <w:lvlJc w:val="left"/>
      <w:pPr>
        <w:tabs>
          <w:tab w:val="num" w:pos="3960"/>
        </w:tabs>
        <w:ind w:left="3960" w:hanging="360"/>
      </w:pPr>
      <w:rPr>
        <w:rFonts w:ascii="Arial" w:hAnsi="Arial" w:hint="default"/>
      </w:rPr>
    </w:lvl>
    <w:lvl w:ilvl="6" w:tplc="ABDA612A" w:tentative="1">
      <w:start w:val="1"/>
      <w:numFmt w:val="bullet"/>
      <w:lvlText w:val="•"/>
      <w:lvlJc w:val="left"/>
      <w:pPr>
        <w:tabs>
          <w:tab w:val="num" w:pos="4680"/>
        </w:tabs>
        <w:ind w:left="4680" w:hanging="360"/>
      </w:pPr>
      <w:rPr>
        <w:rFonts w:ascii="Arial" w:hAnsi="Arial" w:hint="default"/>
      </w:rPr>
    </w:lvl>
    <w:lvl w:ilvl="7" w:tplc="FDA89E72" w:tentative="1">
      <w:start w:val="1"/>
      <w:numFmt w:val="bullet"/>
      <w:lvlText w:val="•"/>
      <w:lvlJc w:val="left"/>
      <w:pPr>
        <w:tabs>
          <w:tab w:val="num" w:pos="5400"/>
        </w:tabs>
        <w:ind w:left="5400" w:hanging="360"/>
      </w:pPr>
      <w:rPr>
        <w:rFonts w:ascii="Arial" w:hAnsi="Arial" w:hint="default"/>
      </w:rPr>
    </w:lvl>
    <w:lvl w:ilvl="8" w:tplc="F46A1E2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0"/>
  </w:num>
  <w:num w:numId="2">
    <w:abstractNumId w:val="32"/>
  </w:num>
  <w:num w:numId="3">
    <w:abstractNumId w:val="34"/>
  </w:num>
  <w:num w:numId="4">
    <w:abstractNumId w:val="26"/>
  </w:num>
  <w:num w:numId="5">
    <w:abstractNumId w:val="22"/>
  </w:num>
  <w:num w:numId="6">
    <w:abstractNumId w:val="37"/>
  </w:num>
  <w:num w:numId="7">
    <w:abstractNumId w:val="9"/>
  </w:num>
  <w:num w:numId="8">
    <w:abstractNumId w:val="5"/>
  </w:num>
  <w:num w:numId="9">
    <w:abstractNumId w:val="10"/>
  </w:num>
  <w:num w:numId="10">
    <w:abstractNumId w:val="36"/>
  </w:num>
  <w:num w:numId="11">
    <w:abstractNumId w:val="29"/>
  </w:num>
  <w:num w:numId="12">
    <w:abstractNumId w:val="8"/>
  </w:num>
  <w:num w:numId="13">
    <w:abstractNumId w:val="16"/>
  </w:num>
  <w:num w:numId="14">
    <w:abstractNumId w:val="12"/>
  </w:num>
  <w:num w:numId="15">
    <w:abstractNumId w:val="19"/>
  </w:num>
  <w:num w:numId="16">
    <w:abstractNumId w:val="2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3"/>
  </w:num>
  <w:num w:numId="20">
    <w:abstractNumId w:val="24"/>
  </w:num>
  <w:num w:numId="21">
    <w:abstractNumId w:val="18"/>
  </w:num>
  <w:num w:numId="22">
    <w:abstractNumId w:val="0"/>
  </w:num>
  <w:num w:numId="23">
    <w:abstractNumId w:val="3"/>
  </w:num>
  <w:num w:numId="24">
    <w:abstractNumId w:val="39"/>
  </w:num>
  <w:num w:numId="25">
    <w:abstractNumId w:val="33"/>
  </w:num>
  <w:num w:numId="26">
    <w:abstractNumId w:val="23"/>
  </w:num>
  <w:num w:numId="27">
    <w:abstractNumId w:val="25"/>
  </w:num>
  <w:num w:numId="28">
    <w:abstractNumId w:val="2"/>
  </w:num>
  <w:num w:numId="29">
    <w:abstractNumId w:val="15"/>
  </w:num>
  <w:num w:numId="30">
    <w:abstractNumId w:val="35"/>
  </w:num>
  <w:num w:numId="31">
    <w:abstractNumId w:val="4"/>
  </w:num>
  <w:num w:numId="32">
    <w:abstractNumId w:val="11"/>
  </w:num>
  <w:num w:numId="33">
    <w:abstractNumId w:val="1"/>
  </w:num>
  <w:num w:numId="34">
    <w:abstractNumId w:val="7"/>
  </w:num>
  <w:num w:numId="35">
    <w:abstractNumId w:val="28"/>
  </w:num>
  <w:num w:numId="36">
    <w:abstractNumId w:val="14"/>
  </w:num>
  <w:num w:numId="37">
    <w:abstractNumId w:val="21"/>
  </w:num>
  <w:num w:numId="38">
    <w:abstractNumId w:val="30"/>
  </w:num>
  <w:num w:numId="39">
    <w:abstractNumId w:val="38"/>
  </w:num>
  <w:num w:numId="40">
    <w:abstractNumId w:val="6"/>
  </w:num>
  <w:num w:numId="4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3CB"/>
    <w:rsid w:val="00041967"/>
    <w:rsid w:val="00042000"/>
    <w:rsid w:val="00042015"/>
    <w:rsid w:val="00043683"/>
    <w:rsid w:val="0004548C"/>
    <w:rsid w:val="00045889"/>
    <w:rsid w:val="000458D7"/>
    <w:rsid w:val="000459C8"/>
    <w:rsid w:val="00045F3D"/>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2C0"/>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539"/>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44E"/>
    <w:rsid w:val="002065A6"/>
    <w:rsid w:val="00206C9D"/>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6BD"/>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02DA"/>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7BF"/>
    <w:rsid w:val="00382CDA"/>
    <w:rsid w:val="00383B18"/>
    <w:rsid w:val="00383F8F"/>
    <w:rsid w:val="00384D7D"/>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98B"/>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4D76"/>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68CE"/>
    <w:rsid w:val="004274ED"/>
    <w:rsid w:val="00427861"/>
    <w:rsid w:val="0043007C"/>
    <w:rsid w:val="00430092"/>
    <w:rsid w:val="004309C3"/>
    <w:rsid w:val="00430EF3"/>
    <w:rsid w:val="00431678"/>
    <w:rsid w:val="004318E2"/>
    <w:rsid w:val="004321E9"/>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800"/>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4E15"/>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7E8"/>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52E"/>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868"/>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935"/>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1B5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BE6"/>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AC7"/>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8B7"/>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39FD"/>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3AF3"/>
    <w:rsid w:val="00BD6AAE"/>
    <w:rsid w:val="00BD6DB8"/>
    <w:rsid w:val="00BD6DD1"/>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096"/>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913"/>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7BB"/>
    <w:rsid w:val="00D03B43"/>
    <w:rsid w:val="00D03BF7"/>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7EB"/>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44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6D8"/>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265"/>
    <w:rsid w:val="00EF0468"/>
    <w:rsid w:val="00EF13B8"/>
    <w:rsid w:val="00EF153B"/>
    <w:rsid w:val="00EF1A28"/>
    <w:rsid w:val="00EF1D2E"/>
    <w:rsid w:val="00EF1D40"/>
    <w:rsid w:val="00EF1E1F"/>
    <w:rsid w:val="00EF1F4E"/>
    <w:rsid w:val="00EF1FAA"/>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AD6"/>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BE6"/>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character" w:styleId="PlaceholderText">
    <w:name w:val="Placeholder Text"/>
    <w:basedOn w:val="DefaultParagraphFont"/>
    <w:uiPriority w:val="99"/>
    <w:semiHidden/>
    <w:rsid w:val="00EF1F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44381354">
      <w:bodyDiv w:val="1"/>
      <w:marLeft w:val="0"/>
      <w:marRight w:val="0"/>
      <w:marTop w:val="0"/>
      <w:marBottom w:val="0"/>
      <w:divBdr>
        <w:top w:val="none" w:sz="0" w:space="0" w:color="auto"/>
        <w:left w:val="none" w:sz="0" w:space="0" w:color="auto"/>
        <w:bottom w:val="none" w:sz="0" w:space="0" w:color="auto"/>
        <w:right w:val="none" w:sz="0" w:space="0" w:color="auto"/>
      </w:divBdr>
      <w:divsChild>
        <w:div w:id="1429303551">
          <w:marLeft w:val="274"/>
          <w:marRight w:val="0"/>
          <w:marTop w:val="240"/>
          <w:marBottom w:val="0"/>
          <w:divBdr>
            <w:top w:val="none" w:sz="0" w:space="0" w:color="auto"/>
            <w:left w:val="none" w:sz="0" w:space="0" w:color="auto"/>
            <w:bottom w:val="none" w:sz="0" w:space="0" w:color="auto"/>
            <w:right w:val="none" w:sz="0" w:space="0" w:color="auto"/>
          </w:divBdr>
        </w:div>
        <w:div w:id="698094326">
          <w:marLeft w:val="533"/>
          <w:marRight w:val="0"/>
          <w:marTop w:val="0"/>
          <w:marBottom w:val="0"/>
          <w:divBdr>
            <w:top w:val="none" w:sz="0" w:space="0" w:color="auto"/>
            <w:left w:val="none" w:sz="0" w:space="0" w:color="auto"/>
            <w:bottom w:val="none" w:sz="0" w:space="0" w:color="auto"/>
            <w:right w:val="none" w:sz="0" w:space="0" w:color="auto"/>
          </w:divBdr>
        </w:div>
        <w:div w:id="2126995313">
          <w:marLeft w:val="533"/>
          <w:marRight w:val="0"/>
          <w:marTop w:val="0"/>
          <w:marBottom w:val="0"/>
          <w:divBdr>
            <w:top w:val="none" w:sz="0" w:space="0" w:color="auto"/>
            <w:left w:val="none" w:sz="0" w:space="0" w:color="auto"/>
            <w:bottom w:val="none" w:sz="0" w:space="0" w:color="auto"/>
            <w:right w:val="none" w:sz="0" w:space="0" w:color="auto"/>
          </w:divBdr>
        </w:div>
        <w:div w:id="175509363">
          <w:marLeft w:val="806"/>
          <w:marRight w:val="0"/>
          <w:marTop w:val="0"/>
          <w:marBottom w:val="0"/>
          <w:divBdr>
            <w:top w:val="none" w:sz="0" w:space="0" w:color="auto"/>
            <w:left w:val="none" w:sz="0" w:space="0" w:color="auto"/>
            <w:bottom w:val="none" w:sz="0" w:space="0" w:color="auto"/>
            <w:right w:val="none" w:sz="0" w:space="0" w:color="auto"/>
          </w:divBdr>
        </w:div>
        <w:div w:id="1495409525">
          <w:marLeft w:val="806"/>
          <w:marRight w:val="0"/>
          <w:marTop w:val="0"/>
          <w:marBottom w:val="0"/>
          <w:divBdr>
            <w:top w:val="none" w:sz="0" w:space="0" w:color="auto"/>
            <w:left w:val="none" w:sz="0" w:space="0" w:color="auto"/>
            <w:bottom w:val="none" w:sz="0" w:space="0" w:color="auto"/>
            <w:right w:val="none" w:sz="0" w:space="0" w:color="auto"/>
          </w:divBdr>
        </w:div>
        <w:div w:id="2104910491">
          <w:marLeft w:val="274"/>
          <w:marRight w:val="0"/>
          <w:marTop w:val="240"/>
          <w:marBottom w:val="0"/>
          <w:divBdr>
            <w:top w:val="none" w:sz="0" w:space="0" w:color="auto"/>
            <w:left w:val="none" w:sz="0" w:space="0" w:color="auto"/>
            <w:bottom w:val="none" w:sz="0" w:space="0" w:color="auto"/>
            <w:right w:val="none" w:sz="0" w:space="0" w:color="auto"/>
          </w:divBdr>
        </w:div>
        <w:div w:id="997612782">
          <w:marLeft w:val="533"/>
          <w:marRight w:val="0"/>
          <w:marTop w:val="0"/>
          <w:marBottom w:val="0"/>
          <w:divBdr>
            <w:top w:val="none" w:sz="0" w:space="0" w:color="auto"/>
            <w:left w:val="none" w:sz="0" w:space="0" w:color="auto"/>
            <w:bottom w:val="none" w:sz="0" w:space="0" w:color="auto"/>
            <w:right w:val="none" w:sz="0" w:space="0" w:color="auto"/>
          </w:divBdr>
        </w:div>
        <w:div w:id="1491869104">
          <w:marLeft w:val="533"/>
          <w:marRight w:val="0"/>
          <w:marTop w:val="0"/>
          <w:marBottom w:val="0"/>
          <w:divBdr>
            <w:top w:val="none" w:sz="0" w:space="0" w:color="auto"/>
            <w:left w:val="none" w:sz="0" w:space="0" w:color="auto"/>
            <w:bottom w:val="none" w:sz="0" w:space="0" w:color="auto"/>
            <w:right w:val="none" w:sz="0" w:space="0" w:color="auto"/>
          </w:divBdr>
        </w:div>
      </w:divsChild>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47303540">
      <w:bodyDiv w:val="1"/>
      <w:marLeft w:val="0"/>
      <w:marRight w:val="0"/>
      <w:marTop w:val="0"/>
      <w:marBottom w:val="0"/>
      <w:divBdr>
        <w:top w:val="none" w:sz="0" w:space="0" w:color="auto"/>
        <w:left w:val="none" w:sz="0" w:space="0" w:color="auto"/>
        <w:bottom w:val="none" w:sz="0" w:space="0" w:color="auto"/>
        <w:right w:val="none" w:sz="0" w:space="0" w:color="auto"/>
      </w:divBdr>
      <w:divsChild>
        <w:div w:id="1168642650">
          <w:marLeft w:val="274"/>
          <w:marRight w:val="0"/>
          <w:marTop w:val="240"/>
          <w:marBottom w:val="0"/>
          <w:divBdr>
            <w:top w:val="none" w:sz="0" w:space="0" w:color="auto"/>
            <w:left w:val="none" w:sz="0" w:space="0" w:color="auto"/>
            <w:bottom w:val="none" w:sz="0" w:space="0" w:color="auto"/>
            <w:right w:val="none" w:sz="0" w:space="0" w:color="auto"/>
          </w:divBdr>
        </w:div>
        <w:div w:id="1581869106">
          <w:marLeft w:val="533"/>
          <w:marRight w:val="0"/>
          <w:marTop w:val="0"/>
          <w:marBottom w:val="0"/>
          <w:divBdr>
            <w:top w:val="none" w:sz="0" w:space="0" w:color="auto"/>
            <w:left w:val="none" w:sz="0" w:space="0" w:color="auto"/>
            <w:bottom w:val="none" w:sz="0" w:space="0" w:color="auto"/>
            <w:right w:val="none" w:sz="0" w:space="0" w:color="auto"/>
          </w:divBdr>
        </w:div>
        <w:div w:id="348487247">
          <w:marLeft w:val="806"/>
          <w:marRight w:val="0"/>
          <w:marTop w:val="0"/>
          <w:marBottom w:val="0"/>
          <w:divBdr>
            <w:top w:val="none" w:sz="0" w:space="0" w:color="auto"/>
            <w:left w:val="none" w:sz="0" w:space="0" w:color="auto"/>
            <w:bottom w:val="none" w:sz="0" w:space="0" w:color="auto"/>
            <w:right w:val="none" w:sz="0" w:space="0" w:color="auto"/>
          </w:divBdr>
        </w:div>
        <w:div w:id="559218880">
          <w:marLeft w:val="806"/>
          <w:marRight w:val="0"/>
          <w:marTop w:val="0"/>
          <w:marBottom w:val="0"/>
          <w:divBdr>
            <w:top w:val="none" w:sz="0" w:space="0" w:color="auto"/>
            <w:left w:val="none" w:sz="0" w:space="0" w:color="auto"/>
            <w:bottom w:val="none" w:sz="0" w:space="0" w:color="auto"/>
            <w:right w:val="none" w:sz="0" w:space="0" w:color="auto"/>
          </w:divBdr>
        </w:div>
        <w:div w:id="2045980976">
          <w:marLeft w:val="806"/>
          <w:marRight w:val="0"/>
          <w:marTop w:val="0"/>
          <w:marBottom w:val="0"/>
          <w:divBdr>
            <w:top w:val="none" w:sz="0" w:space="0" w:color="auto"/>
            <w:left w:val="none" w:sz="0" w:space="0" w:color="auto"/>
            <w:bottom w:val="none" w:sz="0" w:space="0" w:color="auto"/>
            <w:right w:val="none" w:sz="0" w:space="0" w:color="auto"/>
          </w:divBdr>
        </w:div>
        <w:div w:id="118572747">
          <w:marLeft w:val="533"/>
          <w:marRight w:val="0"/>
          <w:marTop w:val="0"/>
          <w:marBottom w:val="0"/>
          <w:divBdr>
            <w:top w:val="none" w:sz="0" w:space="0" w:color="auto"/>
            <w:left w:val="none" w:sz="0" w:space="0" w:color="auto"/>
            <w:bottom w:val="none" w:sz="0" w:space="0" w:color="auto"/>
            <w:right w:val="none" w:sz="0" w:space="0" w:color="auto"/>
          </w:divBdr>
        </w:div>
        <w:div w:id="908462963">
          <w:marLeft w:val="274"/>
          <w:marRight w:val="0"/>
          <w:marTop w:val="240"/>
          <w:marBottom w:val="0"/>
          <w:divBdr>
            <w:top w:val="none" w:sz="0" w:space="0" w:color="auto"/>
            <w:left w:val="none" w:sz="0" w:space="0" w:color="auto"/>
            <w:bottom w:val="none" w:sz="0" w:space="0" w:color="auto"/>
            <w:right w:val="none" w:sz="0" w:space="0" w:color="auto"/>
          </w:divBdr>
        </w:div>
        <w:div w:id="1272203627">
          <w:marLeft w:val="533"/>
          <w:marRight w:val="0"/>
          <w:marTop w:val="0"/>
          <w:marBottom w:val="0"/>
          <w:divBdr>
            <w:top w:val="none" w:sz="0" w:space="0" w:color="auto"/>
            <w:left w:val="none" w:sz="0" w:space="0" w:color="auto"/>
            <w:bottom w:val="none" w:sz="0" w:space="0" w:color="auto"/>
            <w:right w:val="none" w:sz="0" w:space="0" w:color="auto"/>
          </w:divBdr>
        </w:div>
        <w:div w:id="1914923798">
          <w:marLeft w:val="533"/>
          <w:marRight w:val="0"/>
          <w:marTop w:val="0"/>
          <w:marBottom w:val="0"/>
          <w:divBdr>
            <w:top w:val="none" w:sz="0" w:space="0" w:color="auto"/>
            <w:left w:val="none" w:sz="0" w:space="0" w:color="auto"/>
            <w:bottom w:val="none" w:sz="0" w:space="0" w:color="auto"/>
            <w:right w:val="none" w:sz="0" w:space="0" w:color="auto"/>
          </w:divBdr>
        </w:div>
        <w:div w:id="378824782">
          <w:marLeft w:val="533"/>
          <w:marRight w:val="0"/>
          <w:marTop w:val="0"/>
          <w:marBottom w:val="0"/>
          <w:divBdr>
            <w:top w:val="none" w:sz="0" w:space="0" w:color="auto"/>
            <w:left w:val="none" w:sz="0" w:space="0" w:color="auto"/>
            <w:bottom w:val="none" w:sz="0" w:space="0" w:color="auto"/>
            <w:right w:val="none" w:sz="0" w:space="0" w:color="auto"/>
          </w:divBdr>
        </w:div>
        <w:div w:id="1897937890">
          <w:marLeft w:val="274"/>
          <w:marRight w:val="0"/>
          <w:marTop w:val="240"/>
          <w:marBottom w:val="0"/>
          <w:divBdr>
            <w:top w:val="none" w:sz="0" w:space="0" w:color="auto"/>
            <w:left w:val="none" w:sz="0" w:space="0" w:color="auto"/>
            <w:bottom w:val="none" w:sz="0" w:space="0" w:color="auto"/>
            <w:right w:val="none" w:sz="0" w:space="0" w:color="auto"/>
          </w:divBdr>
        </w:div>
        <w:div w:id="1256983628">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69793006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45879993">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41CD8FA5-B322-42BF-8F1A-82D3534F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1558</Words>
  <Characters>8882</Characters>
  <Application>Microsoft Office Word</Application>
  <DocSecurity>0</DocSecurity>
  <Lines>74</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2020-08-07T03:38:00Z</dcterms:created>
  <dcterms:modified xsi:type="dcterms:W3CDTF">2020-08-07T05:36:00Z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