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8334" w14:textId="6AF8A9C1" w:rsidR="006D57DE" w:rsidRPr="003B7ED6" w:rsidRDefault="0017202C">
      <w:pPr>
        <w:pStyle w:val="Header"/>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Header"/>
        <w:tabs>
          <w:tab w:val="right" w:pos="9639"/>
        </w:tabs>
        <w:rPr>
          <w:bCs/>
          <w:sz w:val="24"/>
          <w:szCs w:val="24"/>
          <w:lang w:val="en-US" w:eastAsia="zh-CN"/>
        </w:rPr>
      </w:pPr>
      <w:r w:rsidRPr="003B7ED6">
        <w:rPr>
          <w:bCs/>
          <w:sz w:val="24"/>
          <w:szCs w:val="24"/>
          <w:lang w:val="en-US" w:eastAsia="zh-CN"/>
        </w:rPr>
        <w:t xml:space="preserve">Elbonia,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Header"/>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[AT110e][048][IAB]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Heading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ListParagraph"/>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ListParagraph"/>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r w:rsidRPr="003B7ED6">
        <w:rPr>
          <w:lang w:val="en-US"/>
        </w:rPr>
        <w:t>As a consequence, after the initial discussion during RAN2#109bis-e meeting, the following agreements with respect to IAB-MT capabilities were made:</w:t>
      </w:r>
    </w:p>
    <w:tbl>
      <w:tblPr>
        <w:tblStyle w:val="TableGrid"/>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signalling will be used at all for Wide Area MTs.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Post109bis-e][925][IAB] UE Cap (Nokia)</w:t>
      </w:r>
      <w:r w:rsidR="000A47BD" w:rsidRPr="003B7ED6">
        <w:rPr>
          <w:lang w:val="en-US"/>
        </w:rPr>
        <w:t>, which is summarized in [4]. Sections 2, 3, 4 and 5 of this document are a copy of this summary.</w:t>
      </w:r>
    </w:p>
    <w:p w14:paraId="13CAB12A" w14:textId="0ED49CCA" w:rsidR="000A47BD" w:rsidRPr="003B7ED6" w:rsidRDefault="000A47BD" w:rsidP="000A47BD">
      <w:pPr>
        <w:rPr>
          <w:lang w:val="en-US"/>
        </w:rPr>
      </w:pPr>
      <w:r w:rsidRPr="00862D2B">
        <w:rPr>
          <w:highlight w:val="yellow"/>
          <w:lang w:val="en-US"/>
        </w:rPr>
        <w:t>At the moment</w:t>
      </w:r>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lastRenderedPageBreak/>
        <w:t xml:space="preserve">[AT110e][048][IAB]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Heading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Heading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signalling.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Huawei, Hisilicon</w:t>
            </w:r>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lastRenderedPageBreak/>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Additionally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r w:rsidRPr="003B7ED6">
              <w:rPr>
                <w:lang w:val="en-US"/>
              </w:rPr>
              <w:t>Futurewei</w:t>
            </w:r>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wide-aera MTs.</w:t>
            </w:r>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We ned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ListParagraph"/>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ListParagraph"/>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ko-KR"/>
        </w:rPr>
        <w:lastRenderedPageBreak/>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NOTE: This question is about operational aspect of IAB and not about impact on capability signalling, which is discussed separately.</w:t>
      </w:r>
      <w:r w:rsidRPr="003B7ED6">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Huawei, Hisilicon</w:t>
            </w:r>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ListParagraph"/>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ListParagraph"/>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ListParagraph"/>
              <w:numPr>
                <w:ilvl w:val="0"/>
                <w:numId w:val="5"/>
              </w:numPr>
              <w:rPr>
                <w:lang w:val="en-US" w:eastAsia="ja-JP"/>
              </w:rPr>
            </w:pPr>
            <w:r w:rsidRPr="003B7ED6">
              <w:rPr>
                <w:rFonts w:eastAsiaTheme="minorEastAsia"/>
                <w:lang w:val="en-US" w:eastAsia="ja-JP"/>
              </w:rPr>
              <w:t>RRC iactive : Mandatory with capability signalling, so it can be optional</w:t>
            </w:r>
          </w:p>
          <w:p w14:paraId="09FFDB27" w14:textId="77777777" w:rsidR="006D57DE" w:rsidRPr="003B7ED6" w:rsidRDefault="0017202C">
            <w:pPr>
              <w:pStyle w:val="ListParagraph"/>
              <w:numPr>
                <w:ilvl w:val="0"/>
                <w:numId w:val="5"/>
              </w:numPr>
              <w:rPr>
                <w:lang w:val="en-US" w:eastAsia="ja-JP"/>
              </w:rPr>
            </w:pPr>
            <w:r w:rsidRPr="003B7ED6">
              <w:rPr>
                <w:lang w:val="en-US" w:eastAsia="ja-JP"/>
              </w:rPr>
              <w:t xml:space="preserve">On-demand SI : This featue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lastRenderedPageBreak/>
              <w:t>0-7</w:t>
            </w:r>
            <w:r w:rsidRPr="003B7ED6">
              <w:rPr>
                <w:lang w:val="en-US"/>
              </w:rPr>
              <w:tab/>
              <w:t>PCell operation:</w:t>
            </w:r>
          </w:p>
          <w:p w14:paraId="41A38534" w14:textId="77777777" w:rsidR="006D57DE" w:rsidRPr="003B7ED6" w:rsidRDefault="0017202C">
            <w:pPr>
              <w:rPr>
                <w:lang w:val="en-US"/>
              </w:rPr>
            </w:pPr>
            <w:r w:rsidRPr="003B7ED6">
              <w:rPr>
                <w:lang w:val="en-US"/>
              </w:rPr>
              <w:t>1) PCell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ListParagraph"/>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3) RRC connection reconfiguration without SCell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ListParagraph"/>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9-1 and 9-2. Additionally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lastRenderedPageBreak/>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lastRenderedPageBreak/>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w:t>
            </w:r>
            <w:r w:rsidRPr="003B7ED6">
              <w:rPr>
                <w:lang w:val="en-US"/>
              </w:rPr>
              <w:lastRenderedPageBreak/>
              <w:t xml:space="preserve">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lastRenderedPageBreak/>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t>Rapporteur summary for Q2:</w:t>
      </w:r>
    </w:p>
    <w:tbl>
      <w:tblPr>
        <w:tblStyle w:val="TableGrid"/>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ListParagraph"/>
              <w:numPr>
                <w:ilvl w:val="0"/>
                <w:numId w:val="10"/>
              </w:numPr>
              <w:rPr>
                <w:lang w:val="en-US"/>
              </w:rPr>
            </w:pPr>
            <w:r w:rsidRPr="003B7ED6">
              <w:rPr>
                <w:lang w:val="en-US"/>
              </w:rPr>
              <w:t>PCell operation on FR2</w:t>
            </w:r>
          </w:p>
          <w:p w14:paraId="277BD78B" w14:textId="77777777" w:rsidR="00B1495B" w:rsidRPr="003B7ED6" w:rsidRDefault="00B1495B" w:rsidP="00B1495B">
            <w:pPr>
              <w:pStyle w:val="ListParagraph"/>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ListParagraph"/>
              <w:numPr>
                <w:ilvl w:val="0"/>
                <w:numId w:val="10"/>
              </w:numPr>
              <w:rPr>
                <w:lang w:val="en-US"/>
              </w:rPr>
            </w:pPr>
            <w:r w:rsidRPr="003B7ED6">
              <w:rPr>
                <w:lang w:val="en-US"/>
              </w:rPr>
              <w:t>Inter- and intra-frequency HO</w:t>
            </w:r>
          </w:p>
          <w:p w14:paraId="49F61E62" w14:textId="77777777" w:rsidR="00B1495B" w:rsidRPr="003B7ED6" w:rsidRDefault="00B1495B" w:rsidP="00B1495B">
            <w:pPr>
              <w:pStyle w:val="ListParagraph"/>
              <w:numPr>
                <w:ilvl w:val="0"/>
                <w:numId w:val="10"/>
              </w:numPr>
              <w:rPr>
                <w:lang w:val="en-US"/>
              </w:rPr>
            </w:pPr>
            <w:r w:rsidRPr="003B7ED6">
              <w:rPr>
                <w:lang w:val="en-US"/>
              </w:rPr>
              <w:t>On-demand SI</w:t>
            </w:r>
          </w:p>
          <w:p w14:paraId="01F87A3C" w14:textId="77777777" w:rsidR="00B1495B" w:rsidRPr="003B7ED6" w:rsidRDefault="00B1495B" w:rsidP="00B1495B">
            <w:pPr>
              <w:pStyle w:val="ListParagraph"/>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Heading2"/>
        <w:rPr>
          <w:lang w:val="en-US"/>
        </w:rPr>
      </w:pPr>
      <w:r w:rsidRPr="003B7ED6">
        <w:rPr>
          <w:lang w:val="en-US"/>
        </w:rPr>
        <w:t>2.2</w:t>
      </w:r>
      <w:r w:rsidRPr="003B7ED6">
        <w:rPr>
          <w:lang w:val="en-US"/>
        </w:rPr>
        <w:tab/>
        <w:t>Capability signalling for Wide-Area IAB-MT</w:t>
      </w:r>
    </w:p>
    <w:p w14:paraId="131D2FE3" w14:textId="77777777" w:rsidR="006D57DE" w:rsidRPr="003B7ED6" w:rsidRDefault="0017202C">
      <w:pPr>
        <w:rPr>
          <w:lang w:val="en-US"/>
        </w:rPr>
      </w:pPr>
      <w:r w:rsidRPr="003B7ED6">
        <w:rPr>
          <w:lang w:val="en-US"/>
        </w:rPr>
        <w:t>Another issue discussed in RAN2#109bis-e meeting was related to capability signalling of IAB-MT features. The proposals ranged from not having capability signalling for IAB-MT at all, to indicating that the capability signalling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lastRenderedPageBreak/>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Huawei, Hisilicon</w:t>
            </w:r>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Can also consider to capture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r w:rsidRPr="003B7ED6">
              <w:rPr>
                <w:lang w:val="en-US"/>
              </w:rPr>
              <w:t>Futurewei</w:t>
            </w:r>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w:t>
            </w:r>
            <w:r w:rsidRPr="003B7ED6">
              <w:rPr>
                <w:rFonts w:eastAsia="Malgun Gothic"/>
                <w:lang w:val="en-US" w:eastAsia="ko-KR"/>
              </w:rPr>
              <w:lastRenderedPageBreak/>
              <w:t xml:space="preserve">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TableGrid"/>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sidRPr="003B7ED6">
        <w:rPr>
          <w:i/>
          <w:iCs/>
          <w:lang w:val="en-US"/>
        </w:rPr>
        <w:t>iab-NodeIndication-r16</w:t>
      </w:r>
      <w:r w:rsidRPr="003B7ED6">
        <w:rPr>
          <w:lang w:val="en-US"/>
        </w:rPr>
        <w:t xml:space="preserve"> presence in RRCSetupComplete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RRCSetupComplete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Huawei, Hisilicon</w:t>
            </w:r>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iab-NodeIndication-r16 in RRCSetupComplete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r w:rsidRPr="003B7ED6">
              <w:rPr>
                <w:lang w:val="en-US" w:eastAsia="ja-JP"/>
              </w:rPr>
              <w:t>Iab-nodeIndication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lastRenderedPageBreak/>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r w:rsidRPr="003B7ED6">
              <w:rPr>
                <w:lang w:val="en-US"/>
              </w:rPr>
              <w:t>Futurewei</w:t>
            </w:r>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Based on RRCSetupComplete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be  a new field added in the </w:t>
            </w:r>
            <w:r w:rsidRPr="003B7ED6">
              <w:rPr>
                <w:rFonts w:eastAsia="DengXian"/>
                <w:bCs/>
                <w:i/>
                <w:iCs/>
                <w:lang w:val="en-US" w:eastAsia="zh-CN"/>
              </w:rPr>
              <w:t>RRCSetupComplete</w:t>
            </w:r>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is able to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wide-aera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TableGrid"/>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RRCSetupComplete message and no capability signalling is needed for that. </w:t>
            </w:r>
          </w:p>
          <w:p w14:paraId="3C3E944F" w14:textId="5954FF08" w:rsidR="00286E8D" w:rsidRPr="003B7ED6" w:rsidRDefault="004D1EA4" w:rsidP="002B0DF2">
            <w:pPr>
              <w:rPr>
                <w:lang w:val="en-US"/>
              </w:rPr>
            </w:pPr>
            <w:r w:rsidRPr="003B7ED6">
              <w:rPr>
                <w:rFonts w:eastAsia="Malgun Gothic"/>
                <w:b/>
                <w:iCs/>
                <w:lang w:val="en-US" w:eastAsia="ko-KR"/>
              </w:rPr>
              <w:t>Proposal 6: Inclusion of iab-NodeIndication-r16 in RRCSetupComplete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ListParagraph"/>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ListParagraph"/>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lastRenderedPageBreak/>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t>Huawei, Hisilicon</w:t>
            </w:r>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It is our understanding this approach can be applied to all features in Rel-15, Rel-16 and beyond, for wide-area IAB, which means no signalling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An IAB node has to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We prefer to use standardized signalling/interface.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Capability signalling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First, the wide area/local area IAB MT differentiation itself is not based on any features/feature sets. Its entirely based on deployment considerations such as min distance to UE, coupling loss, etc.</w:t>
            </w:r>
          </w:p>
          <w:p w14:paraId="619BE941" w14:textId="77777777" w:rsidR="006D57DE" w:rsidRPr="003B7ED6" w:rsidRDefault="0017202C">
            <w:pPr>
              <w:rPr>
                <w:lang w:val="en-US"/>
              </w:rPr>
            </w:pPr>
            <w:r w:rsidRPr="003B7ED6">
              <w:rPr>
                <w:lang w:val="en-US"/>
              </w:rPr>
              <w:t>The declaration approach is just trying to recreate what is already enabled with capability signalling. We do not see a need to create yet another framework for this purpose.</w:t>
            </w:r>
          </w:p>
          <w:p w14:paraId="35505EEC" w14:textId="77777777" w:rsidR="006D57DE" w:rsidRPr="003B7ED6" w:rsidRDefault="0017202C">
            <w:pPr>
              <w:rPr>
                <w:lang w:val="en-US" w:eastAsia="ja-JP"/>
              </w:rPr>
            </w:pPr>
            <w:r w:rsidRPr="003B7ED6">
              <w:rPr>
                <w:lang w:val="en-US"/>
              </w:rPr>
              <w:t>Capability signalling is needed for both wide area IAB nodes and local area IAB nodes. Some features that are optional are still very beneficial in IAB networks (for example, support of configured grants, which can help reduce latency). In order to discover/know support of such features, capability signalling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signalling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r w:rsidRPr="003B7ED6">
              <w:rPr>
                <w:lang w:val="en-US"/>
              </w:rPr>
              <w:t>Futurewei</w:t>
            </w:r>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lastRenderedPageBreak/>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r w:rsidRPr="003B7ED6">
              <w:rPr>
                <w:rFonts w:eastAsia="Malgun Gothic"/>
                <w:lang w:val="en-US" w:eastAsia="ko-KR"/>
              </w:rPr>
              <w:t xml:space="preserve">First of all, standardized capability signalling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So, we believe that standardized capability signalling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only feasible option at this point of time considering the next meeting is the very last one and signalling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TableGrid"/>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ListParagraph"/>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ListParagraph"/>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favour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lastRenderedPageBreak/>
              <w:t xml:space="preserve">The companies in favour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Heading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ko-KR"/>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lastRenderedPageBreak/>
        <w:t>Question 5: Do you think there should be additional features included in the minimum set of capabilities for Local-Area IAB-MT, in addition to those defined for Wide-Area IAB-MT? If yes, please name these features and provide a justification.</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5) Failure handling (including both MN and SN)for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ListParagraph"/>
              <w:ind w:left="284"/>
              <w:rPr>
                <w:lang w:val="en-US"/>
              </w:rPr>
            </w:pPr>
            <w:r w:rsidRPr="003B7ED6">
              <w:rPr>
                <w:lang w:val="en-US"/>
              </w:rPr>
              <w:t xml:space="preserve">0-7 PCell operation in FR2 for </w:t>
            </w:r>
          </w:p>
          <w:p w14:paraId="5D38591A" w14:textId="77777777" w:rsidR="006D57DE" w:rsidRPr="003B7ED6" w:rsidRDefault="006D57DE">
            <w:pPr>
              <w:pStyle w:val="ListParagraph"/>
              <w:ind w:left="0"/>
              <w:rPr>
                <w:lang w:val="en-US"/>
              </w:rPr>
            </w:pPr>
          </w:p>
          <w:p w14:paraId="55BF32EE" w14:textId="77777777" w:rsidR="006D57DE" w:rsidRPr="003B7ED6" w:rsidRDefault="0017202C">
            <w:pPr>
              <w:pStyle w:val="ListParagraph"/>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t>Huawei, Hisilicon</w:t>
            </w:r>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In case the local Area IAB nodes are deployed in an unplanned way, i.e. without negotiation between vendors and operators beforehand, capability signalling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lastRenderedPageBreak/>
              <w:t>0-7 PCell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r w:rsidRPr="003B7ED6">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682BCBEC" w14:textId="77777777" w:rsidR="000D54D4" w:rsidRPr="003B7ED6" w:rsidRDefault="000D54D4" w:rsidP="000D54D4">
            <w:pPr>
              <w:rPr>
                <w:lang w:val="en-US" w:eastAsia="zh-CN"/>
              </w:rPr>
            </w:pPr>
            <w:r w:rsidRPr="003B7ED6">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r w:rsidRPr="003B7ED6">
              <w:rPr>
                <w:lang w:val="en-US" w:eastAsia="zh-CN"/>
              </w:rPr>
              <w:t>Futurewei</w:t>
            </w:r>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lastRenderedPageBreak/>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The UE capability signalling process can be re-used for local-area IAB-MTs, so that the additional (optional) features can be signalled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sufficient. Any additional capabilities can be signalled via standardized capability signalling.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It would depend on how minimum set for wide area IAB is defined. But in general we agree with Huawei, since the minimum set for wide area IAB is supposed to be defined as to ensure proper operation until UE capability signalling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TableGrid"/>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ListParagraph"/>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ListParagraph"/>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ListParagraph"/>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The companies in favour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The companies in favour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lastRenderedPageBreak/>
        <w:t>Question 6: Do you think there should be any difference with the approach towards capability signalling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The WID claims that IAB allows “..</w:t>
            </w:r>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The high density of nodes implies that IAB-nodes are “local-area” rather than “wide-area”. For a dense network, capability signalling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t>Huawei, Hisilicon</w:t>
            </w:r>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If there is a need to deploy the local Area IAB nodes in an unplanned way, i.e. without negotiation between vendors and operators beforehand, it is fine to support capability signalling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The wide-area IAB node is considered a network node and as such does not need any support for standardized capability signalling. The local-area IAB node is designed for unplanned deployment and therefore needs to be more flexible and support standardized capability signalling, such as UE capability signalling.</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We believe capability signalling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We support capability signalling for both wide area IAB nodes and local area IAB nodes. Some features that are optional are still very beneficial in IAB networks (for example, support of configured grants). In order to discover/know support of such features, capability signalling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for  both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signalling’ for wide area IAB-MT then in our view local area IAB-MT uses a different mechanism.  Some capability signalling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r w:rsidRPr="003B7ED6">
              <w:rPr>
                <w:lang w:val="en-US" w:eastAsia="zh-CN"/>
              </w:rPr>
              <w:t>Futurewei</w:t>
            </w:r>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r w:rsidRPr="003B7ED6">
              <w:rPr>
                <w:lang w:val="en-US" w:eastAsia="zh-CN"/>
              </w:rPr>
              <w:t xml:space="preserve">Assuming that OAM configuration does not scale for local-area IAB nodes, then more details of the IAB node’s capabilities would need to be signalled. The real question is whether it would be sufficient to only signal IAB-MT capabilities, or if </w:t>
            </w:r>
            <w:r w:rsidRPr="003B7ED6">
              <w:rPr>
                <w:lang w:val="en-US" w:eastAsia="zh-CN"/>
              </w:rPr>
              <w:lastRenderedPageBreak/>
              <w:t>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lastRenderedPageBreak/>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We assume there always will be some negotiation between a vendor and an operator for deployment of any nodes in the network. Local area IAB nodes are similar to small cells in that regards for example. On the other hand, having some capability signalling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The UE capability signalling process can be re-used for local-area IAB-MTs, so that the additional (optional) features can be signalled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r w:rsidRPr="003B7ED6">
              <w:rPr>
                <w:rFonts w:eastAsia="Malgun Gothic"/>
                <w:lang w:val="en-US" w:eastAsia="ko-KR"/>
              </w:rPr>
              <w:t xml:space="preserve">First of all, standardized capability signalling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in terms of capabilities. So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signalling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TableGrid"/>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Proposal 9: Local-Area IAB-MTs have to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Heading1"/>
        <w:rPr>
          <w:lang w:val="en-US"/>
        </w:rPr>
      </w:pPr>
      <w:r w:rsidRPr="003B7ED6">
        <w:rPr>
          <w:lang w:val="en-US"/>
        </w:rPr>
        <w:lastRenderedPageBreak/>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TableGrid"/>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The introduction of capability signalling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signalling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t>Apple</w:t>
            </w:r>
          </w:p>
        </w:tc>
        <w:tc>
          <w:tcPr>
            <w:tcW w:w="7229" w:type="dxa"/>
          </w:tcPr>
          <w:p w14:paraId="3C0C3C7A" w14:textId="3A035196" w:rsidR="00C23E2F" w:rsidRPr="003B7ED6" w:rsidRDefault="00C23E2F" w:rsidP="00C23E2F">
            <w:pPr>
              <w:rPr>
                <w:lang w:val="en-US"/>
              </w:rPr>
            </w:pPr>
            <w:r w:rsidRPr="003B7ED6">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Heading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[Post109bis-e][925][IAB]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ListParagraph"/>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ListParagraph"/>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Proposal 6: Inclusion of iab-NodeIndication-r16 in RRCSetupComplete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lastRenderedPageBreak/>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Proposal 9: Local-Area IAB-MTs have to support the UE capability signaling framework.</w:t>
      </w:r>
    </w:p>
    <w:p w14:paraId="55C306B9" w14:textId="70E556FB" w:rsidR="00862D2B" w:rsidRDefault="00862D2B" w:rsidP="00862D2B">
      <w:pPr>
        <w:pStyle w:val="Heading1"/>
        <w:rPr>
          <w:lang w:val="en-US"/>
        </w:rPr>
      </w:pPr>
      <w:r>
        <w:rPr>
          <w:lang w:val="en-US"/>
        </w:rPr>
        <w:t>6</w:t>
      </w:r>
      <w:r w:rsidRPr="003B7ED6">
        <w:rPr>
          <w:lang w:val="en-US"/>
        </w:rPr>
        <w:tab/>
      </w:r>
      <w:r w:rsidRPr="00862D2B">
        <w:rPr>
          <w:lang w:val="en-US"/>
        </w:rPr>
        <w:t>[AT110e][048][IAB] UE capabilities (Nokia)</w:t>
      </w:r>
      <w:r>
        <w:rPr>
          <w:lang w:val="en-US"/>
        </w:rPr>
        <w:t xml:space="preserve"> – Phase 1</w:t>
      </w:r>
    </w:p>
    <w:p w14:paraId="6D3BC819" w14:textId="0A01B4B0" w:rsidR="00F04168" w:rsidRDefault="00F04168" w:rsidP="00F04168">
      <w:pPr>
        <w:pStyle w:val="Heading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[Post109bis-e][925][IAB]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TableGrid"/>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ListParagraph"/>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ListParagraph"/>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ListParagraph"/>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Proposal 6: Inclusion of iab-NodeIndication-r16 in RRCSetupComplete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77777777" w:rsidR="00DB7DBF" w:rsidRDefault="00DB7DBF">
            <w:pPr>
              <w:rPr>
                <w:lang w:val="en-US"/>
              </w:rPr>
            </w:pPr>
          </w:p>
        </w:tc>
        <w:tc>
          <w:tcPr>
            <w:tcW w:w="1843" w:type="dxa"/>
          </w:tcPr>
          <w:p w14:paraId="7C3941B3" w14:textId="77777777" w:rsidR="00DB7DBF" w:rsidRDefault="00DB7DBF">
            <w:pPr>
              <w:rPr>
                <w:lang w:val="en-US"/>
              </w:rPr>
            </w:pPr>
          </w:p>
        </w:tc>
        <w:tc>
          <w:tcPr>
            <w:tcW w:w="5525" w:type="dxa"/>
          </w:tcPr>
          <w:p w14:paraId="3B9A77DF" w14:textId="77777777" w:rsidR="00DB7DBF" w:rsidRDefault="00DB7DBF">
            <w:pPr>
              <w:rPr>
                <w:lang w:val="en-US"/>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favour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OAM, but would allow to </w:t>
      </w:r>
      <w:r w:rsidR="00A344C5">
        <w:rPr>
          <w:lang w:val="en-US"/>
        </w:rPr>
        <w:t xml:space="preserve">reuse the current UE/network behaviour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TableGrid"/>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4275A1">
            <w:pPr>
              <w:rPr>
                <w:b/>
                <w:bCs/>
                <w:lang w:val="en-US"/>
              </w:rPr>
            </w:pPr>
            <w:r w:rsidRPr="00DB7DBF">
              <w:rPr>
                <w:b/>
                <w:bCs/>
                <w:lang w:val="en-US"/>
              </w:rPr>
              <w:lastRenderedPageBreak/>
              <w:t>Company</w:t>
            </w:r>
          </w:p>
        </w:tc>
        <w:tc>
          <w:tcPr>
            <w:tcW w:w="993" w:type="dxa"/>
          </w:tcPr>
          <w:p w14:paraId="2FA6D5CF" w14:textId="64578B61" w:rsidR="00947FE7" w:rsidRPr="00DB7DBF" w:rsidRDefault="00947FE7" w:rsidP="004275A1">
            <w:pPr>
              <w:rPr>
                <w:b/>
                <w:bCs/>
                <w:lang w:val="en-US"/>
              </w:rPr>
            </w:pPr>
            <w:r>
              <w:rPr>
                <w:b/>
                <w:bCs/>
                <w:lang w:val="en-US"/>
              </w:rPr>
              <w:t>Yes/No</w:t>
            </w:r>
          </w:p>
        </w:tc>
        <w:tc>
          <w:tcPr>
            <w:tcW w:w="6375" w:type="dxa"/>
          </w:tcPr>
          <w:p w14:paraId="2E653D7E" w14:textId="274605F4" w:rsidR="00947FE7" w:rsidRPr="00DB7DBF" w:rsidRDefault="00947FE7" w:rsidP="004275A1">
            <w:pPr>
              <w:rPr>
                <w:b/>
                <w:bCs/>
                <w:lang w:val="en-US"/>
              </w:rPr>
            </w:pPr>
            <w:r w:rsidRPr="00DB7DBF">
              <w:rPr>
                <w:b/>
                <w:bCs/>
                <w:lang w:val="en-US"/>
              </w:rPr>
              <w:t>Justification</w:t>
            </w:r>
          </w:p>
        </w:tc>
      </w:tr>
      <w:tr w:rsidR="00947FE7" w14:paraId="0D9D1D56" w14:textId="77777777" w:rsidTr="00A344C5">
        <w:tc>
          <w:tcPr>
            <w:tcW w:w="2263" w:type="dxa"/>
          </w:tcPr>
          <w:p w14:paraId="57B72671" w14:textId="77777777" w:rsidR="00947FE7" w:rsidRDefault="00947FE7" w:rsidP="004275A1">
            <w:pPr>
              <w:rPr>
                <w:lang w:val="en-US"/>
              </w:rPr>
            </w:pPr>
          </w:p>
        </w:tc>
        <w:tc>
          <w:tcPr>
            <w:tcW w:w="993" w:type="dxa"/>
          </w:tcPr>
          <w:p w14:paraId="284AA4FA" w14:textId="77777777" w:rsidR="00947FE7" w:rsidRDefault="00947FE7" w:rsidP="004275A1">
            <w:pPr>
              <w:rPr>
                <w:lang w:val="en-US"/>
              </w:rPr>
            </w:pPr>
          </w:p>
        </w:tc>
        <w:tc>
          <w:tcPr>
            <w:tcW w:w="6375" w:type="dxa"/>
          </w:tcPr>
          <w:p w14:paraId="52A7E230" w14:textId="77777777" w:rsidR="00947FE7" w:rsidRDefault="00947FE7" w:rsidP="004275A1">
            <w:pPr>
              <w:rPr>
                <w:lang w:val="en-US"/>
              </w:rPr>
            </w:pPr>
          </w:p>
        </w:tc>
      </w:tr>
    </w:tbl>
    <w:p w14:paraId="5A326B26" w14:textId="07192692" w:rsidR="00C0779C" w:rsidRDefault="00C0779C">
      <w:pPr>
        <w:rPr>
          <w:lang w:val="en-US"/>
        </w:rPr>
      </w:pPr>
    </w:p>
    <w:p w14:paraId="13FCAFAD" w14:textId="3F60FBE6" w:rsidR="00725538" w:rsidRDefault="00C0779C">
      <w:pPr>
        <w:rPr>
          <w:lang w:val="en-US"/>
        </w:rPr>
      </w:pPr>
      <w:r>
        <w:rPr>
          <w:lang w:val="en-US"/>
        </w:rPr>
        <w:t>Another aspect,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TableGrid"/>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4275A1">
            <w:pPr>
              <w:pStyle w:val="TAH"/>
            </w:pPr>
            <w:r w:rsidRPr="000E3724">
              <w:t>Features</w:t>
            </w:r>
          </w:p>
        </w:tc>
        <w:tc>
          <w:tcPr>
            <w:tcW w:w="443" w:type="dxa"/>
          </w:tcPr>
          <w:p w14:paraId="142465CB" w14:textId="77777777" w:rsidR="00725538" w:rsidRPr="000E3724" w:rsidRDefault="00725538" w:rsidP="004275A1">
            <w:pPr>
              <w:pStyle w:val="TAH"/>
            </w:pPr>
            <w:r w:rsidRPr="000E3724">
              <w:t>Index</w:t>
            </w:r>
          </w:p>
        </w:tc>
        <w:tc>
          <w:tcPr>
            <w:tcW w:w="887" w:type="dxa"/>
          </w:tcPr>
          <w:p w14:paraId="5361DF6E" w14:textId="77777777" w:rsidR="00725538" w:rsidRPr="000E3724" w:rsidRDefault="00725538" w:rsidP="004275A1">
            <w:pPr>
              <w:pStyle w:val="TAH"/>
            </w:pPr>
            <w:r w:rsidRPr="000E3724">
              <w:t>Feature group</w:t>
            </w:r>
          </w:p>
        </w:tc>
        <w:tc>
          <w:tcPr>
            <w:tcW w:w="1206" w:type="dxa"/>
          </w:tcPr>
          <w:p w14:paraId="6CC57220" w14:textId="77777777" w:rsidR="00725538" w:rsidRPr="000E3724" w:rsidRDefault="00725538" w:rsidP="004275A1">
            <w:pPr>
              <w:pStyle w:val="TAH"/>
            </w:pPr>
            <w:r w:rsidRPr="000E3724">
              <w:t>Components</w:t>
            </w:r>
          </w:p>
        </w:tc>
        <w:tc>
          <w:tcPr>
            <w:tcW w:w="359" w:type="dxa"/>
          </w:tcPr>
          <w:p w14:paraId="6DB8166E" w14:textId="77777777" w:rsidR="00725538" w:rsidRPr="000E3724" w:rsidRDefault="00725538" w:rsidP="004275A1">
            <w:pPr>
              <w:pStyle w:val="TAH"/>
            </w:pPr>
            <w:r w:rsidRPr="000E3724">
              <w:t>Prerequisite feature groups</w:t>
            </w:r>
          </w:p>
        </w:tc>
        <w:tc>
          <w:tcPr>
            <w:tcW w:w="1494" w:type="dxa"/>
          </w:tcPr>
          <w:p w14:paraId="4A416DE0" w14:textId="77777777" w:rsidR="00725538" w:rsidRPr="000E3724" w:rsidRDefault="00725538" w:rsidP="004275A1">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4275A1">
            <w:pPr>
              <w:pStyle w:val="TAH"/>
            </w:pPr>
            <w:r w:rsidRPr="000E3724">
              <w:t>Need of FDD/TDD differentiation</w:t>
            </w:r>
          </w:p>
        </w:tc>
        <w:tc>
          <w:tcPr>
            <w:tcW w:w="579" w:type="dxa"/>
          </w:tcPr>
          <w:p w14:paraId="6AE6770E" w14:textId="77777777" w:rsidR="00725538" w:rsidRPr="000E3724" w:rsidRDefault="00725538" w:rsidP="004275A1">
            <w:pPr>
              <w:pStyle w:val="TAH"/>
            </w:pPr>
            <w:r w:rsidRPr="000E3724">
              <w:t>Need of FR1/FR2 differentiation</w:t>
            </w:r>
          </w:p>
        </w:tc>
        <w:tc>
          <w:tcPr>
            <w:tcW w:w="707" w:type="dxa"/>
          </w:tcPr>
          <w:p w14:paraId="267248AD" w14:textId="77777777" w:rsidR="00725538" w:rsidRPr="000E3724" w:rsidRDefault="00725538" w:rsidP="004275A1">
            <w:pPr>
              <w:pStyle w:val="TAH"/>
            </w:pPr>
            <w:r w:rsidRPr="000E3724">
              <w:t>Note</w:t>
            </w:r>
          </w:p>
        </w:tc>
        <w:tc>
          <w:tcPr>
            <w:tcW w:w="1210" w:type="dxa"/>
          </w:tcPr>
          <w:p w14:paraId="095AE09B" w14:textId="77777777" w:rsidR="00725538" w:rsidRPr="000E3724" w:rsidRDefault="00725538" w:rsidP="004275A1">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as-ReflectiveQoS</w:t>
            </w:r>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TableGrid"/>
        <w:tblW w:w="0" w:type="auto"/>
        <w:tblLook w:val="04A0" w:firstRow="1" w:lastRow="0" w:firstColumn="1" w:lastColumn="0" w:noHBand="0" w:noVBand="1"/>
      </w:tblPr>
      <w:tblGrid>
        <w:gridCol w:w="2263"/>
        <w:gridCol w:w="993"/>
        <w:gridCol w:w="6375"/>
      </w:tblGrid>
      <w:tr w:rsidR="00493D8E" w:rsidRPr="00DB7DBF" w14:paraId="565C0377" w14:textId="77777777" w:rsidTr="004275A1">
        <w:tc>
          <w:tcPr>
            <w:tcW w:w="2263" w:type="dxa"/>
          </w:tcPr>
          <w:p w14:paraId="1A802F3A" w14:textId="77777777" w:rsidR="00493D8E" w:rsidRPr="00DB7DBF" w:rsidRDefault="00493D8E" w:rsidP="004275A1">
            <w:pPr>
              <w:rPr>
                <w:b/>
                <w:bCs/>
                <w:lang w:val="en-US"/>
              </w:rPr>
            </w:pPr>
            <w:r w:rsidRPr="00DB7DBF">
              <w:rPr>
                <w:b/>
                <w:bCs/>
                <w:lang w:val="en-US"/>
              </w:rPr>
              <w:t>Company</w:t>
            </w:r>
          </w:p>
        </w:tc>
        <w:tc>
          <w:tcPr>
            <w:tcW w:w="993" w:type="dxa"/>
          </w:tcPr>
          <w:p w14:paraId="42A077C5" w14:textId="77777777" w:rsidR="00493D8E" w:rsidRPr="00DB7DBF" w:rsidRDefault="00493D8E" w:rsidP="004275A1">
            <w:pPr>
              <w:rPr>
                <w:b/>
                <w:bCs/>
                <w:lang w:val="en-US"/>
              </w:rPr>
            </w:pPr>
            <w:r>
              <w:rPr>
                <w:b/>
                <w:bCs/>
                <w:lang w:val="en-US"/>
              </w:rPr>
              <w:t>Yes/No</w:t>
            </w:r>
          </w:p>
        </w:tc>
        <w:tc>
          <w:tcPr>
            <w:tcW w:w="6375" w:type="dxa"/>
          </w:tcPr>
          <w:p w14:paraId="211FA725" w14:textId="77777777" w:rsidR="00493D8E" w:rsidRPr="00DB7DBF" w:rsidRDefault="00493D8E" w:rsidP="004275A1">
            <w:pPr>
              <w:rPr>
                <w:b/>
                <w:bCs/>
                <w:lang w:val="en-US"/>
              </w:rPr>
            </w:pPr>
            <w:r w:rsidRPr="00DB7DBF">
              <w:rPr>
                <w:b/>
                <w:bCs/>
                <w:lang w:val="en-US"/>
              </w:rPr>
              <w:t>Justification</w:t>
            </w:r>
          </w:p>
        </w:tc>
      </w:tr>
      <w:tr w:rsidR="00493D8E" w14:paraId="2B9AB562" w14:textId="77777777" w:rsidTr="004275A1">
        <w:tc>
          <w:tcPr>
            <w:tcW w:w="2263" w:type="dxa"/>
          </w:tcPr>
          <w:p w14:paraId="22FDE1F2" w14:textId="77777777" w:rsidR="00493D8E" w:rsidRDefault="00493D8E" w:rsidP="004275A1">
            <w:pPr>
              <w:rPr>
                <w:lang w:val="en-US"/>
              </w:rPr>
            </w:pPr>
          </w:p>
        </w:tc>
        <w:tc>
          <w:tcPr>
            <w:tcW w:w="993" w:type="dxa"/>
          </w:tcPr>
          <w:p w14:paraId="00D1C21B" w14:textId="77777777" w:rsidR="00493D8E" w:rsidRDefault="00493D8E" w:rsidP="004275A1">
            <w:pPr>
              <w:rPr>
                <w:lang w:val="en-US"/>
              </w:rPr>
            </w:pPr>
          </w:p>
        </w:tc>
        <w:tc>
          <w:tcPr>
            <w:tcW w:w="6375" w:type="dxa"/>
          </w:tcPr>
          <w:p w14:paraId="0A103A56" w14:textId="77777777" w:rsidR="00493D8E" w:rsidRDefault="00493D8E" w:rsidP="004275A1">
            <w:pPr>
              <w:rPr>
                <w:lang w:val="en-US"/>
              </w:rPr>
            </w:pPr>
          </w:p>
        </w:tc>
      </w:tr>
    </w:tbl>
    <w:p w14:paraId="10DCF113" w14:textId="77777777" w:rsidR="00C0779C" w:rsidRDefault="00C0779C">
      <w:pPr>
        <w:rPr>
          <w:lang w:val="en-US"/>
        </w:rPr>
      </w:pPr>
    </w:p>
    <w:p w14:paraId="2AFD7362" w14:textId="163E24B3" w:rsidR="00947FE7" w:rsidRDefault="00D26BC4">
      <w:pPr>
        <w:rPr>
          <w:lang w:val="en-US"/>
        </w:rPr>
      </w:pPr>
      <w:r>
        <w:rPr>
          <w:lang w:val="en-US"/>
        </w:rPr>
        <w:t>With respect</w:t>
      </w:r>
      <w:r w:rsidR="00F04168" w:rsidRPr="00F04168">
        <w:rPr>
          <w:lang w:val="en-US"/>
        </w:rPr>
        <w:t xml:space="preserve"> to </w:t>
      </w:r>
      <w:r w:rsidR="00F04168">
        <w:rPr>
          <w:lang w:val="en-US"/>
        </w:rPr>
        <w:t>the aspect of capabilities signalling</w:t>
      </w:r>
      <w:r w:rsidR="004C3E2C">
        <w:rPr>
          <w:lang w:val="en-US"/>
        </w:rPr>
        <w:t>, the views from majority of the companies was that Wide-Area IAB-MT should not have to support UE capabilities signalling while UE capabilities signalling should be supported by Local-Area IAB-MT. Hence, the following two proposals are brought up for agreement:</w:t>
      </w:r>
    </w:p>
    <w:tbl>
      <w:tblPr>
        <w:tblStyle w:val="TableGrid"/>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lastRenderedPageBreak/>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Proposal 9: Local-Area IAB-MTs have to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w:t>
      </w:r>
      <w:r w:rsidR="007F282C">
        <w:rPr>
          <w:b/>
          <w:bCs/>
          <w:lang w:val="en-US"/>
        </w:rPr>
        <w:t>(please reply only if you object</w:t>
      </w:r>
      <w:r w:rsidR="005E0E02" w:rsidRPr="005E0E02">
        <w:rPr>
          <w:b/>
          <w:bCs/>
          <w:lang w:val="en-US"/>
        </w:rPr>
        <w:t xml:space="preserve"> </w:t>
      </w:r>
      <w:r w:rsidR="005E0E02">
        <w:rPr>
          <w:b/>
          <w:bCs/>
          <w:lang w:val="en-US"/>
        </w:rPr>
        <w:t>to any of the proposals</w:t>
      </w:r>
      <w:bookmarkStart w:id="1" w:name="_GoBack"/>
      <w:bookmarkEnd w:id="1"/>
      <w:r w:rsidR="007F282C">
        <w:rPr>
          <w:b/>
          <w:bCs/>
          <w:lang w:val="en-US"/>
        </w:rPr>
        <w:t>)</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4C3E2C" w14:paraId="2D6D4CEE" w14:textId="77777777" w:rsidTr="004275A1">
        <w:tc>
          <w:tcPr>
            <w:tcW w:w="2263" w:type="dxa"/>
          </w:tcPr>
          <w:p w14:paraId="40C0102D" w14:textId="77777777" w:rsidR="004C3E2C" w:rsidRPr="00DB7DBF" w:rsidRDefault="004C3E2C" w:rsidP="004275A1">
            <w:pPr>
              <w:rPr>
                <w:b/>
                <w:bCs/>
                <w:lang w:val="en-US"/>
              </w:rPr>
            </w:pPr>
            <w:r w:rsidRPr="00DB7DBF">
              <w:rPr>
                <w:b/>
                <w:bCs/>
                <w:lang w:val="en-US"/>
              </w:rPr>
              <w:t>Company</w:t>
            </w:r>
          </w:p>
        </w:tc>
        <w:tc>
          <w:tcPr>
            <w:tcW w:w="1843" w:type="dxa"/>
          </w:tcPr>
          <w:p w14:paraId="23395B9A" w14:textId="77777777" w:rsidR="004C3E2C" w:rsidRPr="00DB7DBF" w:rsidRDefault="004C3E2C" w:rsidP="004275A1">
            <w:pPr>
              <w:rPr>
                <w:b/>
                <w:bCs/>
                <w:lang w:val="en-US"/>
              </w:rPr>
            </w:pPr>
            <w:r w:rsidRPr="00DB7DBF">
              <w:rPr>
                <w:b/>
                <w:bCs/>
                <w:lang w:val="en-US"/>
              </w:rPr>
              <w:t>Objected proposal</w:t>
            </w:r>
          </w:p>
        </w:tc>
        <w:tc>
          <w:tcPr>
            <w:tcW w:w="5525" w:type="dxa"/>
          </w:tcPr>
          <w:p w14:paraId="6A7BE0D5" w14:textId="77777777" w:rsidR="004C3E2C" w:rsidRPr="00DB7DBF" w:rsidRDefault="004C3E2C" w:rsidP="004275A1">
            <w:pPr>
              <w:rPr>
                <w:b/>
                <w:bCs/>
                <w:lang w:val="en-US"/>
              </w:rPr>
            </w:pPr>
            <w:r w:rsidRPr="00DB7DBF">
              <w:rPr>
                <w:b/>
                <w:bCs/>
                <w:lang w:val="en-US"/>
              </w:rPr>
              <w:t>Justification and alternative proposal</w:t>
            </w:r>
          </w:p>
        </w:tc>
      </w:tr>
      <w:tr w:rsidR="004C3E2C" w14:paraId="5C671AFC" w14:textId="77777777" w:rsidTr="004275A1">
        <w:tc>
          <w:tcPr>
            <w:tcW w:w="2263" w:type="dxa"/>
          </w:tcPr>
          <w:p w14:paraId="552D2279" w14:textId="77777777" w:rsidR="004C3E2C" w:rsidRDefault="004C3E2C" w:rsidP="004275A1">
            <w:pPr>
              <w:rPr>
                <w:lang w:val="en-US"/>
              </w:rPr>
            </w:pPr>
          </w:p>
        </w:tc>
        <w:tc>
          <w:tcPr>
            <w:tcW w:w="1843" w:type="dxa"/>
          </w:tcPr>
          <w:p w14:paraId="3F9057E5" w14:textId="77777777" w:rsidR="004C3E2C" w:rsidRDefault="004C3E2C" w:rsidP="004275A1">
            <w:pPr>
              <w:rPr>
                <w:lang w:val="en-US"/>
              </w:rPr>
            </w:pPr>
          </w:p>
        </w:tc>
        <w:tc>
          <w:tcPr>
            <w:tcW w:w="5525" w:type="dxa"/>
          </w:tcPr>
          <w:p w14:paraId="1F88C12A" w14:textId="77777777" w:rsidR="004C3E2C" w:rsidRDefault="004C3E2C" w:rsidP="004275A1">
            <w:pPr>
              <w:rPr>
                <w:lang w:val="en-US"/>
              </w:rPr>
            </w:pP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TableGrid"/>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ListParagraph"/>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ListParagraph"/>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ListParagraph"/>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ListParagraph"/>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ListParagraph"/>
              <w:numPr>
                <w:ilvl w:val="0"/>
                <w:numId w:val="14"/>
              </w:numPr>
              <w:rPr>
                <w:lang w:val="en-US"/>
              </w:rPr>
            </w:pPr>
            <w:r w:rsidRPr="00F2334E">
              <w:rPr>
                <w:lang w:val="en-US"/>
              </w:rPr>
              <w:t>MAC; 3-0 Basic MAC procedures</w:t>
            </w:r>
          </w:p>
          <w:p w14:paraId="387E15C2" w14:textId="361F9AA9" w:rsidR="00F56817" w:rsidRPr="00824A7F" w:rsidRDefault="00F56817" w:rsidP="00F56817">
            <w:pPr>
              <w:pStyle w:val="ListParagraph"/>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ListParagraph"/>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6A567298"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were split with a minimal majority being in favour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signalling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favour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TableGrid"/>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4275A1">
            <w:pPr>
              <w:rPr>
                <w:b/>
                <w:bCs/>
                <w:lang w:val="en-US"/>
              </w:rPr>
            </w:pPr>
            <w:r w:rsidRPr="00DB7DBF">
              <w:rPr>
                <w:b/>
                <w:bCs/>
                <w:lang w:val="en-US"/>
              </w:rPr>
              <w:t>Company</w:t>
            </w:r>
          </w:p>
        </w:tc>
        <w:tc>
          <w:tcPr>
            <w:tcW w:w="1276" w:type="dxa"/>
          </w:tcPr>
          <w:p w14:paraId="425BA3AF" w14:textId="00A49B68" w:rsidR="002D2898" w:rsidRPr="00DB7DBF" w:rsidRDefault="002D2898" w:rsidP="004275A1">
            <w:pPr>
              <w:rPr>
                <w:b/>
                <w:bCs/>
                <w:lang w:val="en-US"/>
              </w:rPr>
            </w:pPr>
            <w:r>
              <w:rPr>
                <w:b/>
                <w:bCs/>
                <w:lang w:val="en-US"/>
              </w:rPr>
              <w:t>Yes / No</w:t>
            </w:r>
          </w:p>
        </w:tc>
        <w:tc>
          <w:tcPr>
            <w:tcW w:w="6092" w:type="dxa"/>
          </w:tcPr>
          <w:p w14:paraId="50A33BBA" w14:textId="538F7145" w:rsidR="002D2898" w:rsidRPr="00DB7DBF" w:rsidRDefault="002D2898" w:rsidP="004275A1">
            <w:pPr>
              <w:rPr>
                <w:b/>
                <w:bCs/>
                <w:lang w:val="en-US"/>
              </w:rPr>
            </w:pPr>
            <w:r w:rsidRPr="00DB7DBF">
              <w:rPr>
                <w:b/>
                <w:bCs/>
                <w:lang w:val="en-US"/>
              </w:rPr>
              <w:t>Justification</w:t>
            </w:r>
          </w:p>
        </w:tc>
      </w:tr>
      <w:tr w:rsidR="002D2898" w14:paraId="7EEE7779" w14:textId="77777777" w:rsidTr="002D2898">
        <w:tc>
          <w:tcPr>
            <w:tcW w:w="2263" w:type="dxa"/>
          </w:tcPr>
          <w:p w14:paraId="5D272987" w14:textId="77777777" w:rsidR="002D2898" w:rsidRDefault="002D2898" w:rsidP="004275A1">
            <w:pPr>
              <w:rPr>
                <w:lang w:val="en-US"/>
              </w:rPr>
            </w:pPr>
          </w:p>
        </w:tc>
        <w:tc>
          <w:tcPr>
            <w:tcW w:w="1276" w:type="dxa"/>
          </w:tcPr>
          <w:p w14:paraId="427117EE" w14:textId="77777777" w:rsidR="002D2898" w:rsidRDefault="002D2898" w:rsidP="004275A1">
            <w:pPr>
              <w:rPr>
                <w:lang w:val="en-US"/>
              </w:rPr>
            </w:pPr>
          </w:p>
        </w:tc>
        <w:tc>
          <w:tcPr>
            <w:tcW w:w="6092" w:type="dxa"/>
          </w:tcPr>
          <w:p w14:paraId="07AFD0EB" w14:textId="77777777" w:rsidR="002D2898" w:rsidRDefault="002D2898" w:rsidP="004275A1">
            <w:pPr>
              <w:rPr>
                <w:lang w:val="en-US"/>
              </w:rPr>
            </w:pPr>
          </w:p>
        </w:tc>
      </w:tr>
    </w:tbl>
    <w:p w14:paraId="61C1BA90" w14:textId="77777777" w:rsidR="005D21B5" w:rsidRPr="005D21B5" w:rsidRDefault="005D21B5" w:rsidP="005D21B5">
      <w:pPr>
        <w:rPr>
          <w:lang w:val="en-US"/>
        </w:rPr>
      </w:pPr>
    </w:p>
    <w:p w14:paraId="228CC3C9" w14:textId="7433040D" w:rsidR="002D2898" w:rsidRDefault="002D2898" w:rsidP="002D2898">
      <w:pPr>
        <w:pStyle w:val="Heading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lastRenderedPageBreak/>
        <w:t xml:space="preserve">In [6], </w:t>
      </w:r>
      <w:r>
        <w:t xml:space="preserve">an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6064C1AD" w:rsidR="005B42BD" w:rsidRDefault="005B42BD" w:rsidP="005B42BD">
      <w:pPr>
        <w:rPr>
          <w:b/>
          <w:bCs/>
          <w:lang w:val="en-US"/>
        </w:rPr>
      </w:pPr>
      <w:r>
        <w:rPr>
          <w:b/>
          <w:bCs/>
          <w:lang w:val="en-US"/>
        </w:rPr>
        <w:t xml:space="preserve">Question </w:t>
      </w:r>
      <w:r w:rsidR="0094225F">
        <w:rPr>
          <w:b/>
          <w:bCs/>
          <w:lang w:val="en-US"/>
        </w:rPr>
        <w:t>6</w:t>
      </w:r>
      <w:r>
        <w:rPr>
          <w:b/>
          <w:bCs/>
          <w:lang w:val="en-US"/>
        </w:rPr>
        <w:t>: In case capability signalling 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TableGrid"/>
        <w:tblW w:w="0" w:type="auto"/>
        <w:tblLook w:val="04A0" w:firstRow="1" w:lastRow="0" w:firstColumn="1" w:lastColumn="0" w:noHBand="0" w:noVBand="1"/>
      </w:tblPr>
      <w:tblGrid>
        <w:gridCol w:w="2263"/>
        <w:gridCol w:w="1276"/>
        <w:gridCol w:w="6092"/>
      </w:tblGrid>
      <w:tr w:rsidR="005B42BD" w14:paraId="4250CB33" w14:textId="77777777" w:rsidTr="004275A1">
        <w:tc>
          <w:tcPr>
            <w:tcW w:w="2263" w:type="dxa"/>
          </w:tcPr>
          <w:p w14:paraId="1AF85B50" w14:textId="77777777" w:rsidR="005B42BD" w:rsidRPr="00DB7DBF" w:rsidRDefault="005B42BD" w:rsidP="004275A1">
            <w:pPr>
              <w:rPr>
                <w:b/>
                <w:bCs/>
                <w:lang w:val="en-US"/>
              </w:rPr>
            </w:pPr>
            <w:r w:rsidRPr="00DB7DBF">
              <w:rPr>
                <w:b/>
                <w:bCs/>
                <w:lang w:val="en-US"/>
              </w:rPr>
              <w:t>Company</w:t>
            </w:r>
          </w:p>
        </w:tc>
        <w:tc>
          <w:tcPr>
            <w:tcW w:w="1276" w:type="dxa"/>
          </w:tcPr>
          <w:p w14:paraId="44D3CC93" w14:textId="77777777" w:rsidR="005B42BD" w:rsidRPr="00DB7DBF" w:rsidRDefault="005B42BD" w:rsidP="004275A1">
            <w:pPr>
              <w:rPr>
                <w:b/>
                <w:bCs/>
                <w:lang w:val="en-US"/>
              </w:rPr>
            </w:pPr>
            <w:r>
              <w:rPr>
                <w:b/>
                <w:bCs/>
                <w:lang w:val="en-US"/>
              </w:rPr>
              <w:t>Yes / No</w:t>
            </w:r>
          </w:p>
        </w:tc>
        <w:tc>
          <w:tcPr>
            <w:tcW w:w="6092" w:type="dxa"/>
          </w:tcPr>
          <w:p w14:paraId="0C5C0C4E" w14:textId="5CF72BF4" w:rsidR="005B42BD" w:rsidRPr="00DB7DBF" w:rsidRDefault="005B42BD" w:rsidP="004275A1">
            <w:pPr>
              <w:rPr>
                <w:b/>
                <w:bCs/>
                <w:lang w:val="en-US"/>
              </w:rPr>
            </w:pPr>
            <w:r w:rsidRPr="00DB7DBF">
              <w:rPr>
                <w:b/>
                <w:bCs/>
                <w:lang w:val="en-US"/>
              </w:rPr>
              <w:t>Justification</w:t>
            </w:r>
            <w:r>
              <w:rPr>
                <w:b/>
                <w:bCs/>
                <w:lang w:val="en-US"/>
              </w:rPr>
              <w:t xml:space="preserve"> / alternative proposal</w:t>
            </w:r>
          </w:p>
        </w:tc>
      </w:tr>
      <w:tr w:rsidR="005B42BD" w14:paraId="12ED779A" w14:textId="77777777" w:rsidTr="004275A1">
        <w:tc>
          <w:tcPr>
            <w:tcW w:w="2263" w:type="dxa"/>
          </w:tcPr>
          <w:p w14:paraId="30904C94" w14:textId="77777777" w:rsidR="005B42BD" w:rsidRDefault="005B42BD" w:rsidP="004275A1">
            <w:pPr>
              <w:rPr>
                <w:lang w:val="en-US"/>
              </w:rPr>
            </w:pPr>
          </w:p>
        </w:tc>
        <w:tc>
          <w:tcPr>
            <w:tcW w:w="1276" w:type="dxa"/>
          </w:tcPr>
          <w:p w14:paraId="2AD69692" w14:textId="77777777" w:rsidR="005B42BD" w:rsidRDefault="005B42BD" w:rsidP="004275A1">
            <w:pPr>
              <w:rPr>
                <w:lang w:val="en-US"/>
              </w:rPr>
            </w:pPr>
          </w:p>
        </w:tc>
        <w:tc>
          <w:tcPr>
            <w:tcW w:w="6092" w:type="dxa"/>
          </w:tcPr>
          <w:p w14:paraId="055B197D" w14:textId="77777777" w:rsidR="005B42BD" w:rsidRDefault="005B42BD" w:rsidP="004275A1">
            <w:pPr>
              <w:rPr>
                <w:lang w:val="en-US"/>
              </w:rPr>
            </w:pP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37AC0D8B"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r>
        <w:rPr>
          <w:lang w:val="en-US"/>
        </w:rPr>
        <w:t xml:space="preserve">signalling. </w:t>
      </w:r>
      <w:r w:rsidR="009F3742">
        <w:rPr>
          <w:lang w:val="en-US"/>
        </w:rPr>
        <w:t>This topic is raised, e.g. in [5], [9] and [10] and it seems that</w:t>
      </w:r>
      <w:r w:rsidR="00A34042">
        <w:rPr>
          <w:lang w:val="en-US"/>
        </w:rPr>
        <w:t xml:space="preserve"> regardless of whether the manufacturer declaration or UE capability signalling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In case capability signalling is used, then we might need to introduce new capabilities specifically for IAB-MT as indicated in [9] and [10]. Companies are then requested to provide their views on the following question.</w:t>
      </w:r>
    </w:p>
    <w:p w14:paraId="28732EB2" w14:textId="4AD4E1A0" w:rsidR="00C85B62" w:rsidRDefault="00A755E1">
      <w:pPr>
        <w:rPr>
          <w:b/>
          <w:bCs/>
          <w:lang w:val="en-US"/>
        </w:rPr>
      </w:pPr>
      <w:r>
        <w:rPr>
          <w:b/>
          <w:bCs/>
          <w:lang w:val="en-US"/>
        </w:rPr>
        <w:t xml:space="preserve">Question </w:t>
      </w:r>
      <w:r w:rsidR="0094225F">
        <w:rPr>
          <w:b/>
          <w:bCs/>
          <w:lang w:val="en-US"/>
        </w:rPr>
        <w:t>7</w:t>
      </w:r>
      <w:r>
        <w:rPr>
          <w:b/>
          <w:bCs/>
          <w:lang w:val="en-US"/>
        </w:rPr>
        <w:t>: In case capability signalling is supported by at least Local-Area IAB-MT, do you agree that capability bits should be introduced for the features which are mandatory without capability signalling for Rel-15 UEs?</w:t>
      </w:r>
    </w:p>
    <w:tbl>
      <w:tblPr>
        <w:tblStyle w:val="TableGrid"/>
        <w:tblW w:w="0" w:type="auto"/>
        <w:tblLook w:val="04A0" w:firstRow="1" w:lastRow="0" w:firstColumn="1" w:lastColumn="0" w:noHBand="0" w:noVBand="1"/>
      </w:tblPr>
      <w:tblGrid>
        <w:gridCol w:w="2263"/>
        <w:gridCol w:w="1276"/>
        <w:gridCol w:w="6092"/>
      </w:tblGrid>
      <w:tr w:rsidR="00A755E1" w14:paraId="65C5C152" w14:textId="77777777" w:rsidTr="004275A1">
        <w:tc>
          <w:tcPr>
            <w:tcW w:w="2263" w:type="dxa"/>
          </w:tcPr>
          <w:p w14:paraId="652AA3EB" w14:textId="77777777" w:rsidR="00A755E1" w:rsidRPr="00DB7DBF" w:rsidRDefault="00A755E1" w:rsidP="004275A1">
            <w:pPr>
              <w:rPr>
                <w:b/>
                <w:bCs/>
                <w:lang w:val="en-US"/>
              </w:rPr>
            </w:pPr>
            <w:r w:rsidRPr="00DB7DBF">
              <w:rPr>
                <w:b/>
                <w:bCs/>
                <w:lang w:val="en-US"/>
              </w:rPr>
              <w:t>Company</w:t>
            </w:r>
          </w:p>
        </w:tc>
        <w:tc>
          <w:tcPr>
            <w:tcW w:w="1276" w:type="dxa"/>
          </w:tcPr>
          <w:p w14:paraId="2FDF4F08" w14:textId="77777777" w:rsidR="00A755E1" w:rsidRPr="00DB7DBF" w:rsidRDefault="00A755E1" w:rsidP="004275A1">
            <w:pPr>
              <w:rPr>
                <w:b/>
                <w:bCs/>
                <w:lang w:val="en-US"/>
              </w:rPr>
            </w:pPr>
            <w:r>
              <w:rPr>
                <w:b/>
                <w:bCs/>
                <w:lang w:val="en-US"/>
              </w:rPr>
              <w:t>Yes / No</w:t>
            </w:r>
          </w:p>
        </w:tc>
        <w:tc>
          <w:tcPr>
            <w:tcW w:w="6092" w:type="dxa"/>
          </w:tcPr>
          <w:p w14:paraId="24E7A586" w14:textId="77777777" w:rsidR="00A755E1" w:rsidRPr="00DB7DBF" w:rsidRDefault="00A755E1" w:rsidP="004275A1">
            <w:pPr>
              <w:rPr>
                <w:b/>
                <w:bCs/>
                <w:lang w:val="en-US"/>
              </w:rPr>
            </w:pPr>
            <w:r w:rsidRPr="00DB7DBF">
              <w:rPr>
                <w:b/>
                <w:bCs/>
                <w:lang w:val="en-US"/>
              </w:rPr>
              <w:t>Justification</w:t>
            </w:r>
            <w:r>
              <w:rPr>
                <w:b/>
                <w:bCs/>
                <w:lang w:val="en-US"/>
              </w:rPr>
              <w:t xml:space="preserve"> / alternative proposal</w:t>
            </w:r>
          </w:p>
        </w:tc>
      </w:tr>
      <w:tr w:rsidR="00A755E1" w14:paraId="0FC10352" w14:textId="77777777" w:rsidTr="004275A1">
        <w:tc>
          <w:tcPr>
            <w:tcW w:w="2263" w:type="dxa"/>
          </w:tcPr>
          <w:p w14:paraId="6E96571B" w14:textId="77777777" w:rsidR="00A755E1" w:rsidRDefault="00A755E1" w:rsidP="004275A1">
            <w:pPr>
              <w:rPr>
                <w:lang w:val="en-US"/>
              </w:rPr>
            </w:pPr>
          </w:p>
        </w:tc>
        <w:tc>
          <w:tcPr>
            <w:tcW w:w="1276" w:type="dxa"/>
          </w:tcPr>
          <w:p w14:paraId="18988B5D" w14:textId="77777777" w:rsidR="00A755E1" w:rsidRDefault="00A755E1" w:rsidP="004275A1">
            <w:pPr>
              <w:rPr>
                <w:lang w:val="en-US"/>
              </w:rPr>
            </w:pPr>
          </w:p>
        </w:tc>
        <w:tc>
          <w:tcPr>
            <w:tcW w:w="6092" w:type="dxa"/>
          </w:tcPr>
          <w:p w14:paraId="2F273FA2" w14:textId="77777777" w:rsidR="00A755E1" w:rsidRDefault="00A755E1" w:rsidP="004275A1">
            <w:pPr>
              <w:rPr>
                <w:lang w:val="en-US"/>
              </w:rPr>
            </w:pP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signalling is reused for Local-Area IAB-MTs, there needs to be a way for the </w:t>
      </w:r>
      <w:r w:rsidR="006B7750">
        <w:rPr>
          <w:lang w:val="en-US"/>
        </w:rPr>
        <w:t>network to know whether it may request capabilities from the IAB-MT. In [11], it is proposed to extend the IAB</w:t>
      </w:r>
      <w:r w:rsidR="000F6394">
        <w:rPr>
          <w:lang w:val="en-US"/>
        </w:rPr>
        <w:t xml:space="preserve"> node</w:t>
      </w:r>
      <w:r w:rsidR="006B7750">
        <w:rPr>
          <w:lang w:val="en-US"/>
        </w:rPr>
        <w:t xml:space="preserve"> indication introduced in RRCSetupComplete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In case capability signalling is supported Local-Area IAB-MT and not supported by Wide-Area IAB-MT, do you agree that IAB-MT should indicate its type in RRCSetupComplete?</w:t>
      </w:r>
    </w:p>
    <w:tbl>
      <w:tblPr>
        <w:tblStyle w:val="TableGrid"/>
        <w:tblW w:w="0" w:type="auto"/>
        <w:tblLook w:val="04A0" w:firstRow="1" w:lastRow="0" w:firstColumn="1" w:lastColumn="0" w:noHBand="0" w:noVBand="1"/>
      </w:tblPr>
      <w:tblGrid>
        <w:gridCol w:w="2263"/>
        <w:gridCol w:w="1276"/>
        <w:gridCol w:w="6092"/>
      </w:tblGrid>
      <w:tr w:rsidR="006B7750" w14:paraId="6DD54806" w14:textId="77777777" w:rsidTr="004275A1">
        <w:tc>
          <w:tcPr>
            <w:tcW w:w="2263" w:type="dxa"/>
          </w:tcPr>
          <w:p w14:paraId="0EE43DA2" w14:textId="77777777" w:rsidR="006B7750" w:rsidRPr="00DB7DBF" w:rsidRDefault="006B7750" w:rsidP="004275A1">
            <w:pPr>
              <w:rPr>
                <w:b/>
                <w:bCs/>
                <w:lang w:val="en-US"/>
              </w:rPr>
            </w:pPr>
            <w:r w:rsidRPr="00DB7DBF">
              <w:rPr>
                <w:b/>
                <w:bCs/>
                <w:lang w:val="en-US"/>
              </w:rPr>
              <w:t>Company</w:t>
            </w:r>
          </w:p>
        </w:tc>
        <w:tc>
          <w:tcPr>
            <w:tcW w:w="1276" w:type="dxa"/>
          </w:tcPr>
          <w:p w14:paraId="651D1DB5" w14:textId="77777777" w:rsidR="006B7750" w:rsidRPr="00DB7DBF" w:rsidRDefault="006B7750" w:rsidP="004275A1">
            <w:pPr>
              <w:rPr>
                <w:b/>
                <w:bCs/>
                <w:lang w:val="en-US"/>
              </w:rPr>
            </w:pPr>
            <w:r>
              <w:rPr>
                <w:b/>
                <w:bCs/>
                <w:lang w:val="en-US"/>
              </w:rPr>
              <w:t>Yes / No</w:t>
            </w:r>
          </w:p>
        </w:tc>
        <w:tc>
          <w:tcPr>
            <w:tcW w:w="6092" w:type="dxa"/>
          </w:tcPr>
          <w:p w14:paraId="290988E3" w14:textId="77777777" w:rsidR="006B7750" w:rsidRPr="00DB7DBF" w:rsidRDefault="006B7750" w:rsidP="004275A1">
            <w:pPr>
              <w:rPr>
                <w:b/>
                <w:bCs/>
                <w:lang w:val="en-US"/>
              </w:rPr>
            </w:pPr>
            <w:r w:rsidRPr="00DB7DBF">
              <w:rPr>
                <w:b/>
                <w:bCs/>
                <w:lang w:val="en-US"/>
              </w:rPr>
              <w:t>Justification</w:t>
            </w:r>
            <w:r>
              <w:rPr>
                <w:b/>
                <w:bCs/>
                <w:lang w:val="en-US"/>
              </w:rPr>
              <w:t xml:space="preserve"> / alternative proposal</w:t>
            </w:r>
          </w:p>
        </w:tc>
      </w:tr>
      <w:tr w:rsidR="006B7750" w14:paraId="6235D9C1" w14:textId="77777777" w:rsidTr="004275A1">
        <w:tc>
          <w:tcPr>
            <w:tcW w:w="2263" w:type="dxa"/>
          </w:tcPr>
          <w:p w14:paraId="2A390D09" w14:textId="77777777" w:rsidR="006B7750" w:rsidRDefault="006B7750" w:rsidP="004275A1">
            <w:pPr>
              <w:rPr>
                <w:lang w:val="en-US"/>
              </w:rPr>
            </w:pPr>
          </w:p>
        </w:tc>
        <w:tc>
          <w:tcPr>
            <w:tcW w:w="1276" w:type="dxa"/>
          </w:tcPr>
          <w:p w14:paraId="69B5D9AD" w14:textId="77777777" w:rsidR="006B7750" w:rsidRDefault="006B7750" w:rsidP="004275A1">
            <w:pPr>
              <w:rPr>
                <w:lang w:val="en-US"/>
              </w:rPr>
            </w:pPr>
          </w:p>
        </w:tc>
        <w:tc>
          <w:tcPr>
            <w:tcW w:w="6092" w:type="dxa"/>
          </w:tcPr>
          <w:p w14:paraId="006C9FA9" w14:textId="77777777" w:rsidR="006B7750" w:rsidRDefault="006B7750" w:rsidP="004275A1">
            <w:pPr>
              <w:rPr>
                <w:lang w:val="en-US"/>
              </w:rPr>
            </w:pPr>
          </w:p>
        </w:tc>
      </w:tr>
    </w:tbl>
    <w:p w14:paraId="10F74113" w14:textId="77777777" w:rsidR="006B7750" w:rsidRPr="006B7750" w:rsidRDefault="006B7750">
      <w:pPr>
        <w:rPr>
          <w:b/>
          <w:bCs/>
          <w:lang w:val="en-US"/>
        </w:rPr>
      </w:pPr>
    </w:p>
    <w:p w14:paraId="1C006990" w14:textId="77777777" w:rsidR="006D57DE" w:rsidRPr="003B7ED6" w:rsidRDefault="0017202C">
      <w:pPr>
        <w:pStyle w:val="Heading1"/>
        <w:rPr>
          <w:lang w:val="en-US"/>
        </w:rPr>
      </w:pPr>
      <w:r w:rsidRPr="003B7ED6">
        <w:rPr>
          <w:lang w:val="en-US"/>
        </w:rPr>
        <w:t>References</w:t>
      </w:r>
    </w:p>
    <w:p w14:paraId="56DE6E96"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R4-2005608, </w:t>
      </w:r>
      <w:r w:rsidRPr="003B7ED6">
        <w:rPr>
          <w:rFonts w:cs="Times New Roman"/>
          <w:i/>
          <w:iCs/>
          <w:szCs w:val="20"/>
          <w:lang w:val="en-US"/>
        </w:rPr>
        <w:t>Draft  LS on RAN4 IAB-MT feature list agreement</w:t>
      </w:r>
      <w:r w:rsidRPr="003B7ED6">
        <w:rPr>
          <w:rFonts w:cs="Times New Roman"/>
          <w:szCs w:val="20"/>
          <w:lang w:val="en-US"/>
        </w:rPr>
        <w:t>, Source: RAN4</w:t>
      </w:r>
    </w:p>
    <w:p w14:paraId="2E454FF4"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Capability signalling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ListParagraph"/>
        <w:numPr>
          <w:ilvl w:val="0"/>
          <w:numId w:val="7"/>
        </w:numPr>
        <w:rPr>
          <w:rFonts w:cs="Times New Roman"/>
          <w:szCs w:val="20"/>
          <w:lang w:val="en-US"/>
        </w:rPr>
      </w:pPr>
      <w:r w:rsidRPr="003B7ED6">
        <w:rPr>
          <w:rFonts w:cs="Times New Roman"/>
          <w:szCs w:val="20"/>
          <w:lang w:val="en-US"/>
        </w:rPr>
        <w:lastRenderedPageBreak/>
        <w:t xml:space="preserve">R2-2004684, </w:t>
      </w:r>
      <w:r w:rsidRPr="003B7ED6">
        <w:rPr>
          <w:rFonts w:cs="Times New Roman"/>
          <w:i/>
          <w:iCs/>
          <w:szCs w:val="20"/>
          <w:lang w:val="en-US"/>
        </w:rPr>
        <w:t>Summary of e-mail discussion: [Post109bis-e][925][IAB] UE Cap (Nokia)</w:t>
      </w:r>
      <w:r w:rsidRPr="003B7ED6">
        <w:rPr>
          <w:rFonts w:cs="Times New Roman"/>
          <w:szCs w:val="20"/>
          <w:lang w:val="en-US"/>
        </w:rPr>
        <w:t>, Nokia, Nokia Shanghai Bell</w:t>
      </w:r>
    </w:p>
    <w:p w14:paraId="03E6FE86" w14:textId="763961D2" w:rsidR="00C0779C" w:rsidRDefault="00493D8E">
      <w:pPr>
        <w:pStyle w:val="ListParagraph"/>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ListParagraph"/>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ZTE, Sanechips</w:t>
      </w:r>
    </w:p>
    <w:p w14:paraId="4AA0491E" w14:textId="5FC99C83" w:rsidR="005B42BD" w:rsidRDefault="005B42BD" w:rsidP="005B42BD">
      <w:pPr>
        <w:pStyle w:val="ListParagraph"/>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ListParagraph"/>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t>To:RAN2, RAN1</w:t>
      </w:r>
    </w:p>
    <w:p w14:paraId="10363D40" w14:textId="5BBA9844"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Huawei, HiSilicon</w:t>
      </w:r>
    </w:p>
    <w:p w14:paraId="207051FB" w14:textId="4D397A15"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ListParagraph"/>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ListParagraph"/>
        <w:rPr>
          <w:rFonts w:cs="Times New Roman"/>
          <w:szCs w:val="20"/>
          <w:lang w:val="en-US"/>
        </w:rPr>
      </w:pPr>
    </w:p>
    <w:p w14:paraId="3F28B06A" w14:textId="77777777" w:rsidR="006D57DE" w:rsidRPr="003B7ED6" w:rsidRDefault="006D57DE">
      <w:pPr>
        <w:pStyle w:val="ListParagraph"/>
        <w:rPr>
          <w:rFonts w:cs="Times New Roman"/>
          <w:szCs w:val="20"/>
          <w:lang w:val="en-US"/>
        </w:rPr>
      </w:pPr>
    </w:p>
    <w:sectPr w:rsidR="006D57DE" w:rsidRPr="003B7ED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25246" w14:textId="77777777" w:rsidR="00304C13" w:rsidRDefault="00304C13">
      <w:pPr>
        <w:spacing w:after="0" w:line="240" w:lineRule="auto"/>
      </w:pPr>
      <w:r>
        <w:separator/>
      </w:r>
    </w:p>
  </w:endnote>
  <w:endnote w:type="continuationSeparator" w:id="0">
    <w:p w14:paraId="597E662F" w14:textId="77777777" w:rsidR="00304C13" w:rsidRDefault="0030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2AEF" w:usb1="4000207B" w:usb2="00000000"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F4BA" w14:textId="77777777" w:rsidR="002B0DF2" w:rsidRDefault="002B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168F" w14:textId="77777777" w:rsidR="002B0DF2" w:rsidRDefault="002B0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106" w14:textId="77777777" w:rsidR="002B0DF2" w:rsidRDefault="002B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F11AD" w14:textId="77777777" w:rsidR="00304C13" w:rsidRDefault="00304C13">
      <w:pPr>
        <w:spacing w:after="0" w:line="240" w:lineRule="auto"/>
      </w:pPr>
      <w:r>
        <w:separator/>
      </w:r>
    </w:p>
  </w:footnote>
  <w:footnote w:type="continuationSeparator" w:id="0">
    <w:p w14:paraId="54EBC01C" w14:textId="77777777" w:rsidR="00304C13" w:rsidRDefault="0030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50F7" w14:textId="77777777" w:rsidR="002B0DF2" w:rsidRDefault="002B0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4216" w14:textId="77777777" w:rsidR="002B0DF2" w:rsidRDefault="002B0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B70F" w14:textId="77777777" w:rsidR="002B0DF2" w:rsidRDefault="002B0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4"/>
  </w:num>
  <w:num w:numId="2">
    <w:abstractNumId w:val="9"/>
  </w:num>
  <w:num w:numId="3">
    <w:abstractNumId w:val="5"/>
  </w:num>
  <w:num w:numId="4">
    <w:abstractNumId w:val="10"/>
  </w:num>
  <w:num w:numId="5">
    <w:abstractNumId w:val="13"/>
  </w:num>
  <w:num w:numId="6">
    <w:abstractNumId w:val="1"/>
  </w:num>
  <w:num w:numId="7">
    <w:abstractNumId w:val="6"/>
  </w:num>
  <w:num w:numId="8">
    <w:abstractNumId w:val="11"/>
  </w:num>
  <w:num w:numId="9">
    <w:abstractNumId w:val="8"/>
  </w:num>
  <w:num w:numId="10">
    <w:abstractNumId w:val="2"/>
  </w:num>
  <w:num w:numId="11">
    <w:abstractNumId w:val="0"/>
  </w:num>
  <w:num w:numId="12">
    <w:abstractNumId w:val="7"/>
  </w:num>
  <w:num w:numId="13">
    <w:abstractNumId w:val="15"/>
  </w:num>
  <w:num w:numId="14">
    <w:abstractNumId w:val="3"/>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B76"/>
    <w:rsid w:val="00150654"/>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48F9"/>
    <w:rsid w:val="00936071"/>
    <w:rsid w:val="009376CD"/>
    <w:rsid w:val="00940212"/>
    <w:rsid w:val="0094225F"/>
    <w:rsid w:val="00942EC2"/>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41D1"/>
    <w:rsid w:val="00AD57E4"/>
    <w:rsid w:val="00AD7DD4"/>
    <w:rsid w:val="00AE2397"/>
    <w:rsid w:val="00AF3AA4"/>
    <w:rsid w:val="00AF3BB6"/>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7E83"/>
    <w:rsid w:val="00C52E4C"/>
    <w:rsid w:val="00C8292F"/>
    <w:rsid w:val="00C82A0D"/>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71E9"/>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D349F47D-D24C-42AE-AF46-FD5CD075AB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298</TotalTime>
  <Pages>23</Pages>
  <Words>7254</Words>
  <Characters>43528</Characters>
  <Application>Microsoft Office Word</Application>
  <DocSecurity>0</DocSecurity>
  <Lines>362</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50681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Nokia, Nokia Shanghai Bell</cp:lastModifiedBy>
  <cp:revision>58</cp:revision>
  <dcterms:created xsi:type="dcterms:W3CDTF">2020-05-25T08:53:00Z</dcterms:created>
  <dcterms:modified xsi:type="dcterms:W3CDTF">2020-06-02T11:14:00Z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ies>
</file>