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1909BE">
          <w:rPr>
            <w:b/>
            <w:i/>
            <w:noProof/>
            <w:sz w:val="28"/>
          </w:rPr>
          <w:t>xxx</w:t>
        </w:r>
      </w:fldSimple>
      <w:r w:rsidR="001909BE">
        <w:rPr>
          <w:b/>
          <w:i/>
          <w:noProof/>
          <w:sz w:val="28"/>
        </w:rPr>
        <w:t>x</w:t>
      </w:r>
    </w:p>
    <w:p w14:paraId="107515E4" w14:textId="77777777" w:rsidR="00B40788" w:rsidRDefault="00E3446E"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5D1430" w:rsidP="001909BE">
      <w:pPr>
        <w:pStyle w:val="Doc-title"/>
      </w:pPr>
      <w:hyperlink r:id="rId8" w:tooltip="D:Documents3GPPtsg_ranWG2TSGR2_110-eDocsR2-2004375.zip" w:history="1">
        <w:r w:rsidR="001909BE" w:rsidRPr="00DE46D7">
          <w:rPr>
            <w:rStyle w:val="af0"/>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5D1430" w:rsidP="001909BE">
      <w:pPr>
        <w:pStyle w:val="Doc-title"/>
      </w:pPr>
      <w:hyperlink r:id="rId9" w:tooltip="D:Documents3GPPtsg_ranWG2TSGR2_110-eDocsR2-2004328.zip" w:history="1">
        <w:r w:rsidR="001909BE" w:rsidRPr="00DE46D7">
          <w:rPr>
            <w:rStyle w:val="af0"/>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5D1430" w:rsidP="001909BE">
      <w:pPr>
        <w:pStyle w:val="Doc-title"/>
      </w:pPr>
      <w:hyperlink r:id="rId10" w:tooltip="D:Documents3GPPtsg_ranWG2TSGR2_110-eDocsR2-2005219.zip" w:history="1">
        <w:r w:rsidR="001909BE" w:rsidRPr="0055203B">
          <w:rPr>
            <w:rStyle w:val="af0"/>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5D1430" w:rsidP="001909BE">
      <w:pPr>
        <w:pStyle w:val="Doc-title"/>
      </w:pPr>
      <w:hyperlink r:id="rId11" w:history="1">
        <w:r w:rsidR="001909BE" w:rsidRPr="000B2AF4">
          <w:rPr>
            <w:rStyle w:val="af0"/>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5D1430" w:rsidP="001909BE">
      <w:pPr>
        <w:pStyle w:val="Doc-title"/>
      </w:pPr>
      <w:hyperlink r:id="rId12" w:history="1">
        <w:r w:rsidR="001909BE" w:rsidRPr="000B2AF4">
          <w:rPr>
            <w:rStyle w:val="af0"/>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5D1430" w:rsidP="001909BE">
      <w:pPr>
        <w:pStyle w:val="Doc-title"/>
      </w:pPr>
      <w:hyperlink r:id="rId13" w:history="1">
        <w:r w:rsidR="001909BE" w:rsidRPr="000B2AF4">
          <w:rPr>
            <w:rStyle w:val="af0"/>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77777777"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宋体"/>
          <w:u w:val="single"/>
        </w:rPr>
      </w:pPr>
      <w:r w:rsidRPr="00B04B80">
        <w:rPr>
          <w:sz w:val="28"/>
          <w:u w:val="single"/>
        </w:rPr>
        <w:lastRenderedPageBreak/>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77777777" w:rsidR="00E96095" w:rsidRDefault="00E96095" w:rsidP="00830BF8">
            <w:pPr>
              <w:spacing w:after="0"/>
              <w:rPr>
                <w:rFonts w:eastAsiaTheme="minorEastAsia"/>
                <w:sz w:val="21"/>
                <w:szCs w:val="21"/>
              </w:rPr>
            </w:pPr>
          </w:p>
        </w:tc>
        <w:tc>
          <w:tcPr>
            <w:tcW w:w="2765" w:type="dxa"/>
          </w:tcPr>
          <w:p w14:paraId="45600BC7" w14:textId="77777777" w:rsidR="00E96095" w:rsidRDefault="00E96095" w:rsidP="00830BF8">
            <w:pPr>
              <w:spacing w:after="0"/>
              <w:rPr>
                <w:rFonts w:eastAsiaTheme="minorEastAsia"/>
                <w:sz w:val="21"/>
                <w:szCs w:val="21"/>
              </w:rPr>
            </w:pPr>
          </w:p>
        </w:tc>
        <w:tc>
          <w:tcPr>
            <w:tcW w:w="2766" w:type="dxa"/>
          </w:tcPr>
          <w:p w14:paraId="10B09987" w14:textId="77777777" w:rsidR="00E96095" w:rsidRDefault="00E96095" w:rsidP="00830BF8">
            <w:pPr>
              <w:spacing w:after="0"/>
              <w:rPr>
                <w:rFonts w:eastAsiaTheme="minorEastAsia"/>
                <w:sz w:val="21"/>
                <w:szCs w:val="21"/>
              </w:rPr>
            </w:pPr>
          </w:p>
        </w:tc>
      </w:tr>
      <w:tr w:rsidR="00E96095" w14:paraId="0BD6D058" w14:textId="77777777" w:rsidTr="00E96095">
        <w:tc>
          <w:tcPr>
            <w:tcW w:w="2765" w:type="dxa"/>
          </w:tcPr>
          <w:p w14:paraId="7C9DD043" w14:textId="77777777" w:rsidR="00E96095" w:rsidRDefault="00E96095" w:rsidP="00830BF8">
            <w:pPr>
              <w:spacing w:after="0"/>
              <w:rPr>
                <w:rFonts w:eastAsiaTheme="minorEastAsia"/>
                <w:sz w:val="21"/>
                <w:szCs w:val="21"/>
              </w:rPr>
            </w:pPr>
          </w:p>
        </w:tc>
        <w:tc>
          <w:tcPr>
            <w:tcW w:w="2765" w:type="dxa"/>
          </w:tcPr>
          <w:p w14:paraId="4D4B839D" w14:textId="77777777" w:rsidR="00E96095" w:rsidRDefault="00E96095" w:rsidP="00830BF8">
            <w:pPr>
              <w:spacing w:after="0"/>
              <w:rPr>
                <w:rFonts w:eastAsiaTheme="minorEastAsia"/>
                <w:sz w:val="21"/>
                <w:szCs w:val="21"/>
              </w:rPr>
            </w:pPr>
          </w:p>
        </w:tc>
        <w:tc>
          <w:tcPr>
            <w:tcW w:w="2766" w:type="dxa"/>
          </w:tcPr>
          <w:p w14:paraId="6504FFD1" w14:textId="77777777" w:rsidR="00E96095" w:rsidRDefault="00E96095" w:rsidP="00830BF8">
            <w:pPr>
              <w:spacing w:after="0"/>
              <w:rPr>
                <w:rFonts w:eastAsiaTheme="minorEastAsia"/>
                <w:sz w:val="21"/>
                <w:szCs w:val="21"/>
              </w:rPr>
            </w:pPr>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2"/>
        <w:numPr>
          <w:ilvl w:val="0"/>
          <w:numId w:val="0"/>
        </w:numPr>
        <w:spacing w:after="312"/>
        <w:ind w:left="142"/>
      </w:pPr>
      <w:r w:rsidRPr="00B04B80">
        <w:rPr>
          <w:rFonts w:hint="eastAsia"/>
        </w:rPr>
        <w:t>2.</w:t>
      </w:r>
      <w:r>
        <w:t>2 other issues</w:t>
      </w:r>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49ED1494" w:rsidR="00F37EA6" w:rsidRDefault="00F37EA6"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4D495A0" w14:textId="273B3B92" w:rsidR="00B04B80" w:rsidRDefault="00B04B80" w:rsidP="004F6A16">
            <w:pPr>
              <w:overflowPunct/>
              <w:autoSpaceDE/>
              <w:adjustRightInd/>
              <w:spacing w:before="180"/>
              <w:rPr>
                <w:rFonts w:eastAsia="宋体"/>
                <w:bCs/>
                <w:kern w:val="2"/>
              </w:rPr>
            </w:pP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77777777" w:rsidR="00B04B80" w:rsidRDefault="00B04B80"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73A4D985" w14:textId="77777777" w:rsidR="00B04B80" w:rsidRDefault="00B04B80" w:rsidP="004F6A16">
            <w:pPr>
              <w:overflowPunct/>
              <w:autoSpaceDE/>
              <w:adjustRightInd/>
              <w:spacing w:before="180"/>
              <w:rPr>
                <w:rFonts w:eastAsia="宋体"/>
                <w:bCs/>
                <w:kern w:val="2"/>
              </w:rPr>
            </w:pPr>
          </w:p>
        </w:tc>
      </w:tr>
    </w:tbl>
    <w:p w14:paraId="19669FD8" w14:textId="77777777" w:rsidR="00F37EA6" w:rsidRPr="00413F35" w:rsidRDefault="00F37EA6" w:rsidP="00D26EBD">
      <w:pPr>
        <w:spacing w:after="0"/>
        <w:rPr>
          <w:rFonts w:eastAsia="宋体"/>
          <w:color w:val="000000"/>
          <w:sz w:val="21"/>
          <w:szCs w:val="21"/>
        </w:rPr>
      </w:pPr>
    </w:p>
    <w:p w14:paraId="471930D0" w14:textId="136CE9BE" w:rsidR="004B0D0B" w:rsidRPr="004B0D0B" w:rsidRDefault="00205107" w:rsidP="004B0D0B">
      <w:pPr>
        <w:pStyle w:val="1"/>
        <w:rPr>
          <w:lang w:eastAsia="zh-CN"/>
        </w:rPr>
      </w:pPr>
      <w:r>
        <w:rPr>
          <w:lang w:eastAsia="zh-CN"/>
        </w:rPr>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14"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lastRenderedPageBreak/>
        <w:t xml:space="preserve">[4] </w:t>
      </w:r>
      <w:r w:rsidR="00764635" w:rsidRPr="00764635">
        <w:rPr>
          <w:rFonts w:eastAsiaTheme="minorEastAsia"/>
          <w:lang w:val="en-US"/>
        </w:rPr>
        <w:t>R2-2004375, LS on UE capability on DL interruption for UL Tx switching (R4-2005665; contact: Apple)</w:t>
      </w:r>
    </w:p>
    <w:sectPr w:rsidR="0018267B" w:rsidSect="00273CE8">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11533" w14:textId="77777777" w:rsidR="005D1430" w:rsidRDefault="005D1430" w:rsidP="00C2661D">
      <w:pPr>
        <w:spacing w:after="0"/>
      </w:pPr>
      <w:r>
        <w:separator/>
      </w:r>
    </w:p>
  </w:endnote>
  <w:endnote w:type="continuationSeparator" w:id="0">
    <w:p w14:paraId="2A46F0C5" w14:textId="77777777" w:rsidR="005D1430" w:rsidRDefault="005D1430"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3A1E" w14:textId="77777777" w:rsidR="001F23D4" w:rsidRDefault="001F23D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AE360" w14:textId="77777777" w:rsidR="001F23D4" w:rsidRDefault="001F23D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3623" w14:textId="77777777" w:rsidR="001F23D4" w:rsidRDefault="001F23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E50B" w14:textId="77777777" w:rsidR="005D1430" w:rsidRDefault="005D1430" w:rsidP="00C2661D">
      <w:pPr>
        <w:spacing w:after="0"/>
      </w:pPr>
      <w:r>
        <w:separator/>
      </w:r>
    </w:p>
  </w:footnote>
  <w:footnote w:type="continuationSeparator" w:id="0">
    <w:p w14:paraId="4BBA2E92" w14:textId="77777777" w:rsidR="005D1430" w:rsidRDefault="005D1430" w:rsidP="00C2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8E77" w14:textId="77777777" w:rsidR="001F23D4" w:rsidRDefault="001F23D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DEE4" w14:textId="77777777" w:rsidR="001F23D4" w:rsidRDefault="001F23D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21997" w14:textId="77777777" w:rsidR="001F23D4" w:rsidRDefault="001F23D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15F13"/>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D4C98"/>
    <w:rsid w:val="001D7999"/>
    <w:rsid w:val="001E7E8D"/>
    <w:rsid w:val="001F23D4"/>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1381"/>
    <w:rsid w:val="002A2CA2"/>
    <w:rsid w:val="002C2776"/>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0BEB"/>
    <w:rsid w:val="00931C7C"/>
    <w:rsid w:val="00940C16"/>
    <w:rsid w:val="0095026E"/>
    <w:rsid w:val="009504C6"/>
    <w:rsid w:val="00952EC3"/>
    <w:rsid w:val="00962FC8"/>
    <w:rsid w:val="00971FBD"/>
    <w:rsid w:val="00972F81"/>
    <w:rsid w:val="00983CAD"/>
    <w:rsid w:val="0098763D"/>
    <w:rsid w:val="009950FB"/>
    <w:rsid w:val="00997FAF"/>
    <w:rsid w:val="009A5362"/>
    <w:rsid w:val="009A7144"/>
    <w:rsid w:val="009B3E59"/>
    <w:rsid w:val="009C5720"/>
    <w:rsid w:val="009D6E1A"/>
    <w:rsid w:val="009E52E4"/>
    <w:rsid w:val="009E59D5"/>
    <w:rsid w:val="009E7FA1"/>
    <w:rsid w:val="009F41F3"/>
    <w:rsid w:val="009F65B4"/>
    <w:rsid w:val="00A04A37"/>
    <w:rsid w:val="00A1208D"/>
    <w:rsid w:val="00A140FA"/>
    <w:rsid w:val="00A14EBE"/>
    <w:rsid w:val="00A1757F"/>
    <w:rsid w:val="00A232A1"/>
    <w:rsid w:val="00A26F0B"/>
    <w:rsid w:val="00A320F8"/>
    <w:rsid w:val="00A33307"/>
    <w:rsid w:val="00A33C0A"/>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1624"/>
    <w:rsid w:val="00DC4972"/>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630EE"/>
    <w:rsid w:val="00E63BAE"/>
    <w:rsid w:val="00E67A50"/>
    <w:rsid w:val="00E707B4"/>
    <w:rsid w:val="00E74410"/>
    <w:rsid w:val="00E75EFF"/>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375.zip" TargetMode="External"/><Relationship Id="rId13" Type="http://schemas.openxmlformats.org/officeDocument/2006/relationships/hyperlink" Target="file:///D:/Documents/3GPP/tsg_ran/WG2/RAN2/2005_R2_110-e/Docs/R2-2005222.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RAN2/2005_R2_110-e/Docs/R2-2005220.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005_R2_110-e/Docs/R2-2004756.zi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D:\Documents\3GPP\tsg_ran\WG2\TSGR2_110-e\Docs\R2-2005219.zi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D:\Documents\3GPP\tsg_ran\WG2\TSGR2_110-e\Docs\R2-2004328.zip" TargetMode="External"/><Relationship Id="rId14" Type="http://schemas.openxmlformats.org/officeDocument/2006/relationships/hyperlink" Target="file:///D:\Documents\3GPP\tsg_ran\WG2\TSGR2_109bis-e\Docs\R2-2002531.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4193-E7C7-4926-99A4-6A1BF5FB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847</Words>
  <Characters>4831</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CT_110_4</cp:lastModifiedBy>
  <cp:revision>11</cp:revision>
  <dcterms:created xsi:type="dcterms:W3CDTF">2020-05-22T04:43:00Z</dcterms:created>
  <dcterms:modified xsi:type="dcterms:W3CDTF">2020-06-02T17:07:00Z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