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2"/>
        <w:tabs>
          <w:tab w:val="right" w:pos="9639"/>
        </w:tabs>
        <w:spacing w:after="0"/>
        <w:rPr>
          <w:b/>
          <w:sz w:val="24"/>
          <w:szCs w:val="22"/>
          <w:lang w:val="en-US" w:eastAsia="zh-CN"/>
        </w:rPr>
      </w:pPr>
      <w:bookmarkStart w:id="2" w:name="_GoBack"/>
      <w:bookmarkEnd w:id="2"/>
      <w:r>
        <w:rPr>
          <w:b/>
          <w:sz w:val="24"/>
          <w:szCs w:val="22"/>
        </w:rPr>
        <w:t>3GPP TSG-RAN WG2 Meeting #1</w:t>
      </w:r>
      <w:r>
        <w:rPr>
          <w:b/>
          <w:sz w:val="24"/>
          <w:szCs w:val="22"/>
          <w:lang w:val="en-US" w:eastAsia="zh-CN"/>
        </w:rPr>
        <w:t>10-e</w:t>
      </w:r>
      <w:r>
        <w:rPr>
          <w:b/>
          <w:sz w:val="24"/>
          <w:szCs w:val="22"/>
        </w:rPr>
        <w:tab/>
      </w:r>
      <w:r>
        <w:rPr>
          <w:b/>
          <w:sz w:val="24"/>
          <w:szCs w:val="22"/>
        </w:rPr>
        <w:t>R2-</w:t>
      </w:r>
      <w:r>
        <w:rPr>
          <w:b/>
          <w:sz w:val="24"/>
          <w:szCs w:val="22"/>
          <w:lang w:val="en-US" w:eastAsia="zh-CN"/>
        </w:rPr>
        <w:t>200</w:t>
      </w:r>
      <w:r>
        <w:rPr>
          <w:rFonts w:hint="eastAsia"/>
          <w:b/>
          <w:sz w:val="24"/>
          <w:szCs w:val="22"/>
          <w:lang w:val="en-US" w:eastAsia="zh-CN"/>
        </w:rPr>
        <w:t>4971</w:t>
      </w:r>
    </w:p>
    <w:p>
      <w:pPr>
        <w:pStyle w:val="282"/>
        <w:outlineLvl w:val="0"/>
        <w:rPr>
          <w:b/>
          <w:sz w:val="24"/>
          <w:szCs w:val="24"/>
          <w:lang w:val="en-US" w:eastAsia="zh-CN"/>
        </w:rPr>
      </w:pPr>
      <w:r>
        <w:rPr>
          <w:b/>
          <w:sz w:val="24"/>
          <w:szCs w:val="24"/>
          <w:lang w:eastAsia="zh-CN"/>
        </w:rPr>
        <w:t>E</w:t>
      </w:r>
      <w:r>
        <w:rPr>
          <w:rFonts w:hint="eastAsia"/>
          <w:b/>
          <w:sz w:val="24"/>
          <w:szCs w:val="24"/>
          <w:lang w:val="en-US" w:eastAsia="zh-CN"/>
        </w:rPr>
        <w:t>lectronic</w:t>
      </w:r>
      <w:r>
        <w:rPr>
          <w:b/>
          <w:sz w:val="24"/>
          <w:szCs w:val="24"/>
          <w:lang w:eastAsia="zh-CN"/>
        </w:rPr>
        <w:t xml:space="preserve">, </w:t>
      </w:r>
      <w:r>
        <w:rPr>
          <w:rFonts w:hint="eastAsia"/>
          <w:b/>
          <w:sz w:val="24"/>
          <w:szCs w:val="24"/>
          <w:lang w:val="en-US" w:eastAsia="zh-CN"/>
        </w:rPr>
        <w:t>1</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Jan</w:t>
      </w:r>
      <w:r>
        <w:rPr>
          <w:b/>
          <w:sz w:val="24"/>
          <w:szCs w:val="24"/>
          <w:lang w:eastAsia="zh-CN"/>
        </w:rPr>
        <w:t xml:space="preserve"> – </w:t>
      </w:r>
      <w:r>
        <w:rPr>
          <w:rFonts w:hint="eastAsia"/>
          <w:b/>
          <w:sz w:val="24"/>
          <w:szCs w:val="24"/>
          <w:lang w:val="en-US" w:eastAsia="zh-CN"/>
        </w:rPr>
        <w:t>10</w:t>
      </w:r>
      <w:r>
        <w:rPr>
          <w:b/>
          <w:sz w:val="24"/>
          <w:szCs w:val="24"/>
          <w:vertAlign w:val="superscript"/>
          <w:lang w:eastAsia="zh-CN"/>
        </w:rPr>
        <w:t>th</w:t>
      </w:r>
      <w:r>
        <w:rPr>
          <w:b/>
          <w:sz w:val="24"/>
          <w:szCs w:val="24"/>
          <w:lang w:eastAsia="zh-CN"/>
        </w:rPr>
        <w:t xml:space="preserve"> </w:t>
      </w:r>
      <w:r>
        <w:rPr>
          <w:rFonts w:hint="eastAsia"/>
          <w:b/>
          <w:sz w:val="24"/>
          <w:szCs w:val="24"/>
          <w:lang w:val="en-US" w:eastAsia="zh-CN"/>
        </w:rPr>
        <w:t>Jan</w:t>
      </w:r>
      <w:r>
        <w:rPr>
          <w:b/>
          <w:sz w:val="24"/>
          <w:szCs w:val="24"/>
          <w:lang w:eastAsia="zh-CN"/>
        </w:rPr>
        <w:t xml:space="preserve"> 20</w:t>
      </w:r>
      <w:r>
        <w:rPr>
          <w:rFonts w:hint="eastAsia"/>
          <w:b/>
          <w:sz w:val="24"/>
          <w:szCs w:val="24"/>
          <w:lang w:val="en-US" w:eastAsia="zh-CN"/>
        </w:rPr>
        <w:t>20</w:t>
      </w:r>
    </w:p>
    <w:p>
      <w:pPr>
        <w:overflowPunct w:val="0"/>
        <w:autoSpaceDE w:val="0"/>
        <w:autoSpaceDN w:val="0"/>
        <w:adjustRightInd w:val="0"/>
        <w:snapToGrid w:val="0"/>
        <w:spacing w:before="156" w:beforeLines="50" w:line="240" w:lineRule="auto"/>
        <w:jc w:val="left"/>
        <w:textAlignment w:val="baseline"/>
        <w:rPr>
          <w:b/>
          <w:bCs/>
          <w:kern w:val="0"/>
          <w:sz w:val="24"/>
        </w:rPr>
      </w:pPr>
      <w:r>
        <w:rPr>
          <w:b/>
          <w:bCs/>
          <w:kern w:val="0"/>
          <w:sz w:val="24"/>
          <w:lang w:val="en-GB"/>
        </w:rPr>
        <w:t xml:space="preserve"> </w:t>
      </w:r>
    </w:p>
    <w:p>
      <w:pPr>
        <w:overflowPunct w:val="0"/>
        <w:autoSpaceDE w:val="0"/>
        <w:autoSpaceDN w:val="0"/>
        <w:adjustRightInd w:val="0"/>
        <w:snapToGrid w:val="0"/>
        <w:spacing w:before="156" w:beforeLines="50" w:line="240" w:lineRule="auto"/>
        <w:jc w:val="left"/>
        <w:textAlignment w:val="baseline"/>
        <w:rPr>
          <w:rFonts w:ascii="Arial" w:hAnsi="Arial" w:cs="Arial"/>
          <w:b/>
          <w:bCs/>
          <w:snapToGrid w:val="0"/>
          <w:kern w:val="0"/>
          <w:sz w:val="24"/>
          <w:highlight w:val="green"/>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before="156" w:beforeLines="50"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Further considerations on the simultaneously SRS carrier and antenna switch</w:t>
      </w:r>
    </w:p>
    <w:p>
      <w:pPr>
        <w:overflowPunct w:val="0"/>
        <w:autoSpaceDE w:val="0"/>
        <w:autoSpaceDN w:val="0"/>
        <w:adjustRightInd w:val="0"/>
        <w:snapToGrid w:val="0"/>
        <w:spacing w:before="156" w:beforeLines="5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b/>
          <w:bCs/>
          <w:snapToGrid w:val="0"/>
          <w:kern w:val="0"/>
          <w:sz w:val="24"/>
        </w:rPr>
        <w:t>5.4.3.1</w:t>
      </w:r>
    </w:p>
    <w:p>
      <w:pPr>
        <w:overflowPunct w:val="0"/>
        <w:autoSpaceDE w:val="0"/>
        <w:autoSpaceDN w:val="0"/>
        <w:adjustRightInd w:val="0"/>
        <w:snapToGrid w:val="0"/>
        <w:spacing w:before="156" w:beforeLines="50"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b w:val="0"/>
          <w:bCs w:val="0"/>
          <w:kern w:val="0"/>
          <w:sz w:val="32"/>
          <w:szCs w:val="36"/>
        </w:rPr>
      </w:pPr>
      <w:r>
        <w:rPr>
          <w:b w:val="0"/>
          <w:bCs w:val="0"/>
          <w:kern w:val="0"/>
          <w:sz w:val="32"/>
          <w:szCs w:val="36"/>
        </w:rPr>
        <w:t>Introduction</w:t>
      </w:r>
    </w:p>
    <w:p>
      <w:pPr>
        <w:overflowPunct w:val="0"/>
        <w:autoSpaceDE w:val="0"/>
        <w:autoSpaceDN w:val="0"/>
        <w:adjustRightInd w:val="0"/>
        <w:snapToGrid w:val="0"/>
        <w:spacing w:before="156" w:beforeLines="50" w:line="240" w:lineRule="auto"/>
        <w:textAlignment w:val="baseline"/>
      </w:pPr>
      <w:r>
        <w:t xml:space="preserve">In </w:t>
      </w:r>
      <w:r>
        <w:rPr>
          <w:rFonts w:hint="eastAsia"/>
        </w:rPr>
        <w:t xml:space="preserve">the </w:t>
      </w:r>
      <w:r>
        <w:t xml:space="preserve">last meeting, </w:t>
      </w:r>
      <w:r>
        <w:rPr>
          <w:rFonts w:hint="eastAsia"/>
        </w:rPr>
        <w:t xml:space="preserve">the </w:t>
      </w:r>
      <w:r>
        <w:t>UE capability on simultaneously SRS carrier and antenna switch was discussed in [1]</w:t>
      </w:r>
      <w:r>
        <w:rPr>
          <w:rFonts w:hint="eastAsia"/>
        </w:rPr>
        <w:t xml:space="preserve"> </w:t>
      </w:r>
      <w:r>
        <w:t>but without any conclusion. Before any CR was agreed, we just want to clarify some understanding</w:t>
      </w:r>
      <w:r>
        <w:rPr>
          <w:rFonts w:hint="eastAsia"/>
        </w:rPr>
        <w:t>s</w:t>
      </w:r>
      <w:r>
        <w:t xml:space="preserve"> in this contribution.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b w:val="0"/>
          <w:bCs w:val="0"/>
          <w:kern w:val="0"/>
          <w:sz w:val="32"/>
          <w:szCs w:val="36"/>
        </w:rPr>
      </w:pPr>
      <w:r>
        <w:rPr>
          <w:b w:val="0"/>
          <w:bCs w:val="0"/>
          <w:kern w:val="0"/>
          <w:sz w:val="32"/>
          <w:szCs w:val="36"/>
        </w:rPr>
        <w:t>Discussion</w:t>
      </w:r>
    </w:p>
    <w:p>
      <w:r>
        <w:rPr>
          <w:rFonts w:hint="eastAsia"/>
        </w:rPr>
        <w:t>I</w:t>
      </w:r>
      <w:r>
        <w:t>n this chapter, we first analyze two possible solutions for indicating the UE capabilit</w:t>
      </w:r>
      <w:r>
        <w:rPr>
          <w:rFonts w:hint="eastAsia"/>
        </w:rPr>
        <w:t>ies</w:t>
      </w:r>
      <w:r>
        <w:t xml:space="preserve"> on simultaneously SRS carrier and antenna switch, then we analyze whether the Feature set shall </w:t>
      </w:r>
      <w:r>
        <w:rPr>
          <w:rFonts w:hint="eastAsia"/>
        </w:rPr>
        <w:t xml:space="preserve">be </w:t>
      </w:r>
      <w:r>
        <w:t>considered and some other issues.</w:t>
      </w:r>
    </w:p>
    <w:p>
      <w:pPr>
        <w:pStyle w:val="3"/>
        <w:keepNext w:val="0"/>
        <w:keepLines w:val="0"/>
        <w:spacing w:before="156" w:beforeLines="50"/>
        <w:ind w:left="0" w:firstLine="0"/>
        <w:rPr>
          <w:rFonts w:ascii="Times New Roman" w:hAnsi="Times New Roman" w:eastAsia="宋体"/>
          <w:b w:val="0"/>
          <w:bCs w:val="0"/>
          <w:sz w:val="28"/>
          <w:szCs w:val="28"/>
          <w:lang w:val="en-US"/>
        </w:rPr>
      </w:pPr>
      <w:r>
        <w:rPr>
          <w:rFonts w:ascii="Times New Roman" w:hAnsi="Times New Roman"/>
          <w:b w:val="0"/>
          <w:bCs w:val="0"/>
          <w:sz w:val="28"/>
          <w:szCs w:val="28"/>
          <w:lang w:val="en-US"/>
        </w:rPr>
        <w:t>2.</w:t>
      </w:r>
      <w:r>
        <w:rPr>
          <w:rFonts w:ascii="Times New Roman" w:hAnsi="Times New Roman" w:eastAsia="宋体"/>
          <w:b w:val="0"/>
          <w:bCs w:val="0"/>
          <w:sz w:val="28"/>
          <w:szCs w:val="28"/>
          <w:lang w:val="en-US"/>
        </w:rPr>
        <w:t>1</w:t>
      </w:r>
      <w:r>
        <w:rPr>
          <w:rFonts w:ascii="Times New Roman" w:hAnsi="Times New Roman"/>
          <w:b w:val="0"/>
          <w:bCs w:val="0"/>
          <w:sz w:val="28"/>
          <w:szCs w:val="28"/>
          <w:lang w:val="en-US"/>
        </w:rPr>
        <w:t xml:space="preserve"> </w:t>
      </w:r>
      <w:r>
        <w:rPr>
          <w:rFonts w:ascii="Times New Roman" w:hAnsi="Times New Roman" w:eastAsia="宋体"/>
          <w:b w:val="0"/>
          <w:bCs w:val="0"/>
          <w:sz w:val="28"/>
          <w:szCs w:val="28"/>
          <w:lang w:val="en-US"/>
        </w:rPr>
        <w:t>Target BC vs Source BC</w:t>
      </w:r>
    </w:p>
    <w:p>
      <w:r>
        <w:rPr>
          <w:rFonts w:hint="eastAsia"/>
        </w:rPr>
        <w:t>For discussion convenience</w:t>
      </w:r>
      <w:r>
        <w:t>, we can take the following BCs as an example.</w:t>
      </w:r>
      <w:r>
        <w:rPr>
          <w:rFonts w:hint="eastAsia"/>
        </w:rPr>
        <w:t xml:space="preserve"> </w:t>
      </w:r>
      <w:r>
        <w:rPr>
          <w:rFonts w:hint="eastAsia" w:eastAsia="宋体"/>
          <w:color w:val="000000"/>
          <w:szCs w:val="21"/>
        </w:rPr>
        <w:t>Based on these BCs,</w:t>
      </w:r>
      <w:r>
        <w:rPr>
          <w:rFonts w:eastAsia="宋体"/>
          <w:color w:val="000000"/>
          <w:szCs w:val="21"/>
        </w:rPr>
        <w:t xml:space="preserve"> the question is </w:t>
      </w:r>
      <w:r>
        <w:rPr>
          <w:rFonts w:hint="eastAsia" w:eastAsia="宋体"/>
          <w:color w:val="000000"/>
          <w:szCs w:val="21"/>
        </w:rPr>
        <w:t xml:space="preserve">when operating </w:t>
      </w:r>
      <w:r>
        <w:rPr>
          <w:rFonts w:eastAsia="宋体"/>
          <w:color w:val="000000"/>
          <w:szCs w:val="21"/>
        </w:rPr>
        <w:t>the SRS carrier switch</w:t>
      </w:r>
      <w:r>
        <w:rPr>
          <w:rFonts w:hint="eastAsia" w:eastAsia="宋体"/>
          <w:color w:val="000000"/>
          <w:szCs w:val="21"/>
        </w:rPr>
        <w:t xml:space="preserve">ing </w:t>
      </w:r>
      <w:r>
        <w:rPr>
          <w:rFonts w:eastAsia="宋体"/>
          <w:color w:val="000000"/>
          <w:szCs w:val="21"/>
        </w:rPr>
        <w:t>(e.g</w:t>
      </w:r>
      <w:r>
        <w:rPr>
          <w:rFonts w:hint="eastAsia" w:eastAsia="宋体"/>
          <w:color w:val="000000"/>
          <w:szCs w:val="21"/>
        </w:rPr>
        <w:t>.</w:t>
      </w:r>
      <w:r>
        <w:rPr>
          <w:rFonts w:eastAsia="宋体"/>
          <w:color w:val="000000"/>
          <w:szCs w:val="21"/>
        </w:rPr>
        <w:t xml:space="preserve"> SRS carrier switch</w:t>
      </w:r>
      <w:r>
        <w:rPr>
          <w:rFonts w:hint="eastAsia" w:eastAsia="宋体"/>
          <w:color w:val="000000"/>
          <w:szCs w:val="21"/>
        </w:rPr>
        <w:t>es</w:t>
      </w:r>
      <w:r>
        <w:rPr>
          <w:rFonts w:eastAsia="宋体"/>
          <w:color w:val="000000"/>
          <w:szCs w:val="21"/>
        </w:rPr>
        <w:t xml:space="preserve"> from Band A to Band C), which SRS antenna switch capabilit</w:t>
      </w:r>
      <w:r>
        <w:rPr>
          <w:rFonts w:hint="eastAsia" w:eastAsia="宋体"/>
          <w:color w:val="000000"/>
          <w:szCs w:val="21"/>
        </w:rPr>
        <w:t>y</w:t>
      </w:r>
      <w:r>
        <w:rPr>
          <w:rFonts w:eastAsia="宋体"/>
          <w:color w:val="000000"/>
          <w:szCs w:val="21"/>
        </w:rPr>
        <w:t xml:space="preserve"> shall be used on the new switched </w:t>
      </w:r>
      <w:r>
        <w:rPr>
          <w:rFonts w:hint="eastAsia" w:eastAsia="宋体"/>
          <w:color w:val="000000"/>
          <w:szCs w:val="21"/>
        </w:rPr>
        <w:t xml:space="preserve">band </w:t>
      </w:r>
      <w:r>
        <w:rPr>
          <w:rFonts w:eastAsia="宋体"/>
          <w:color w:val="000000"/>
          <w:szCs w:val="21"/>
        </w:rPr>
        <w:t>(e.g. Band C).</w:t>
      </w:r>
    </w:p>
    <w:tbl>
      <w:tblPr>
        <w:tblStyle w:val="57"/>
        <w:tblW w:w="57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01" w:type="dxa"/>
          </w:tcPr>
          <w:p>
            <w:pPr>
              <w:pStyle w:val="53"/>
              <w:shd w:val="clear" w:color="auto" w:fill="FFFFFF"/>
              <w:spacing w:before="0" w:beforeAutospacing="0" w:after="0" w:afterAutospacing="0" w:line="360" w:lineRule="atLeast"/>
              <w:rPr>
                <w:rFonts w:eastAsia="宋体"/>
                <w:color w:val="000000"/>
                <w:sz w:val="21"/>
                <w:szCs w:val="21"/>
                <w:lang w:val="en-US" w:eastAsia="zh-CN"/>
              </w:rPr>
            </w:pPr>
            <w:r>
              <w:rPr>
                <w:color w:val="000000"/>
                <w:sz w:val="21"/>
                <w:szCs w:val="21"/>
                <w:shd w:val="clear" w:color="auto" w:fill="FFFFFF"/>
              </w:rPr>
              <w:t xml:space="preserve"> BC1: DL Band </w:t>
            </w:r>
            <w:r>
              <w:rPr>
                <w:rFonts w:eastAsia="宋体"/>
                <w:color w:val="000000"/>
                <w:sz w:val="21"/>
                <w:szCs w:val="21"/>
                <w:shd w:val="clear" w:color="auto" w:fill="FFFFFF"/>
                <w:lang w:val="en-US" w:eastAsia="zh-CN"/>
              </w:rPr>
              <w:t>A</w:t>
            </w:r>
            <w:r>
              <w:rPr>
                <w:color w:val="000000"/>
                <w:sz w:val="21"/>
                <w:szCs w:val="21"/>
                <w:shd w:val="clear" w:color="auto" w:fill="FFFFFF"/>
              </w:rPr>
              <w:t xml:space="preserve">+Band </w:t>
            </w:r>
            <w:r>
              <w:rPr>
                <w:rFonts w:eastAsia="宋体"/>
                <w:color w:val="000000"/>
                <w:sz w:val="21"/>
                <w:szCs w:val="21"/>
                <w:shd w:val="clear" w:color="auto" w:fill="FFFFFF"/>
                <w:lang w:val="en-US" w:eastAsia="zh-CN"/>
              </w:rPr>
              <w:t xml:space="preserve">B + Band C  </w:t>
            </w:r>
            <w:r>
              <w:rPr>
                <w:color w:val="000000"/>
                <w:sz w:val="21"/>
                <w:szCs w:val="21"/>
                <w:shd w:val="clear" w:color="auto" w:fill="FFFFFF"/>
              </w:rPr>
              <w:t xml:space="preserve"> UL Band </w:t>
            </w:r>
            <w:r>
              <w:rPr>
                <w:rFonts w:eastAsia="宋体"/>
                <w:color w:val="000000"/>
                <w:sz w:val="21"/>
                <w:szCs w:val="21"/>
                <w:shd w:val="clear" w:color="auto" w:fill="FFFFFF"/>
                <w:lang w:val="en-US" w:eastAsia="zh-CN"/>
              </w:rPr>
              <w:t>A</w:t>
            </w:r>
            <w:r>
              <w:rPr>
                <w:rFonts w:hint="eastAsia" w:eastAsia="宋体"/>
                <w:color w:val="000000"/>
                <w:sz w:val="21"/>
                <w:szCs w:val="21"/>
                <w:shd w:val="clear" w:color="auto" w:fill="FFFFFF"/>
                <w:lang w:val="en-US" w:eastAsia="zh-CN"/>
              </w:rPr>
              <w:t xml:space="preserve"> </w:t>
            </w:r>
            <w:r>
              <w:rPr>
                <w:rFonts w:eastAsia="宋体"/>
                <w:color w:val="000000"/>
                <w:sz w:val="21"/>
                <w:szCs w:val="21"/>
                <w:shd w:val="clear" w:color="auto" w:fill="FFFFFF"/>
                <w:lang w:val="en-US" w:eastAsia="zh-CN"/>
              </w:rPr>
              <w:t>+</w:t>
            </w:r>
            <w:r>
              <w:rPr>
                <w:rFonts w:hint="eastAsia" w:eastAsia="宋体"/>
                <w:color w:val="000000"/>
                <w:sz w:val="21"/>
                <w:szCs w:val="21"/>
                <w:shd w:val="clear" w:color="auto" w:fill="FFFFFF"/>
                <w:lang w:val="en-US" w:eastAsia="zh-CN"/>
              </w:rPr>
              <w:t xml:space="preserve"> </w:t>
            </w:r>
            <w:r>
              <w:rPr>
                <w:rFonts w:eastAsia="宋体"/>
                <w:color w:val="000000"/>
                <w:sz w:val="21"/>
                <w:szCs w:val="21"/>
                <w:shd w:val="clear" w:color="auto" w:fill="FFFFFF"/>
                <w:lang w:val="en-US" w:eastAsia="zh-CN"/>
              </w:rPr>
              <w:t>Band B</w:t>
            </w:r>
          </w:p>
          <w:p>
            <w:pPr>
              <w:pStyle w:val="53"/>
              <w:shd w:val="clear" w:color="auto" w:fill="FFFFFF"/>
              <w:spacing w:before="0" w:beforeAutospacing="0" w:after="0" w:afterAutospacing="0" w:line="360" w:lineRule="atLeast"/>
              <w:rPr>
                <w:rFonts w:eastAsia="宋体"/>
                <w:color w:val="000000"/>
                <w:sz w:val="21"/>
                <w:szCs w:val="21"/>
                <w:lang w:val="en-US" w:eastAsia="zh-CN"/>
              </w:rPr>
            </w:pPr>
            <w:r>
              <w:rPr>
                <w:color w:val="000000"/>
                <w:sz w:val="21"/>
                <w:szCs w:val="21"/>
                <w:shd w:val="clear" w:color="auto" w:fill="FFFFFF"/>
              </w:rPr>
              <w:t xml:space="preserve"> BC2: DL Band </w:t>
            </w:r>
            <w:r>
              <w:rPr>
                <w:rFonts w:eastAsia="宋体"/>
                <w:color w:val="000000"/>
                <w:sz w:val="21"/>
                <w:szCs w:val="21"/>
                <w:shd w:val="clear" w:color="auto" w:fill="FFFFFF"/>
                <w:lang w:val="en-US" w:eastAsia="zh-CN"/>
              </w:rPr>
              <w:t>A</w:t>
            </w:r>
            <w:r>
              <w:rPr>
                <w:color w:val="000000"/>
                <w:sz w:val="21"/>
                <w:szCs w:val="21"/>
                <w:shd w:val="clear" w:color="auto" w:fill="FFFFFF"/>
              </w:rPr>
              <w:t xml:space="preserve">+Band </w:t>
            </w:r>
            <w:r>
              <w:rPr>
                <w:rFonts w:eastAsia="宋体"/>
                <w:color w:val="000000"/>
                <w:sz w:val="21"/>
                <w:szCs w:val="21"/>
                <w:shd w:val="clear" w:color="auto" w:fill="FFFFFF"/>
                <w:lang w:val="en-US" w:eastAsia="zh-CN"/>
              </w:rPr>
              <w:t xml:space="preserve">B + Band C   </w:t>
            </w:r>
            <w:r>
              <w:rPr>
                <w:color w:val="000000"/>
                <w:sz w:val="21"/>
                <w:szCs w:val="21"/>
                <w:shd w:val="clear" w:color="auto" w:fill="FFFFFF"/>
              </w:rPr>
              <w:t xml:space="preserve">UL Band </w:t>
            </w:r>
            <w:r>
              <w:rPr>
                <w:rFonts w:eastAsia="宋体"/>
                <w:color w:val="000000"/>
                <w:sz w:val="21"/>
                <w:szCs w:val="21"/>
                <w:shd w:val="clear" w:color="auto" w:fill="FFFFFF"/>
                <w:lang w:val="en-US" w:eastAsia="zh-CN"/>
              </w:rPr>
              <w:t>A</w:t>
            </w:r>
            <w:r>
              <w:rPr>
                <w:rFonts w:hint="eastAsia" w:eastAsia="宋体"/>
                <w:color w:val="000000"/>
                <w:sz w:val="21"/>
                <w:szCs w:val="21"/>
                <w:shd w:val="clear" w:color="auto" w:fill="FFFFFF"/>
                <w:lang w:val="en-US" w:eastAsia="zh-CN"/>
              </w:rPr>
              <w:t xml:space="preserve"> </w:t>
            </w:r>
            <w:r>
              <w:rPr>
                <w:rFonts w:eastAsia="宋体"/>
                <w:color w:val="000000"/>
                <w:sz w:val="21"/>
                <w:szCs w:val="21"/>
                <w:shd w:val="clear" w:color="auto" w:fill="FFFFFF"/>
                <w:lang w:val="en-US" w:eastAsia="zh-CN"/>
              </w:rPr>
              <w:t>+</w:t>
            </w:r>
            <w:r>
              <w:rPr>
                <w:rFonts w:hint="eastAsia" w:eastAsia="宋体"/>
                <w:color w:val="000000"/>
                <w:sz w:val="21"/>
                <w:szCs w:val="21"/>
                <w:shd w:val="clear" w:color="auto" w:fill="FFFFFF"/>
                <w:lang w:val="en-US" w:eastAsia="zh-CN"/>
              </w:rPr>
              <w:t xml:space="preserve"> </w:t>
            </w:r>
            <w:r>
              <w:rPr>
                <w:rFonts w:eastAsia="宋体"/>
                <w:color w:val="000000"/>
                <w:sz w:val="21"/>
                <w:szCs w:val="21"/>
                <w:shd w:val="clear" w:color="auto" w:fill="FFFFFF"/>
                <w:lang w:val="en-US" w:eastAsia="zh-CN"/>
              </w:rPr>
              <w:t>Band C</w:t>
            </w:r>
          </w:p>
          <w:p>
            <w:pPr>
              <w:pStyle w:val="53"/>
              <w:shd w:val="clear" w:color="auto" w:fill="FFFFFF"/>
              <w:spacing w:before="0" w:beforeAutospacing="0" w:after="0" w:afterAutospacing="0" w:line="360" w:lineRule="atLeast"/>
              <w:rPr>
                <w:lang w:val="en-US" w:eastAsia="zh-CN"/>
              </w:rPr>
            </w:pPr>
            <w:r>
              <w:rPr>
                <w:color w:val="000000"/>
                <w:sz w:val="21"/>
                <w:szCs w:val="21"/>
                <w:shd w:val="clear" w:color="auto" w:fill="FFFFFF"/>
              </w:rPr>
              <w:t> BC</w:t>
            </w:r>
            <w:r>
              <w:rPr>
                <w:rFonts w:eastAsia="宋体"/>
                <w:color w:val="000000"/>
                <w:sz w:val="21"/>
                <w:szCs w:val="21"/>
                <w:shd w:val="clear" w:color="auto" w:fill="FFFFFF"/>
                <w:lang w:val="en-US" w:eastAsia="zh-CN"/>
              </w:rPr>
              <w:t>3</w:t>
            </w:r>
            <w:r>
              <w:rPr>
                <w:color w:val="000000"/>
                <w:sz w:val="21"/>
                <w:szCs w:val="21"/>
                <w:shd w:val="clear" w:color="auto" w:fill="FFFFFF"/>
              </w:rPr>
              <w:t xml:space="preserve">: DL Band </w:t>
            </w:r>
            <w:r>
              <w:rPr>
                <w:rFonts w:eastAsia="宋体"/>
                <w:color w:val="000000"/>
                <w:sz w:val="21"/>
                <w:szCs w:val="21"/>
                <w:shd w:val="clear" w:color="auto" w:fill="FFFFFF"/>
                <w:lang w:val="en-US" w:eastAsia="zh-CN"/>
              </w:rPr>
              <w:t>A</w:t>
            </w:r>
            <w:r>
              <w:rPr>
                <w:color w:val="000000"/>
                <w:sz w:val="21"/>
                <w:szCs w:val="21"/>
                <w:shd w:val="clear" w:color="auto" w:fill="FFFFFF"/>
              </w:rPr>
              <w:t xml:space="preserve">+Band </w:t>
            </w:r>
            <w:r>
              <w:rPr>
                <w:rFonts w:eastAsia="宋体"/>
                <w:color w:val="000000"/>
                <w:sz w:val="21"/>
                <w:szCs w:val="21"/>
                <w:shd w:val="clear" w:color="auto" w:fill="FFFFFF"/>
                <w:lang w:val="en-US" w:eastAsia="zh-CN"/>
              </w:rPr>
              <w:t xml:space="preserve">B + Band C   </w:t>
            </w:r>
            <w:r>
              <w:rPr>
                <w:color w:val="000000"/>
                <w:sz w:val="21"/>
                <w:szCs w:val="21"/>
                <w:shd w:val="clear" w:color="auto" w:fill="FFFFFF"/>
              </w:rPr>
              <w:t xml:space="preserve">UL Band </w:t>
            </w:r>
            <w:r>
              <w:rPr>
                <w:rFonts w:eastAsia="宋体"/>
                <w:color w:val="000000"/>
                <w:sz w:val="21"/>
                <w:szCs w:val="21"/>
                <w:shd w:val="clear" w:color="auto" w:fill="FFFFFF"/>
                <w:lang w:val="en-US" w:eastAsia="zh-CN"/>
              </w:rPr>
              <w:t>B</w:t>
            </w:r>
            <w:r>
              <w:rPr>
                <w:rFonts w:hint="eastAsia" w:eastAsia="宋体"/>
                <w:color w:val="000000"/>
                <w:sz w:val="21"/>
                <w:szCs w:val="21"/>
                <w:shd w:val="clear" w:color="auto" w:fill="FFFFFF"/>
                <w:lang w:val="en-US" w:eastAsia="zh-CN"/>
              </w:rPr>
              <w:t xml:space="preserve"> </w:t>
            </w:r>
            <w:r>
              <w:rPr>
                <w:rFonts w:eastAsia="宋体"/>
                <w:color w:val="000000"/>
                <w:sz w:val="21"/>
                <w:szCs w:val="21"/>
                <w:shd w:val="clear" w:color="auto" w:fill="FFFFFF"/>
                <w:lang w:val="en-US" w:eastAsia="zh-CN"/>
              </w:rPr>
              <w:t>+</w:t>
            </w:r>
            <w:r>
              <w:rPr>
                <w:rFonts w:hint="eastAsia" w:eastAsia="宋体"/>
                <w:color w:val="000000"/>
                <w:sz w:val="21"/>
                <w:szCs w:val="21"/>
                <w:shd w:val="clear" w:color="auto" w:fill="FFFFFF"/>
                <w:lang w:val="en-US" w:eastAsia="zh-CN"/>
              </w:rPr>
              <w:t xml:space="preserve"> </w:t>
            </w:r>
            <w:r>
              <w:rPr>
                <w:rFonts w:eastAsia="宋体"/>
                <w:color w:val="000000"/>
                <w:sz w:val="21"/>
                <w:szCs w:val="21"/>
                <w:shd w:val="clear" w:color="auto" w:fill="FFFFFF"/>
                <w:lang w:val="en-US" w:eastAsia="zh-CN"/>
              </w:rPr>
              <w:t>Band C</w:t>
            </w:r>
          </w:p>
        </w:tc>
      </w:tr>
    </w:tbl>
    <w:p>
      <w:pPr>
        <w:pStyle w:val="53"/>
        <w:shd w:val="clear" w:color="auto" w:fill="FFFFFF"/>
        <w:spacing w:before="0" w:beforeAutospacing="0" w:after="0" w:afterAutospacing="0" w:line="360" w:lineRule="atLeast"/>
        <w:jc w:val="both"/>
        <w:rPr>
          <w:rFonts w:eastAsia="宋体"/>
          <w:color w:val="000000"/>
          <w:kern w:val="2"/>
          <w:sz w:val="21"/>
          <w:szCs w:val="21"/>
          <w:lang w:val="en-US" w:eastAsia="zh-CN"/>
        </w:rPr>
      </w:pPr>
      <w:r>
        <w:rPr>
          <w:rFonts w:eastAsia="宋体"/>
          <w:color w:val="000000"/>
          <w:kern w:val="2"/>
          <w:sz w:val="21"/>
          <w:szCs w:val="21"/>
          <w:lang w:val="en-US" w:eastAsia="zh-CN"/>
        </w:rPr>
        <w:t>On this question, there are 2 options:</w:t>
      </w:r>
    </w:p>
    <w:p>
      <w:pPr>
        <w:pStyle w:val="53"/>
        <w:shd w:val="clear" w:color="auto" w:fill="FFFFFF"/>
        <w:spacing w:before="0" w:beforeAutospacing="0" w:after="0" w:afterAutospacing="0" w:line="360" w:lineRule="atLeast"/>
        <w:ind w:left="2940" w:leftChars="100" w:hanging="2730" w:hangingChars="1300"/>
        <w:jc w:val="both"/>
        <w:rPr>
          <w:rFonts w:eastAsia="宋体"/>
          <w:i/>
          <w:iCs/>
          <w:color w:val="000000"/>
          <w:sz w:val="21"/>
          <w:szCs w:val="21"/>
          <w:lang w:val="en-US" w:eastAsia="zh-CN"/>
        </w:rPr>
      </w:pPr>
      <w:r>
        <w:rPr>
          <w:rFonts w:eastAsia="宋体"/>
          <w:i/>
          <w:iCs/>
          <w:color w:val="000000"/>
          <w:sz w:val="21"/>
          <w:szCs w:val="21"/>
          <w:lang w:val="en-US" w:eastAsia="zh-CN"/>
        </w:rPr>
        <w:t>Option A-Source BC scheme: Indicate the SRS antenna switch capability of Band C in the Source BC</w:t>
      </w:r>
      <w:r>
        <w:rPr>
          <w:rFonts w:hint="eastAsia" w:eastAsia="宋体"/>
          <w:i/>
          <w:iCs/>
          <w:color w:val="000000"/>
          <w:sz w:val="21"/>
          <w:szCs w:val="21"/>
          <w:lang w:val="en-US" w:eastAsia="zh-CN"/>
        </w:rPr>
        <w:t xml:space="preserve"> </w:t>
      </w:r>
      <w:r>
        <w:rPr>
          <w:rFonts w:eastAsia="宋体"/>
          <w:i/>
          <w:iCs/>
          <w:color w:val="000000"/>
          <w:sz w:val="21"/>
          <w:szCs w:val="21"/>
          <w:lang w:val="en-US" w:eastAsia="zh-CN"/>
        </w:rPr>
        <w:t>(e.g. BC1) and adopt it directly</w:t>
      </w:r>
      <w:r>
        <w:rPr>
          <w:rFonts w:hint="eastAsia" w:eastAsia="宋体"/>
          <w:i/>
          <w:iCs/>
          <w:color w:val="000000"/>
          <w:sz w:val="21"/>
          <w:szCs w:val="21"/>
          <w:lang w:val="en-US" w:eastAsia="zh-CN"/>
        </w:rPr>
        <w:t>.</w:t>
      </w:r>
    </w:p>
    <w:p>
      <w:pPr>
        <w:pStyle w:val="53"/>
        <w:shd w:val="clear" w:color="auto" w:fill="FFFFFF"/>
        <w:spacing w:before="0" w:beforeAutospacing="0" w:after="0" w:afterAutospacing="0" w:line="360" w:lineRule="atLeast"/>
        <w:ind w:firstLine="210" w:firstLineChars="100"/>
        <w:jc w:val="both"/>
        <w:rPr>
          <w:rFonts w:eastAsia="宋体"/>
          <w:i/>
          <w:iCs/>
          <w:color w:val="000000"/>
          <w:sz w:val="21"/>
          <w:szCs w:val="21"/>
          <w:lang w:val="en-US" w:eastAsia="zh-CN"/>
        </w:rPr>
      </w:pPr>
      <w:r>
        <w:rPr>
          <w:rFonts w:eastAsia="宋体"/>
          <w:i/>
          <w:iCs/>
          <w:color w:val="000000"/>
          <w:sz w:val="21"/>
          <w:szCs w:val="21"/>
          <w:lang w:val="en-US" w:eastAsia="zh-CN"/>
        </w:rPr>
        <w:t>Option B-Target BC scheme: The UE shall adopt the antenna switch capability of the Target BC</w:t>
      </w:r>
      <w:r>
        <w:rPr>
          <w:rFonts w:hint="eastAsia" w:eastAsia="宋体"/>
          <w:i/>
          <w:iCs/>
          <w:color w:val="000000"/>
          <w:sz w:val="21"/>
          <w:szCs w:val="21"/>
          <w:lang w:val="en-US" w:eastAsia="zh-CN"/>
        </w:rPr>
        <w:t xml:space="preserve"> </w:t>
      </w:r>
      <w:r>
        <w:rPr>
          <w:rFonts w:eastAsia="宋体"/>
          <w:i/>
          <w:iCs/>
          <w:color w:val="000000"/>
          <w:sz w:val="21"/>
          <w:szCs w:val="21"/>
          <w:lang w:val="en-US" w:eastAsia="zh-CN"/>
        </w:rPr>
        <w:t>(e.g. BC3).</w:t>
      </w:r>
    </w:p>
    <w:p>
      <w:pPr>
        <w:pStyle w:val="53"/>
        <w:shd w:val="clear" w:color="auto" w:fill="FFFFFF"/>
        <w:spacing w:before="0" w:beforeAutospacing="0" w:after="0" w:afterAutospacing="0" w:line="360" w:lineRule="atLeast"/>
        <w:jc w:val="both"/>
        <w:rPr>
          <w:rFonts w:eastAsia="宋体"/>
          <w:color w:val="000000"/>
          <w:sz w:val="21"/>
          <w:szCs w:val="21"/>
          <w:lang w:val="en-US" w:eastAsia="zh-CN"/>
        </w:rPr>
      </w:pPr>
      <w:r>
        <w:rPr>
          <w:rFonts w:eastAsia="宋体"/>
          <w:color w:val="000000"/>
          <w:sz w:val="21"/>
          <w:szCs w:val="21"/>
          <w:lang w:val="en-US" w:eastAsia="zh-CN"/>
        </w:rPr>
        <w:t>For the option A, which also means that when the SRS carrier switch from B to C, the same antenna switch capability shall be used. In other words, in BC1, when</w:t>
      </w:r>
      <w:r>
        <w:rPr>
          <w:rFonts w:hint="eastAsia" w:eastAsia="宋体"/>
          <w:color w:val="000000"/>
          <w:sz w:val="21"/>
          <w:szCs w:val="21"/>
          <w:lang w:val="en-US" w:eastAsia="zh-CN"/>
        </w:rPr>
        <w:t>ever</w:t>
      </w:r>
      <w:r>
        <w:rPr>
          <w:rFonts w:eastAsia="宋体"/>
          <w:color w:val="000000"/>
          <w:sz w:val="21"/>
          <w:szCs w:val="21"/>
          <w:lang w:val="en-US" w:eastAsia="zh-CN"/>
        </w:rPr>
        <w:t xml:space="preserve"> UE works with </w:t>
      </w:r>
      <w:r>
        <w:rPr>
          <w:rFonts w:hint="eastAsia" w:eastAsia="宋体"/>
          <w:color w:val="000000"/>
          <w:sz w:val="21"/>
          <w:szCs w:val="21"/>
          <w:lang w:val="en-US" w:eastAsia="zh-CN"/>
        </w:rPr>
        <w:t xml:space="preserve">UL </w:t>
      </w:r>
      <w:r>
        <w:rPr>
          <w:rFonts w:eastAsia="宋体"/>
          <w:color w:val="000000"/>
          <w:sz w:val="21"/>
          <w:szCs w:val="21"/>
          <w:lang w:val="en-US" w:eastAsia="zh-CN"/>
        </w:rPr>
        <w:t>Band A</w:t>
      </w:r>
      <w:r>
        <w:rPr>
          <w:rFonts w:hint="eastAsia" w:eastAsia="宋体"/>
          <w:color w:val="000000"/>
          <w:sz w:val="21"/>
          <w:szCs w:val="21"/>
          <w:lang w:val="en-US" w:eastAsia="zh-CN"/>
        </w:rPr>
        <w:t xml:space="preserve"> </w:t>
      </w:r>
      <w:r>
        <w:rPr>
          <w:rFonts w:eastAsia="宋体"/>
          <w:color w:val="000000"/>
          <w:sz w:val="21"/>
          <w:szCs w:val="21"/>
          <w:lang w:val="en-US" w:eastAsia="zh-CN"/>
        </w:rPr>
        <w:t>+</w:t>
      </w:r>
      <w:r>
        <w:rPr>
          <w:rFonts w:hint="eastAsia" w:eastAsia="宋体"/>
          <w:color w:val="000000"/>
          <w:sz w:val="21"/>
          <w:szCs w:val="21"/>
          <w:lang w:val="en-US" w:eastAsia="zh-CN"/>
        </w:rPr>
        <w:t xml:space="preserve"> </w:t>
      </w:r>
      <w:r>
        <w:rPr>
          <w:rFonts w:eastAsia="宋体"/>
          <w:color w:val="000000"/>
          <w:sz w:val="21"/>
          <w:szCs w:val="21"/>
          <w:lang w:val="en-US" w:eastAsia="zh-CN"/>
        </w:rPr>
        <w:t>Band C</w:t>
      </w:r>
      <w:r>
        <w:rPr>
          <w:rFonts w:hint="eastAsia" w:eastAsia="宋体"/>
          <w:color w:val="000000"/>
          <w:sz w:val="21"/>
          <w:szCs w:val="21"/>
          <w:lang w:val="en-US" w:eastAsia="zh-CN"/>
        </w:rPr>
        <w:t xml:space="preserve"> </w:t>
      </w:r>
      <w:r>
        <w:rPr>
          <w:rFonts w:eastAsia="宋体"/>
          <w:color w:val="000000"/>
          <w:sz w:val="21"/>
          <w:szCs w:val="21"/>
          <w:lang w:val="en-US" w:eastAsia="zh-CN"/>
        </w:rPr>
        <w:t>(SRS) or with Band B</w:t>
      </w:r>
      <w:r>
        <w:rPr>
          <w:rFonts w:hint="eastAsia" w:eastAsia="宋体"/>
          <w:color w:val="000000"/>
          <w:sz w:val="21"/>
          <w:szCs w:val="21"/>
          <w:lang w:val="en-US" w:eastAsia="zh-CN"/>
        </w:rPr>
        <w:t xml:space="preserve"> </w:t>
      </w:r>
      <w:r>
        <w:rPr>
          <w:rFonts w:eastAsia="宋体"/>
          <w:color w:val="000000"/>
          <w:sz w:val="21"/>
          <w:szCs w:val="21"/>
          <w:lang w:val="en-US" w:eastAsia="zh-CN"/>
        </w:rPr>
        <w:t>+</w:t>
      </w:r>
      <w:r>
        <w:rPr>
          <w:rFonts w:hint="eastAsia" w:eastAsia="宋体"/>
          <w:color w:val="000000"/>
          <w:sz w:val="21"/>
          <w:szCs w:val="21"/>
          <w:lang w:val="en-US" w:eastAsia="zh-CN"/>
        </w:rPr>
        <w:t xml:space="preserve"> </w:t>
      </w:r>
      <w:r>
        <w:rPr>
          <w:rFonts w:eastAsia="宋体"/>
          <w:color w:val="000000"/>
          <w:sz w:val="21"/>
          <w:szCs w:val="21"/>
          <w:lang w:val="en-US" w:eastAsia="zh-CN"/>
        </w:rPr>
        <w:t>Band C</w:t>
      </w:r>
      <w:r>
        <w:rPr>
          <w:rFonts w:hint="eastAsia" w:eastAsia="宋体"/>
          <w:color w:val="000000"/>
          <w:sz w:val="21"/>
          <w:szCs w:val="21"/>
          <w:lang w:val="en-US" w:eastAsia="zh-CN"/>
        </w:rPr>
        <w:t xml:space="preserve"> </w:t>
      </w:r>
      <w:r>
        <w:rPr>
          <w:rFonts w:eastAsia="宋体"/>
          <w:color w:val="000000"/>
          <w:sz w:val="21"/>
          <w:szCs w:val="21"/>
          <w:lang w:val="en-US" w:eastAsia="zh-CN"/>
        </w:rPr>
        <w:t>(SRS), the SRS antenna switch capabilit</w:t>
      </w:r>
      <w:r>
        <w:rPr>
          <w:rFonts w:hint="eastAsia" w:eastAsia="宋体"/>
          <w:color w:val="000000"/>
          <w:sz w:val="21"/>
          <w:szCs w:val="21"/>
          <w:lang w:val="en-US" w:eastAsia="zh-CN"/>
        </w:rPr>
        <w:t>ies</w:t>
      </w:r>
      <w:r>
        <w:rPr>
          <w:rFonts w:eastAsia="宋体"/>
          <w:color w:val="000000"/>
          <w:sz w:val="21"/>
          <w:szCs w:val="21"/>
          <w:lang w:val="en-US" w:eastAsia="zh-CN"/>
        </w:rPr>
        <w:t xml:space="preserve"> on the Band C </w:t>
      </w:r>
      <w:r>
        <w:rPr>
          <w:rFonts w:hint="eastAsia" w:eastAsia="宋体"/>
          <w:color w:val="000000"/>
          <w:sz w:val="21"/>
          <w:szCs w:val="21"/>
          <w:lang w:val="en-US" w:eastAsia="zh-CN"/>
        </w:rPr>
        <w:t>are</w:t>
      </w:r>
      <w:r>
        <w:rPr>
          <w:rFonts w:eastAsia="宋体"/>
          <w:color w:val="000000"/>
          <w:sz w:val="21"/>
          <w:szCs w:val="21"/>
          <w:lang w:val="en-US" w:eastAsia="zh-CN"/>
        </w:rPr>
        <w:t xml:space="preserve"> the same. </w:t>
      </w:r>
    </w:p>
    <w:p>
      <w:pPr>
        <w:pStyle w:val="53"/>
        <w:shd w:val="clear" w:color="auto" w:fill="FFFFFF"/>
        <w:spacing w:before="0" w:beforeAutospacing="0" w:after="0" w:afterAutospacing="0" w:line="360" w:lineRule="atLeast"/>
        <w:jc w:val="both"/>
        <w:rPr>
          <w:rFonts w:eastAsia="宋体"/>
          <w:b/>
          <w:bCs/>
          <w:color w:val="000000"/>
          <w:sz w:val="21"/>
          <w:szCs w:val="21"/>
          <w:lang w:val="en-US" w:eastAsia="zh-CN"/>
        </w:rPr>
      </w:pPr>
      <w:r>
        <w:rPr>
          <w:rFonts w:eastAsia="宋体"/>
          <w:b/>
          <w:bCs/>
          <w:color w:val="000000"/>
          <w:sz w:val="21"/>
          <w:szCs w:val="21"/>
          <w:lang w:val="en-US" w:eastAsia="zh-CN"/>
        </w:rPr>
        <w:t>Observation 1: Option A require</w:t>
      </w:r>
      <w:r>
        <w:rPr>
          <w:rFonts w:hint="eastAsia" w:eastAsia="宋体"/>
          <w:b/>
          <w:bCs/>
          <w:color w:val="000000"/>
          <w:sz w:val="21"/>
          <w:szCs w:val="21"/>
          <w:lang w:val="en-US" w:eastAsia="zh-CN"/>
        </w:rPr>
        <w:t>s</w:t>
      </w:r>
      <w:r>
        <w:rPr>
          <w:rFonts w:eastAsia="宋体"/>
          <w:b/>
          <w:bCs/>
          <w:color w:val="000000"/>
          <w:sz w:val="21"/>
          <w:szCs w:val="21"/>
          <w:lang w:val="en-US" w:eastAsia="zh-CN"/>
        </w:rPr>
        <w:t xml:space="preserve"> the SRS antenna switch capability on a certain band to be the same even the UE is working on the different and non-fallback UL band combinations.</w:t>
      </w:r>
    </w:p>
    <w:p>
      <w:pPr>
        <w:pStyle w:val="53"/>
        <w:shd w:val="clear" w:color="auto" w:fill="FFFFFF"/>
        <w:spacing w:before="0" w:beforeAutospacing="0" w:after="0" w:afterAutospacing="0" w:line="360" w:lineRule="atLeast"/>
        <w:jc w:val="both"/>
        <w:rPr>
          <w:rFonts w:eastAsia="宋体"/>
          <w:color w:val="000000"/>
          <w:sz w:val="21"/>
          <w:szCs w:val="21"/>
          <w:lang w:val="en-US" w:eastAsia="zh-CN"/>
        </w:rPr>
      </w:pPr>
      <w:r>
        <w:rPr>
          <w:rFonts w:eastAsia="宋体"/>
          <w:color w:val="000000"/>
          <w:sz w:val="21"/>
          <w:szCs w:val="21"/>
          <w:lang w:val="en-US" w:eastAsia="zh-CN"/>
        </w:rPr>
        <w:t>However, if we take the option B, this limitation can be relaxed. For example, for BC1 when the SRS carrier switch</w:t>
      </w:r>
      <w:r>
        <w:rPr>
          <w:rFonts w:hint="eastAsia" w:eastAsia="宋体"/>
          <w:color w:val="000000"/>
          <w:sz w:val="21"/>
          <w:szCs w:val="21"/>
          <w:lang w:val="en-US" w:eastAsia="zh-CN"/>
        </w:rPr>
        <w:t>es</w:t>
      </w:r>
      <w:r>
        <w:rPr>
          <w:rFonts w:eastAsia="宋体"/>
          <w:color w:val="000000"/>
          <w:sz w:val="21"/>
          <w:szCs w:val="21"/>
          <w:lang w:val="en-US" w:eastAsia="zh-CN"/>
        </w:rPr>
        <w:t xml:space="preserve"> from </w:t>
      </w:r>
      <w:r>
        <w:rPr>
          <w:rFonts w:hint="eastAsia" w:eastAsia="宋体"/>
          <w:color w:val="000000"/>
          <w:sz w:val="21"/>
          <w:szCs w:val="21"/>
          <w:lang w:val="en-US" w:eastAsia="zh-CN"/>
        </w:rPr>
        <w:t xml:space="preserve">Band </w:t>
      </w:r>
      <w:r>
        <w:rPr>
          <w:rFonts w:eastAsia="宋体"/>
          <w:color w:val="000000"/>
          <w:sz w:val="21"/>
          <w:szCs w:val="21"/>
          <w:lang w:val="en-US" w:eastAsia="zh-CN"/>
        </w:rPr>
        <w:t>A to</w:t>
      </w:r>
      <w:r>
        <w:rPr>
          <w:rFonts w:hint="eastAsia" w:eastAsia="宋体"/>
          <w:color w:val="000000"/>
          <w:sz w:val="21"/>
          <w:szCs w:val="21"/>
          <w:lang w:val="en-US" w:eastAsia="zh-CN"/>
        </w:rPr>
        <w:t xml:space="preserve"> Band</w:t>
      </w:r>
      <w:r>
        <w:rPr>
          <w:rFonts w:eastAsia="宋体"/>
          <w:color w:val="000000"/>
          <w:sz w:val="21"/>
          <w:szCs w:val="21"/>
          <w:lang w:val="en-US" w:eastAsia="zh-CN"/>
        </w:rPr>
        <w:t xml:space="preserve"> C, the UE can take the antenna switch capability of Band C in the BC3, otherwise when the SRS carrier switch</w:t>
      </w:r>
      <w:r>
        <w:rPr>
          <w:rFonts w:hint="eastAsia" w:eastAsia="宋体"/>
          <w:color w:val="000000"/>
          <w:sz w:val="21"/>
          <w:szCs w:val="21"/>
          <w:lang w:val="en-US" w:eastAsia="zh-CN"/>
        </w:rPr>
        <w:t>es</w:t>
      </w:r>
      <w:r>
        <w:rPr>
          <w:rFonts w:eastAsia="宋体"/>
          <w:color w:val="000000"/>
          <w:sz w:val="21"/>
          <w:szCs w:val="21"/>
          <w:lang w:val="en-US" w:eastAsia="zh-CN"/>
        </w:rPr>
        <w:t xml:space="preserve"> from </w:t>
      </w:r>
      <w:r>
        <w:rPr>
          <w:rFonts w:hint="eastAsia" w:eastAsia="宋体"/>
          <w:color w:val="000000"/>
          <w:sz w:val="21"/>
          <w:szCs w:val="21"/>
          <w:lang w:val="en-US" w:eastAsia="zh-CN"/>
        </w:rPr>
        <w:t xml:space="preserve">Band </w:t>
      </w:r>
      <w:r>
        <w:rPr>
          <w:rFonts w:eastAsia="宋体"/>
          <w:color w:val="000000"/>
          <w:sz w:val="21"/>
          <w:szCs w:val="21"/>
          <w:lang w:val="en-US" w:eastAsia="zh-CN"/>
        </w:rPr>
        <w:t>B to</w:t>
      </w:r>
      <w:r>
        <w:rPr>
          <w:rFonts w:hint="eastAsia" w:eastAsia="宋体"/>
          <w:color w:val="000000"/>
          <w:sz w:val="21"/>
          <w:szCs w:val="21"/>
          <w:lang w:val="en-US" w:eastAsia="zh-CN"/>
        </w:rPr>
        <w:t xml:space="preserve"> Band</w:t>
      </w:r>
      <w:r>
        <w:rPr>
          <w:rFonts w:eastAsia="宋体"/>
          <w:color w:val="000000"/>
          <w:sz w:val="21"/>
          <w:szCs w:val="21"/>
          <w:lang w:val="en-US" w:eastAsia="zh-CN"/>
        </w:rPr>
        <w:t xml:space="preserve"> C, the antenna switch capability of Band C in the BC2 can be taken. </w:t>
      </w:r>
    </w:p>
    <w:p>
      <w:pPr>
        <w:rPr>
          <w:b/>
          <w:bCs/>
        </w:rPr>
      </w:pPr>
      <w:r>
        <w:rPr>
          <w:b/>
          <w:bCs/>
        </w:rPr>
        <w:t>Observation 2: Option B allows the UE to indicate different SRS antenna switch capabilities for the different and non-fallback UL band combinations.</w:t>
      </w:r>
    </w:p>
    <w:p>
      <w:pPr>
        <w:pStyle w:val="53"/>
        <w:shd w:val="clear" w:color="auto" w:fill="FFFFFF"/>
        <w:spacing w:before="0" w:beforeAutospacing="0" w:after="0" w:afterAutospacing="0" w:line="360" w:lineRule="atLeast"/>
        <w:jc w:val="both"/>
        <w:rPr>
          <w:rFonts w:eastAsia="宋体"/>
          <w:color w:val="000000"/>
          <w:sz w:val="21"/>
          <w:szCs w:val="21"/>
          <w:lang w:val="en-US" w:eastAsia="zh-CN"/>
        </w:rPr>
      </w:pPr>
      <w:r>
        <w:rPr>
          <w:rFonts w:eastAsia="宋体"/>
          <w:color w:val="000000"/>
          <w:sz w:val="21"/>
          <w:szCs w:val="21"/>
          <w:lang w:val="en-US" w:eastAsia="zh-CN"/>
        </w:rPr>
        <w:t>Furthermore</w:t>
      </w:r>
      <w:r>
        <w:rPr>
          <w:rFonts w:hint="eastAsia" w:eastAsia="宋体"/>
          <w:color w:val="000000"/>
          <w:sz w:val="21"/>
          <w:szCs w:val="21"/>
          <w:lang w:val="en-US" w:eastAsia="zh-CN"/>
        </w:rPr>
        <w:t xml:space="preserve"> in</w:t>
      </w:r>
      <w:r>
        <w:rPr>
          <w:rFonts w:eastAsia="宋体"/>
          <w:color w:val="000000"/>
          <w:sz w:val="21"/>
          <w:szCs w:val="21"/>
          <w:lang w:val="en-US" w:eastAsia="zh-CN"/>
        </w:rPr>
        <w:t xml:space="preserve"> LTE</w:t>
      </w:r>
      <w:r>
        <w:rPr>
          <w:lang w:val="en-US" w:eastAsia="zh-CN"/>
        </w:rPr>
        <w:t xml:space="preserve"> rel-14</w:t>
      </w:r>
      <w:r>
        <w:rPr>
          <w:rFonts w:eastAsia="宋体"/>
          <w:color w:val="000000"/>
          <w:sz w:val="21"/>
          <w:szCs w:val="21"/>
          <w:lang w:val="en-US" w:eastAsia="zh-CN"/>
        </w:rPr>
        <w:t>, the following agreement has been achieved:</w:t>
      </w:r>
    </w:p>
    <w:tbl>
      <w:tblPr>
        <w:tblStyle w:val="57"/>
        <w:tblW w:w="8363"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63" w:type="dxa"/>
          </w:tcPr>
          <w:p>
            <w:pPr>
              <w:ind w:left="212" w:leftChars="101"/>
              <w:rPr>
                <w:rFonts w:eastAsia="宋体"/>
                <w:color w:val="000000"/>
                <w:kern w:val="0"/>
                <w:szCs w:val="21"/>
                <w:lang w:eastAsia="en-US"/>
              </w:rPr>
            </w:pPr>
            <w:r>
              <w:rPr>
                <w:rFonts w:eastAsia="宋体"/>
                <w:color w:val="000000"/>
                <w:kern w:val="0"/>
                <w:szCs w:val="21"/>
                <w:lang w:eastAsia="en-US"/>
              </w:rPr>
              <w:t xml:space="preserve">Agreement on the </w:t>
            </w:r>
            <w:r>
              <w:rPr>
                <w:rFonts w:eastAsia="宋体"/>
                <w:b/>
                <w:bCs/>
                <w:color w:val="000000"/>
                <w:kern w:val="0"/>
                <w:szCs w:val="21"/>
                <w:lang w:eastAsia="zh-TW"/>
              </w:rPr>
              <w:t xml:space="preserve">txAntennaSwitchDL </w:t>
            </w:r>
            <w:r>
              <w:rPr>
                <w:rFonts w:eastAsia="宋体"/>
                <w:color w:val="000000"/>
                <w:kern w:val="0"/>
                <w:szCs w:val="21"/>
                <w:lang w:eastAsia="zh-TW"/>
              </w:rPr>
              <w:t>and</w:t>
            </w:r>
            <w:r>
              <w:rPr>
                <w:rFonts w:eastAsia="宋体"/>
                <w:b/>
                <w:bCs/>
                <w:color w:val="000000"/>
                <w:kern w:val="0"/>
                <w:szCs w:val="21"/>
                <w:lang w:eastAsia="zh-TW"/>
              </w:rPr>
              <w:t xml:space="preserve"> txAntennaSwitchUL</w:t>
            </w:r>
            <w:r>
              <w:rPr>
                <w:rFonts w:eastAsia="宋体"/>
                <w:b/>
                <w:bCs/>
                <w:color w:val="000000"/>
                <w:kern w:val="0"/>
                <w:szCs w:val="21"/>
                <w:lang w:eastAsia="en-US"/>
              </w:rPr>
              <w:t xml:space="preserve"> </w:t>
            </w:r>
            <w:r>
              <w:rPr>
                <w:rFonts w:eastAsia="宋体"/>
                <w:color w:val="000000"/>
                <w:kern w:val="0"/>
                <w:szCs w:val="21"/>
                <w:lang w:eastAsia="en-US"/>
              </w:rPr>
              <w:t>in LTE</w:t>
            </w:r>
          </w:p>
          <w:p>
            <w:pPr>
              <w:numPr>
                <w:ilvl w:val="0"/>
                <w:numId w:val="5"/>
              </w:numPr>
              <w:spacing w:after="0"/>
              <w:ind w:left="212" w:leftChars="101"/>
              <w:rPr>
                <w:rFonts w:eastAsia="宋体"/>
                <w:color w:val="000000"/>
                <w:kern w:val="0"/>
                <w:szCs w:val="21"/>
                <w:lang w:eastAsia="en-US"/>
              </w:rPr>
            </w:pPr>
            <w:r>
              <w:rPr>
                <w:rFonts w:eastAsia="宋体"/>
                <w:color w:val="000000"/>
                <w:kern w:val="0"/>
                <w:szCs w:val="21"/>
                <w:lang w:eastAsia="en-US"/>
              </w:rPr>
              <w:t>When operating with SRS carrier switching, the antenna switching capability is the one for the switched band combination.</w:t>
            </w:r>
          </w:p>
          <w:p>
            <w:pPr>
              <w:numPr>
                <w:ilvl w:val="1"/>
                <w:numId w:val="5"/>
              </w:numPr>
              <w:spacing w:after="0"/>
              <w:rPr>
                <w:rFonts w:eastAsia="宋体"/>
                <w:color w:val="000000"/>
                <w:szCs w:val="21"/>
                <w:lang w:eastAsia="en-US"/>
              </w:rPr>
            </w:pPr>
            <w:r>
              <w:rPr>
                <w:rFonts w:eastAsia="宋体"/>
                <w:color w:val="000000"/>
                <w:kern w:val="0"/>
                <w:szCs w:val="21"/>
                <w:lang w:eastAsia="en-US"/>
              </w:rPr>
              <w:t>If the UE does not indicate support for the switched band combination the UE does not support carrier switching.</w:t>
            </w:r>
          </w:p>
        </w:tc>
      </w:tr>
    </w:tbl>
    <w:p>
      <w:pPr>
        <w:rPr>
          <w:b/>
          <w:bCs/>
        </w:rPr>
      </w:pPr>
      <w:r>
        <w:rPr>
          <w:b/>
          <w:bCs/>
        </w:rPr>
        <w:t>Observation 3: In LTE rel-14, it has been agreed to adopt Option B (Target BC scheme).</w:t>
      </w:r>
    </w:p>
    <w:p>
      <w:r>
        <w:t xml:space="preserve">To keep consistence with LTE, we get the </w:t>
      </w:r>
      <w:r>
        <w:rPr>
          <w:rFonts w:hint="eastAsia"/>
        </w:rPr>
        <w:t xml:space="preserve">first </w:t>
      </w:r>
      <w:r>
        <w:t>proposal:</w:t>
      </w:r>
    </w:p>
    <w:p>
      <w:pPr>
        <w:rPr>
          <w:b/>
          <w:bCs/>
        </w:rPr>
      </w:pPr>
      <w:r>
        <w:rPr>
          <w:b/>
          <w:bCs/>
        </w:rPr>
        <w:t>Proposal 1: When operating with SRS carrier switching, the antenna switching capability is the one for the switched band combination.</w:t>
      </w:r>
    </w:p>
    <w:p>
      <w:r>
        <w:t xml:space="preserve">Meanwhile, how to process the case that the UE doesn’t report the switched band combination was also touched during </w:t>
      </w:r>
      <w:r>
        <w:rPr>
          <w:rFonts w:hint="eastAsia"/>
        </w:rPr>
        <w:t xml:space="preserve">the </w:t>
      </w:r>
      <w:r>
        <w:t xml:space="preserve">email discussion of the last meeting. Similar to the proposal 1, the same principle as LTE </w:t>
      </w:r>
      <w:r>
        <w:rPr>
          <w:rFonts w:hint="eastAsia"/>
        </w:rPr>
        <w:t xml:space="preserve">can </w:t>
      </w:r>
      <w:r>
        <w:t>be adopted.</w:t>
      </w:r>
    </w:p>
    <w:p>
      <w:pPr>
        <w:rPr>
          <w:b/>
          <w:bCs/>
        </w:rPr>
      </w:pPr>
      <w:r>
        <w:rPr>
          <w:b/>
          <w:bCs/>
        </w:rPr>
        <w:t>Proposal 2:</w:t>
      </w:r>
      <w:r>
        <w:rPr>
          <w:rFonts w:hint="eastAsia"/>
          <w:b/>
          <w:bCs/>
        </w:rPr>
        <w:t xml:space="preserve"> </w:t>
      </w:r>
      <w:r>
        <w:rPr>
          <w:b/>
          <w:bCs/>
        </w:rPr>
        <w:t xml:space="preserve">If the UE does not indicate support for the switched band combination the UE does not support carrier switching. </w:t>
      </w:r>
    </w:p>
    <w:p>
      <w:r>
        <w:t>Obviously both the proposal 1 and proposal 2 shall be further confirmed by RAN1.</w:t>
      </w:r>
    </w:p>
    <w:p>
      <w:pPr>
        <w:rPr>
          <w:b/>
          <w:bCs/>
        </w:rPr>
      </w:pPr>
      <w:r>
        <w:rPr>
          <w:b/>
          <w:bCs/>
        </w:rPr>
        <w:t xml:space="preserve">Proposal 3: An LS can be sent to RAN1 to confirm the understanding in </w:t>
      </w:r>
      <w:r>
        <w:rPr>
          <w:rFonts w:hint="eastAsia"/>
          <w:b/>
          <w:bCs/>
        </w:rPr>
        <w:t>p</w:t>
      </w:r>
      <w:r>
        <w:rPr>
          <w:b/>
          <w:bCs/>
        </w:rPr>
        <w:t>roposal 1</w:t>
      </w:r>
      <w:r>
        <w:rPr>
          <w:rFonts w:hint="eastAsia"/>
          <w:b/>
          <w:bCs/>
        </w:rPr>
        <w:t xml:space="preserve"> and proposal 2</w:t>
      </w:r>
    </w:p>
    <w:p>
      <w:pPr>
        <w:pStyle w:val="3"/>
        <w:keepNext w:val="0"/>
        <w:keepLines w:val="0"/>
        <w:spacing w:before="156" w:beforeLines="50"/>
        <w:ind w:left="0" w:firstLine="0"/>
        <w:rPr>
          <w:rFonts w:ascii="Times New Roman" w:hAnsi="Times New Roman" w:eastAsia="宋体"/>
          <w:b w:val="0"/>
          <w:bCs w:val="0"/>
          <w:sz w:val="28"/>
          <w:szCs w:val="28"/>
          <w:lang w:val="en-US"/>
        </w:rPr>
      </w:pPr>
      <w:r>
        <w:rPr>
          <w:rFonts w:ascii="Times New Roman" w:hAnsi="Times New Roman"/>
          <w:b w:val="0"/>
          <w:bCs w:val="0"/>
          <w:sz w:val="28"/>
          <w:szCs w:val="28"/>
          <w:lang w:val="en-US"/>
        </w:rPr>
        <w:t>2.</w:t>
      </w:r>
      <w:r>
        <w:rPr>
          <w:rFonts w:ascii="Times New Roman" w:hAnsi="Times New Roman" w:eastAsia="宋体"/>
          <w:b w:val="0"/>
          <w:bCs w:val="0"/>
          <w:sz w:val="28"/>
          <w:szCs w:val="28"/>
          <w:lang w:val="en-US"/>
        </w:rPr>
        <w:t xml:space="preserve">2 Feature set Impact </w:t>
      </w:r>
    </w:p>
    <w:p>
      <w:r>
        <w:t>In this chapter, we analyze the feature set impact to this issue. During the discussion of the last meeting, companies also discussed whether the feature set shall be considered when determine the target BC, for example, only the target BC with the same DL feature set configuration as the Source BC can be selected. For this issue, for that the SRS carrier/antenna switch capability was defined per BC, we need to confirm whether the UE was allowed to report different SRS carrier/antenna switch capabilities for the same BC as below:</w:t>
      </w:r>
    </w:p>
    <w:p>
      <w:pPr>
        <w:ind w:firstLine="630" w:firstLineChars="300"/>
      </w:pPr>
      <w:r>
        <w:t xml:space="preserve">BC1: </w:t>
      </w:r>
      <w:r>
        <w:rPr>
          <w:rFonts w:hint="eastAsia"/>
        </w:rPr>
        <w:t xml:space="preserve"> </w:t>
      </w:r>
      <w:r>
        <w:rPr>
          <w:color w:val="FF0000"/>
        </w:rPr>
        <w:t>Band parameters</w:t>
      </w:r>
      <w:r>
        <w:rPr>
          <w:rFonts w:hint="eastAsia"/>
          <w:color w:val="FF0000"/>
        </w:rPr>
        <w:t xml:space="preserve"> </w:t>
      </w:r>
      <w:r>
        <w:rPr>
          <w:color w:val="FF0000"/>
        </w:rPr>
        <w:t>list 1</w:t>
      </w:r>
      <w:r>
        <w:rPr>
          <w:rFonts w:hint="eastAsia"/>
          <w:color w:val="FF0000"/>
        </w:rPr>
        <w:t xml:space="preserve"> </w:t>
      </w:r>
      <w:r>
        <w:t xml:space="preserve">+ SRS carrier/antenna switch capability 1 </w:t>
      </w:r>
      <w:r>
        <w:rPr>
          <w:rFonts w:hint="eastAsia"/>
        </w:rPr>
        <w:t xml:space="preserve">+ </w:t>
      </w:r>
      <w:r>
        <w:t>FeaturesetCombinationID1</w:t>
      </w:r>
    </w:p>
    <w:p>
      <w:pPr>
        <w:ind w:firstLine="630" w:firstLineChars="300"/>
      </w:pPr>
      <w:r>
        <w:t xml:space="preserve">BC2:  </w:t>
      </w:r>
      <w:r>
        <w:rPr>
          <w:color w:val="FF0000"/>
        </w:rPr>
        <w:t xml:space="preserve">Band parameters list 1 </w:t>
      </w:r>
      <w:r>
        <w:t xml:space="preserve">+ SRS carrier/antenna switch capability 2 </w:t>
      </w:r>
      <w:r>
        <w:rPr>
          <w:rFonts w:hint="eastAsia"/>
        </w:rPr>
        <w:t xml:space="preserve">+ </w:t>
      </w:r>
      <w:r>
        <w:t>FeaturesetCombinationID2</w:t>
      </w:r>
    </w:p>
    <w:p>
      <w:r>
        <w:t>In the current spec, for the antenna switch capability, the UE is restricted not to include fallback band combinations for the purpose of indicating different SRS antenna switching capabilities. But for the same BC whether the UE can report different SRS carrier/antenna switch capabilities for different FeaturesetCombinationIDs, there is no restriction.</w:t>
      </w:r>
    </w:p>
    <w:p>
      <w:pPr>
        <w:rPr>
          <w:b/>
          <w:bCs/>
        </w:rPr>
      </w:pPr>
      <w:r>
        <w:rPr>
          <w:b/>
          <w:bCs/>
        </w:rPr>
        <w:t>Proposal 4: Ran2 to clarify for the same BC whether the UE is allowed to report different SRS carrier/antenna switch capabilities for different FeaturesetCombinationIDs.</w:t>
      </w:r>
    </w:p>
    <w:p>
      <w:pPr>
        <w:rPr>
          <w:bCs/>
        </w:rPr>
      </w:pPr>
      <w:r>
        <w:rPr>
          <w:bCs/>
        </w:rPr>
        <w:t xml:space="preserve">If for the same BC the UE is allowed to report different SRS carrier/antenna switch capabilities for different FeaturesetCombinationIDs, we think the SRS carrier/antenna switch capabilities are dependent from the Featureset, thus the </w:t>
      </w:r>
      <w:r>
        <w:t>Featureset shall also be considered, and otherwise, the Target BC can be selected independently.</w:t>
      </w:r>
    </w:p>
    <w:p>
      <w:pPr>
        <w:rPr>
          <w:b/>
          <w:bCs/>
        </w:rPr>
      </w:pPr>
      <w:r>
        <w:rPr>
          <w:b/>
          <w:bCs/>
        </w:rPr>
        <w:t>Proposal 5: If for the same BC the UE is allowed to report different SRS carrier/antenna switch capabilities for different FeaturesetCombinationIDs, only the target BC with the same DL feature set configuration as the Source BC can be selected. Otherwise, the SRS carrier/antenna switch capability can be seen as independent from the FeaturesetCombination, there is no need to take the feature set into consideration</w:t>
      </w:r>
      <w:r>
        <w:rPr>
          <w:rFonts w:hint="eastAsia"/>
          <w:b/>
          <w:bCs/>
        </w:rPr>
        <w:t>.</w:t>
      </w:r>
    </w:p>
    <w:p>
      <w:pPr>
        <w:pStyle w:val="3"/>
        <w:keepNext w:val="0"/>
        <w:keepLines w:val="0"/>
        <w:spacing w:before="156" w:beforeLines="50"/>
        <w:ind w:left="0" w:firstLine="0"/>
        <w:rPr>
          <w:rFonts w:ascii="Times New Roman" w:hAnsi="Times New Roman" w:eastAsia="宋体"/>
          <w:b w:val="0"/>
          <w:bCs w:val="0"/>
          <w:sz w:val="28"/>
          <w:szCs w:val="28"/>
          <w:lang w:val="en-US"/>
        </w:rPr>
      </w:pPr>
      <w:r>
        <w:rPr>
          <w:rFonts w:ascii="Times New Roman" w:hAnsi="Times New Roman"/>
          <w:b w:val="0"/>
          <w:bCs w:val="0"/>
          <w:sz w:val="28"/>
          <w:szCs w:val="28"/>
          <w:lang w:val="en-US"/>
        </w:rPr>
        <w:t>2.</w:t>
      </w:r>
      <w:r>
        <w:rPr>
          <w:rFonts w:ascii="Times New Roman" w:hAnsi="Times New Roman" w:eastAsia="宋体"/>
          <w:b w:val="0"/>
          <w:bCs w:val="0"/>
          <w:sz w:val="28"/>
          <w:szCs w:val="28"/>
          <w:lang w:val="en-US"/>
        </w:rPr>
        <w:t>3</w:t>
      </w:r>
      <w:r>
        <w:rPr>
          <w:rFonts w:ascii="Times New Roman" w:hAnsi="Times New Roman"/>
          <w:b w:val="0"/>
          <w:bCs w:val="0"/>
          <w:sz w:val="28"/>
          <w:szCs w:val="28"/>
          <w:lang w:val="en-US"/>
        </w:rPr>
        <w:t xml:space="preserve"> </w:t>
      </w:r>
      <w:r>
        <w:rPr>
          <w:rFonts w:ascii="Times New Roman" w:hAnsi="Times New Roman" w:eastAsia="宋体"/>
          <w:b w:val="0"/>
          <w:bCs w:val="0"/>
          <w:sz w:val="28"/>
          <w:szCs w:val="28"/>
          <w:lang w:val="en-US"/>
        </w:rPr>
        <w:t>Other issue</w:t>
      </w:r>
    </w:p>
    <w:p>
      <w:r>
        <w:t xml:space="preserve">In this chapter, we just want to clarify that for some cases, the Source BC and the target BC can be indicated in the same BandCombination entry if the per BC UE capabilities are </w:t>
      </w:r>
      <w:r>
        <w:rPr>
          <w:rFonts w:hint="eastAsia"/>
        </w:rPr>
        <w:t>consistent</w:t>
      </w:r>
      <w:r>
        <w:t xml:space="preserve"> for</w:t>
      </w:r>
      <w:r>
        <w:rPr>
          <w:rFonts w:hint="eastAsia"/>
        </w:rPr>
        <w:t xml:space="preserve"> both</w:t>
      </w:r>
      <w:r>
        <w:t xml:space="preserve"> the Source BC and the target BC. Taking the below BCs as an example, if all of the per BC UE capabilities are </w:t>
      </w:r>
      <w:r>
        <w:rPr>
          <w:rFonts w:hint="eastAsia"/>
        </w:rPr>
        <w:t xml:space="preserve">consistent </w:t>
      </w:r>
      <w:r>
        <w:t xml:space="preserve">(including per Band per BC capabilities e.g. SRS capability), we can include the Band A/B/C into a super BC, and then set the related </w:t>
      </w:r>
      <w:r>
        <w:rPr>
          <w:i/>
          <w:lang w:val="en-GB"/>
        </w:rPr>
        <w:t>FeatureSetUplinkId</w:t>
      </w:r>
      <w:r>
        <w:rPr>
          <w:lang w:val="en-GB"/>
        </w:rPr>
        <w:t xml:space="preserve"> </w:t>
      </w:r>
      <w:r>
        <w:t xml:space="preserve">to zero to indicate the different </w:t>
      </w:r>
      <w:r>
        <w:rPr>
          <w:rFonts w:hint="eastAsia"/>
        </w:rPr>
        <w:t>UL band combination</w:t>
      </w:r>
      <w:r>
        <w:t>.</w:t>
      </w:r>
    </w:p>
    <w:tbl>
      <w:tblPr>
        <w:tblStyle w:val="57"/>
        <w:tblW w:w="65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583" w:type="dxa"/>
          </w:tcPr>
          <w:p>
            <w:pPr>
              <w:pStyle w:val="53"/>
              <w:shd w:val="clear" w:color="auto" w:fill="FFFFFF"/>
              <w:spacing w:before="0" w:beforeAutospacing="0" w:after="0" w:afterAutospacing="0" w:line="360" w:lineRule="atLeast"/>
              <w:rPr>
                <w:rFonts w:eastAsia="宋体"/>
                <w:color w:val="000000"/>
                <w:sz w:val="21"/>
                <w:szCs w:val="21"/>
                <w:lang w:val="en-US" w:eastAsia="zh-CN"/>
              </w:rPr>
            </w:pPr>
            <w:r>
              <w:rPr>
                <w:color w:val="000000"/>
                <w:sz w:val="21"/>
                <w:szCs w:val="21"/>
                <w:shd w:val="clear" w:color="auto" w:fill="FFFFFF"/>
              </w:rPr>
              <w:t xml:space="preserve"> BC1: DL Band </w:t>
            </w:r>
            <w:r>
              <w:rPr>
                <w:rFonts w:eastAsia="宋体"/>
                <w:color w:val="000000"/>
                <w:sz w:val="21"/>
                <w:szCs w:val="21"/>
                <w:shd w:val="clear" w:color="auto" w:fill="FFFFFF"/>
                <w:lang w:val="en-US" w:eastAsia="zh-CN"/>
              </w:rPr>
              <w:t>A</w:t>
            </w:r>
            <w:r>
              <w:rPr>
                <w:color w:val="000000"/>
                <w:sz w:val="21"/>
                <w:szCs w:val="21"/>
                <w:shd w:val="clear" w:color="auto" w:fill="FFFFFF"/>
              </w:rPr>
              <w:t xml:space="preserve">+Band </w:t>
            </w:r>
            <w:r>
              <w:rPr>
                <w:rFonts w:eastAsia="宋体"/>
                <w:color w:val="000000"/>
                <w:sz w:val="21"/>
                <w:szCs w:val="21"/>
                <w:shd w:val="clear" w:color="auto" w:fill="FFFFFF"/>
                <w:lang w:val="en-US" w:eastAsia="zh-CN"/>
              </w:rPr>
              <w:t xml:space="preserve">B + Band C  </w:t>
            </w:r>
            <w:r>
              <w:rPr>
                <w:color w:val="000000"/>
                <w:sz w:val="21"/>
                <w:szCs w:val="21"/>
                <w:shd w:val="clear" w:color="auto" w:fill="FFFFFF"/>
              </w:rPr>
              <w:t xml:space="preserve"> UL Band </w:t>
            </w:r>
            <w:r>
              <w:rPr>
                <w:rFonts w:eastAsia="宋体"/>
                <w:color w:val="000000"/>
                <w:sz w:val="21"/>
                <w:szCs w:val="21"/>
                <w:shd w:val="clear" w:color="auto" w:fill="FFFFFF"/>
                <w:lang w:val="en-US" w:eastAsia="zh-CN"/>
              </w:rPr>
              <w:t>A + Band B</w:t>
            </w:r>
          </w:p>
          <w:p>
            <w:pPr>
              <w:pStyle w:val="53"/>
              <w:shd w:val="clear" w:color="auto" w:fill="FFFFFF"/>
              <w:spacing w:before="0" w:beforeAutospacing="0" w:after="0" w:afterAutospacing="0" w:line="360" w:lineRule="atLeast"/>
              <w:rPr>
                <w:rFonts w:eastAsia="宋体"/>
                <w:color w:val="000000"/>
                <w:sz w:val="21"/>
                <w:szCs w:val="21"/>
                <w:lang w:val="en-US" w:eastAsia="zh-CN"/>
              </w:rPr>
            </w:pPr>
            <w:r>
              <w:rPr>
                <w:color w:val="000000"/>
                <w:sz w:val="21"/>
                <w:szCs w:val="21"/>
                <w:shd w:val="clear" w:color="auto" w:fill="FFFFFF"/>
              </w:rPr>
              <w:t xml:space="preserve"> BC2: DL Band </w:t>
            </w:r>
            <w:r>
              <w:rPr>
                <w:rFonts w:eastAsia="宋体"/>
                <w:color w:val="000000"/>
                <w:sz w:val="21"/>
                <w:szCs w:val="21"/>
                <w:shd w:val="clear" w:color="auto" w:fill="FFFFFF"/>
                <w:lang w:val="en-US" w:eastAsia="zh-CN"/>
              </w:rPr>
              <w:t>A</w:t>
            </w:r>
            <w:r>
              <w:rPr>
                <w:color w:val="000000"/>
                <w:sz w:val="21"/>
                <w:szCs w:val="21"/>
                <w:shd w:val="clear" w:color="auto" w:fill="FFFFFF"/>
              </w:rPr>
              <w:t xml:space="preserve">+Band </w:t>
            </w:r>
            <w:r>
              <w:rPr>
                <w:rFonts w:eastAsia="宋体"/>
                <w:color w:val="000000"/>
                <w:sz w:val="21"/>
                <w:szCs w:val="21"/>
                <w:shd w:val="clear" w:color="auto" w:fill="FFFFFF"/>
                <w:lang w:val="en-US" w:eastAsia="zh-CN"/>
              </w:rPr>
              <w:t xml:space="preserve">B + Band C   </w:t>
            </w:r>
            <w:r>
              <w:rPr>
                <w:color w:val="000000"/>
                <w:sz w:val="21"/>
                <w:szCs w:val="21"/>
                <w:shd w:val="clear" w:color="auto" w:fill="FFFFFF"/>
              </w:rPr>
              <w:t xml:space="preserve">UL Band </w:t>
            </w:r>
            <w:r>
              <w:rPr>
                <w:rFonts w:eastAsia="宋体"/>
                <w:color w:val="000000"/>
                <w:sz w:val="21"/>
                <w:szCs w:val="21"/>
                <w:shd w:val="clear" w:color="auto" w:fill="FFFFFF"/>
                <w:lang w:val="en-US" w:eastAsia="zh-CN"/>
              </w:rPr>
              <w:t>A + Band C</w:t>
            </w:r>
          </w:p>
          <w:p>
            <w:pPr>
              <w:pStyle w:val="53"/>
              <w:shd w:val="clear" w:color="auto" w:fill="FFFFFF"/>
              <w:spacing w:before="0" w:beforeAutospacing="0" w:after="0" w:afterAutospacing="0" w:line="360" w:lineRule="atLeast"/>
              <w:rPr>
                <w:lang w:val="en-US" w:eastAsia="zh-CN"/>
              </w:rPr>
            </w:pPr>
            <w:r>
              <w:rPr>
                <w:color w:val="000000"/>
                <w:sz w:val="21"/>
                <w:szCs w:val="21"/>
                <w:shd w:val="clear" w:color="auto" w:fill="FFFFFF"/>
              </w:rPr>
              <w:t> BC</w:t>
            </w:r>
            <w:r>
              <w:rPr>
                <w:rFonts w:eastAsia="宋体"/>
                <w:color w:val="000000"/>
                <w:sz w:val="21"/>
                <w:szCs w:val="21"/>
                <w:shd w:val="clear" w:color="auto" w:fill="FFFFFF"/>
                <w:lang w:val="en-US" w:eastAsia="zh-CN"/>
              </w:rPr>
              <w:t>3</w:t>
            </w:r>
            <w:r>
              <w:rPr>
                <w:color w:val="000000"/>
                <w:sz w:val="21"/>
                <w:szCs w:val="21"/>
                <w:shd w:val="clear" w:color="auto" w:fill="FFFFFF"/>
              </w:rPr>
              <w:t xml:space="preserve">: DL Band </w:t>
            </w:r>
            <w:r>
              <w:rPr>
                <w:rFonts w:eastAsia="宋体"/>
                <w:color w:val="000000"/>
                <w:sz w:val="21"/>
                <w:szCs w:val="21"/>
                <w:shd w:val="clear" w:color="auto" w:fill="FFFFFF"/>
                <w:lang w:val="en-US" w:eastAsia="zh-CN"/>
              </w:rPr>
              <w:t>A</w:t>
            </w:r>
            <w:r>
              <w:rPr>
                <w:color w:val="000000"/>
                <w:sz w:val="21"/>
                <w:szCs w:val="21"/>
                <w:shd w:val="clear" w:color="auto" w:fill="FFFFFF"/>
              </w:rPr>
              <w:t xml:space="preserve">+Band </w:t>
            </w:r>
            <w:r>
              <w:rPr>
                <w:rFonts w:eastAsia="宋体"/>
                <w:color w:val="000000"/>
                <w:sz w:val="21"/>
                <w:szCs w:val="21"/>
                <w:shd w:val="clear" w:color="auto" w:fill="FFFFFF"/>
                <w:lang w:val="en-US" w:eastAsia="zh-CN"/>
              </w:rPr>
              <w:t xml:space="preserve">B + Band C   </w:t>
            </w:r>
            <w:r>
              <w:rPr>
                <w:color w:val="000000"/>
                <w:sz w:val="21"/>
                <w:szCs w:val="21"/>
                <w:shd w:val="clear" w:color="auto" w:fill="FFFFFF"/>
              </w:rPr>
              <w:t xml:space="preserve">UL Band </w:t>
            </w:r>
            <w:r>
              <w:rPr>
                <w:rFonts w:eastAsia="宋体"/>
                <w:color w:val="000000"/>
                <w:sz w:val="21"/>
                <w:szCs w:val="21"/>
                <w:shd w:val="clear" w:color="auto" w:fill="FFFFFF"/>
                <w:lang w:val="en-US" w:eastAsia="zh-CN"/>
              </w:rPr>
              <w:t>B + Band C</w:t>
            </w:r>
          </w:p>
        </w:tc>
      </w:tr>
    </w:tbl>
    <w:p/>
    <w:p>
      <w:r>
        <w:t>Thus, for these cases, the source BC and the target BC are indicated in the same BandCombination entry</w:t>
      </w:r>
      <w:r>
        <w:rPr>
          <w:rFonts w:hint="eastAsia"/>
        </w:rPr>
        <w:t>, and they share the same SRS carrier/antenna switch capability.</w:t>
      </w:r>
    </w:p>
    <w:p>
      <w:pPr>
        <w:rPr>
          <w:b/>
          <w:bCs/>
        </w:rPr>
      </w:pPr>
      <w:r>
        <w:rPr>
          <w:b/>
          <w:bCs/>
        </w:rPr>
        <w:t xml:space="preserve">Observation 4: The source BC and the target BC may be </w:t>
      </w:r>
      <w:r>
        <w:rPr>
          <w:b/>
        </w:rPr>
        <w:t>indicated in the same BandCombination entry</w:t>
      </w:r>
      <w:r>
        <w:rPr>
          <w:b/>
          <w:bCs/>
        </w:rPr>
        <w: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b w:val="0"/>
          <w:bCs w:val="0"/>
          <w:kern w:val="0"/>
          <w:sz w:val="32"/>
          <w:szCs w:val="36"/>
        </w:rPr>
      </w:pPr>
      <w:r>
        <w:rPr>
          <w:b w:val="0"/>
          <w:bCs w:val="0"/>
          <w:kern w:val="0"/>
          <w:sz w:val="32"/>
          <w:szCs w:val="36"/>
        </w:rPr>
        <w:t>Conclusion and proposals</w:t>
      </w:r>
    </w:p>
    <w:p>
      <w:pPr>
        <w:spacing w:before="156" w:beforeLines="50"/>
        <w:rPr>
          <w:sz w:val="20"/>
          <w:szCs w:val="20"/>
        </w:rPr>
      </w:pPr>
      <w:r>
        <w:rPr>
          <w:sz w:val="20"/>
          <w:szCs w:val="20"/>
        </w:rPr>
        <w:t>With the above analysis, we have the following proposals:</w:t>
      </w:r>
    </w:p>
    <w:p>
      <w:pPr>
        <w:pStyle w:val="53"/>
        <w:shd w:val="clear" w:color="auto" w:fill="FFFFFF"/>
        <w:spacing w:before="0" w:beforeAutospacing="0" w:after="0" w:afterAutospacing="0" w:line="360" w:lineRule="atLeast"/>
        <w:jc w:val="both"/>
        <w:rPr>
          <w:rFonts w:eastAsia="宋体"/>
          <w:b/>
          <w:bCs/>
          <w:color w:val="000000"/>
          <w:sz w:val="21"/>
          <w:szCs w:val="21"/>
          <w:lang w:val="en-US" w:eastAsia="zh-CN"/>
        </w:rPr>
      </w:pPr>
      <w:r>
        <w:rPr>
          <w:rFonts w:eastAsia="宋体"/>
          <w:b/>
          <w:bCs/>
          <w:color w:val="000000"/>
          <w:sz w:val="21"/>
          <w:szCs w:val="21"/>
          <w:lang w:val="en-US" w:eastAsia="zh-CN"/>
        </w:rPr>
        <w:t>Observation 1: Option A require</w:t>
      </w:r>
      <w:r>
        <w:rPr>
          <w:rFonts w:hint="eastAsia" w:eastAsia="宋体"/>
          <w:b/>
          <w:bCs/>
          <w:color w:val="000000"/>
          <w:sz w:val="21"/>
          <w:szCs w:val="21"/>
          <w:lang w:val="en-US" w:eastAsia="zh-CN"/>
        </w:rPr>
        <w:t>s</w:t>
      </w:r>
      <w:r>
        <w:rPr>
          <w:rFonts w:eastAsia="宋体"/>
          <w:b/>
          <w:bCs/>
          <w:color w:val="000000"/>
          <w:sz w:val="21"/>
          <w:szCs w:val="21"/>
          <w:lang w:val="en-US" w:eastAsia="zh-CN"/>
        </w:rPr>
        <w:t xml:space="preserve"> the SRS antenna switch capability on a certain band to be the same even the UE is working on the different and non-fallback UL band combinations.</w:t>
      </w:r>
    </w:p>
    <w:p>
      <w:pPr>
        <w:rPr>
          <w:b/>
          <w:bCs/>
        </w:rPr>
      </w:pPr>
      <w:r>
        <w:rPr>
          <w:b/>
          <w:bCs/>
        </w:rPr>
        <w:t>Observation 2: Option B allows the UE to indicate different SRS antenna switch capabilities for the different and non-fallback UL band combinations.</w:t>
      </w:r>
    </w:p>
    <w:p>
      <w:pPr>
        <w:rPr>
          <w:b/>
          <w:bCs/>
        </w:rPr>
      </w:pPr>
      <w:r>
        <w:rPr>
          <w:b/>
          <w:bCs/>
        </w:rPr>
        <w:t>Observation 3: In LTE rel-14, it has been agreed to adopt Option B (Target BC scheme).</w:t>
      </w:r>
    </w:p>
    <w:p>
      <w:pPr>
        <w:rPr>
          <w:b/>
          <w:bCs/>
        </w:rPr>
      </w:pPr>
      <w:r>
        <w:rPr>
          <w:b/>
          <w:bCs/>
        </w:rPr>
        <w:t>Proposal 1: When operating with SRS carrier switching, the antenna switching capability is the one for the switched band combination.</w:t>
      </w:r>
    </w:p>
    <w:p>
      <w:pPr>
        <w:rPr>
          <w:b/>
          <w:bCs/>
        </w:rPr>
      </w:pPr>
      <w:r>
        <w:rPr>
          <w:b/>
          <w:bCs/>
        </w:rPr>
        <w:t xml:space="preserve">Proposal 2:If the UE does not indicate support for the switched band combination the UE does not support carrier switching. </w:t>
      </w:r>
    </w:p>
    <w:p>
      <w:pPr>
        <w:rPr>
          <w:b/>
          <w:bCs/>
        </w:rPr>
      </w:pPr>
      <w:r>
        <w:rPr>
          <w:b/>
          <w:bCs/>
        </w:rPr>
        <w:t xml:space="preserve">Proposal 3: An LS can be sent to RAN1 to confirm the understanding in </w:t>
      </w:r>
      <w:r>
        <w:rPr>
          <w:rFonts w:hint="eastAsia"/>
          <w:b/>
          <w:bCs/>
        </w:rPr>
        <w:t>p</w:t>
      </w:r>
      <w:r>
        <w:rPr>
          <w:b/>
          <w:bCs/>
        </w:rPr>
        <w:t>roposal 1</w:t>
      </w:r>
      <w:r>
        <w:rPr>
          <w:rFonts w:hint="eastAsia"/>
          <w:b/>
          <w:bCs/>
        </w:rPr>
        <w:t xml:space="preserve"> and proposal 2</w:t>
      </w:r>
    </w:p>
    <w:p>
      <w:pPr>
        <w:rPr>
          <w:b/>
          <w:bCs/>
        </w:rPr>
      </w:pPr>
      <w:r>
        <w:rPr>
          <w:b/>
          <w:bCs/>
        </w:rPr>
        <w:t>Proposal</w:t>
      </w:r>
      <w:r>
        <w:rPr>
          <w:rFonts w:hint="eastAsia"/>
          <w:b/>
          <w:bCs/>
        </w:rPr>
        <w:t xml:space="preserve"> </w:t>
      </w:r>
      <w:r>
        <w:rPr>
          <w:b/>
          <w:bCs/>
        </w:rPr>
        <w:t>4: Ran2 to clarify for the same BC whether the UE is allowed to report different SRS carrier/antenna switch capabilities for different FeaturesetCombinationIDs.</w:t>
      </w:r>
    </w:p>
    <w:p>
      <w:pPr>
        <w:rPr>
          <w:b/>
          <w:bCs/>
        </w:rPr>
      </w:pPr>
      <w:r>
        <w:rPr>
          <w:b/>
          <w:bCs/>
        </w:rPr>
        <w:t>Proposal 5: If for the same BC the UE is allowed to report different SRS carrier/antenna switch capabilities for different FeaturesetCombinationIDs, only the target BC with the same DL feature set configuration as the Source BC can be selected. Otherwise, the SRS carrier/antenna switch capability can be seen as independent from the FeaturesetCombination, there is no need to take the feature set into consideration</w:t>
      </w:r>
      <w:r>
        <w:rPr>
          <w:rFonts w:hint="eastAsia"/>
          <w:b/>
          <w:bCs/>
        </w:rPr>
        <w:t>.</w:t>
      </w:r>
    </w:p>
    <w:p>
      <w:pPr>
        <w:rPr>
          <w:b/>
          <w:bCs/>
        </w:rPr>
      </w:pPr>
      <w:r>
        <w:rPr>
          <w:b/>
          <w:bCs/>
        </w:rPr>
        <w:t xml:space="preserve">Observation 4: The source BC and the target BC may be </w:t>
      </w:r>
      <w:r>
        <w:rPr>
          <w:b/>
        </w:rPr>
        <w:t>indicated in the same BandCombination entry</w:t>
      </w:r>
      <w:r>
        <w:rPr>
          <w:b/>
          <w:bCs/>
        </w:rPr>
        <w: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b w:val="0"/>
          <w:bCs w:val="0"/>
          <w:kern w:val="0"/>
          <w:sz w:val="32"/>
          <w:szCs w:val="36"/>
        </w:rPr>
      </w:pPr>
      <w:r>
        <w:rPr>
          <w:b w:val="0"/>
          <w:bCs w:val="0"/>
          <w:kern w:val="0"/>
          <w:sz w:val="32"/>
          <w:szCs w:val="36"/>
        </w:rPr>
        <w:t>Reference</w:t>
      </w:r>
    </w:p>
    <w:p>
      <w:pPr>
        <w:pStyle w:val="280"/>
        <w:overflowPunct w:val="0"/>
        <w:autoSpaceDE w:val="0"/>
        <w:autoSpaceDN w:val="0"/>
        <w:adjustRightInd w:val="0"/>
        <w:spacing w:before="156" w:beforeLines="50" w:after="120"/>
        <w:textAlignment w:val="baseline"/>
        <w:rPr>
          <w:rStyle w:val="64"/>
          <w:color w:val="auto"/>
          <w:u w:val="none"/>
        </w:rPr>
      </w:pPr>
      <w:r>
        <w:rPr>
          <w:rStyle w:val="64"/>
          <w:color w:val="auto"/>
          <w:u w:val="none"/>
        </w:rPr>
        <w:t>R2-2002574 Correction on UE capability signalling for simultaneous SRS antenna and carrier switching Qualcomm Incorporated    CR    Rel-15    38.306    15.9.0    0265    -    F    NR_newRAT-Core</w:t>
      </w:r>
    </w:p>
    <w:p>
      <w:pPr>
        <w:pStyle w:val="280"/>
        <w:numPr>
          <w:ilvl w:val="0"/>
          <w:numId w:val="0"/>
        </w:numPr>
        <w:overflowPunct w:val="0"/>
        <w:autoSpaceDE w:val="0"/>
        <w:autoSpaceDN w:val="0"/>
        <w:adjustRightInd w:val="0"/>
        <w:spacing w:before="156" w:beforeLines="50" w:after="120"/>
        <w:textAlignment w:val="baseline"/>
        <w:rPr>
          <w:rStyle w:val="64"/>
          <w:color w:val="auto"/>
          <w:u w:val="none"/>
        </w:rPr>
      </w:pPr>
    </w:p>
    <w:p/>
    <w:p>
      <w:pPr>
        <w:rPr>
          <w:b/>
          <w:bCs/>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9436422"/>
    <w:multiLevelType w:val="multilevel"/>
    <w:tmpl w:val="494364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1AB4"/>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1DE5"/>
    <w:rsid w:val="000C236D"/>
    <w:rsid w:val="000C2690"/>
    <w:rsid w:val="000C364E"/>
    <w:rsid w:val="000C5D4C"/>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179B3"/>
    <w:rsid w:val="004228A3"/>
    <w:rsid w:val="004229AC"/>
    <w:rsid w:val="00423D3B"/>
    <w:rsid w:val="004245A3"/>
    <w:rsid w:val="00424A48"/>
    <w:rsid w:val="004274EC"/>
    <w:rsid w:val="00427917"/>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5A90"/>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4F15"/>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0EBB"/>
    <w:rsid w:val="009D159F"/>
    <w:rsid w:val="009D2A16"/>
    <w:rsid w:val="009D4DB6"/>
    <w:rsid w:val="009D6952"/>
    <w:rsid w:val="009D7F9A"/>
    <w:rsid w:val="009E068F"/>
    <w:rsid w:val="009E1B89"/>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7EEF"/>
    <w:rsid w:val="00B002E0"/>
    <w:rsid w:val="00B0053F"/>
    <w:rsid w:val="00B0132A"/>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D45"/>
    <w:rsid w:val="00CA501F"/>
    <w:rsid w:val="00CA59FA"/>
    <w:rsid w:val="00CA61CF"/>
    <w:rsid w:val="00CB1749"/>
    <w:rsid w:val="00CB3A9F"/>
    <w:rsid w:val="00CB5048"/>
    <w:rsid w:val="00CC0888"/>
    <w:rsid w:val="00CC10DA"/>
    <w:rsid w:val="00CC156D"/>
    <w:rsid w:val="00CC58C3"/>
    <w:rsid w:val="00CD229F"/>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548D"/>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75FAD"/>
    <w:rsid w:val="00E8224F"/>
    <w:rsid w:val="00E832E5"/>
    <w:rsid w:val="00E84A4B"/>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4825"/>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5F8"/>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1A2"/>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F0207"/>
    <w:rsid w:val="01B354EB"/>
    <w:rsid w:val="01B409B2"/>
    <w:rsid w:val="01E4753D"/>
    <w:rsid w:val="01F44989"/>
    <w:rsid w:val="01F6071A"/>
    <w:rsid w:val="02105BCC"/>
    <w:rsid w:val="0213188C"/>
    <w:rsid w:val="02437D3E"/>
    <w:rsid w:val="024721F3"/>
    <w:rsid w:val="024B45DB"/>
    <w:rsid w:val="024F4E90"/>
    <w:rsid w:val="027F11AC"/>
    <w:rsid w:val="028470E8"/>
    <w:rsid w:val="028F09A5"/>
    <w:rsid w:val="02B219C0"/>
    <w:rsid w:val="02C27DEA"/>
    <w:rsid w:val="02C57546"/>
    <w:rsid w:val="02D76917"/>
    <w:rsid w:val="02EB2A7B"/>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093"/>
    <w:rsid w:val="04DE4CB9"/>
    <w:rsid w:val="04DF2D55"/>
    <w:rsid w:val="051D3036"/>
    <w:rsid w:val="0536681D"/>
    <w:rsid w:val="054A01E6"/>
    <w:rsid w:val="054C7D1C"/>
    <w:rsid w:val="0571074D"/>
    <w:rsid w:val="05837B30"/>
    <w:rsid w:val="05910818"/>
    <w:rsid w:val="05A62661"/>
    <w:rsid w:val="05B63D95"/>
    <w:rsid w:val="05F7165D"/>
    <w:rsid w:val="06017CE0"/>
    <w:rsid w:val="060F5CB3"/>
    <w:rsid w:val="06365B50"/>
    <w:rsid w:val="06393E16"/>
    <w:rsid w:val="064745C2"/>
    <w:rsid w:val="06561355"/>
    <w:rsid w:val="065E6CDE"/>
    <w:rsid w:val="066D0A61"/>
    <w:rsid w:val="068975B0"/>
    <w:rsid w:val="068A20E4"/>
    <w:rsid w:val="068F29C7"/>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C3F6C"/>
    <w:rsid w:val="0A520548"/>
    <w:rsid w:val="0A651D55"/>
    <w:rsid w:val="0A6A7198"/>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17220C"/>
    <w:rsid w:val="0E1A4622"/>
    <w:rsid w:val="0E265F60"/>
    <w:rsid w:val="0E4A521D"/>
    <w:rsid w:val="0E4F3F26"/>
    <w:rsid w:val="0E707012"/>
    <w:rsid w:val="0E734461"/>
    <w:rsid w:val="0E7E6721"/>
    <w:rsid w:val="0E927861"/>
    <w:rsid w:val="0EA04D7B"/>
    <w:rsid w:val="0EA4482A"/>
    <w:rsid w:val="0EA926E0"/>
    <w:rsid w:val="0EC132D7"/>
    <w:rsid w:val="0ED42BAF"/>
    <w:rsid w:val="0EDC3297"/>
    <w:rsid w:val="0EE700B0"/>
    <w:rsid w:val="0EEE41C4"/>
    <w:rsid w:val="0F0E6CDB"/>
    <w:rsid w:val="0F4340EF"/>
    <w:rsid w:val="0F5F1287"/>
    <w:rsid w:val="0F685729"/>
    <w:rsid w:val="0F70152C"/>
    <w:rsid w:val="0FBB79D4"/>
    <w:rsid w:val="0FDB1049"/>
    <w:rsid w:val="0FE322F6"/>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896EFE"/>
    <w:rsid w:val="128B57E5"/>
    <w:rsid w:val="129402A3"/>
    <w:rsid w:val="12DD13AC"/>
    <w:rsid w:val="12F41B54"/>
    <w:rsid w:val="132D5EA4"/>
    <w:rsid w:val="13343190"/>
    <w:rsid w:val="13343A7F"/>
    <w:rsid w:val="1357550B"/>
    <w:rsid w:val="13773724"/>
    <w:rsid w:val="1384235E"/>
    <w:rsid w:val="13933000"/>
    <w:rsid w:val="139C112D"/>
    <w:rsid w:val="13AD4C79"/>
    <w:rsid w:val="13B951C8"/>
    <w:rsid w:val="13C949BF"/>
    <w:rsid w:val="13CA1021"/>
    <w:rsid w:val="13D43211"/>
    <w:rsid w:val="13D75C00"/>
    <w:rsid w:val="13E30B7D"/>
    <w:rsid w:val="13E754BB"/>
    <w:rsid w:val="13ED04A7"/>
    <w:rsid w:val="13F84998"/>
    <w:rsid w:val="13FB5DAF"/>
    <w:rsid w:val="1402132F"/>
    <w:rsid w:val="140947EE"/>
    <w:rsid w:val="141C2462"/>
    <w:rsid w:val="14413E76"/>
    <w:rsid w:val="144A0D85"/>
    <w:rsid w:val="1450192B"/>
    <w:rsid w:val="145A1D5A"/>
    <w:rsid w:val="146C12BB"/>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BE464B"/>
    <w:rsid w:val="16D61CD9"/>
    <w:rsid w:val="16E74CBD"/>
    <w:rsid w:val="1705748E"/>
    <w:rsid w:val="170A4371"/>
    <w:rsid w:val="174B31A0"/>
    <w:rsid w:val="175B1D16"/>
    <w:rsid w:val="17793E43"/>
    <w:rsid w:val="1793303A"/>
    <w:rsid w:val="179C79A4"/>
    <w:rsid w:val="17CB7C49"/>
    <w:rsid w:val="17D52F7B"/>
    <w:rsid w:val="17EB75B0"/>
    <w:rsid w:val="17F5084F"/>
    <w:rsid w:val="1829310B"/>
    <w:rsid w:val="1834222F"/>
    <w:rsid w:val="184115C6"/>
    <w:rsid w:val="18440068"/>
    <w:rsid w:val="1847296F"/>
    <w:rsid w:val="18502972"/>
    <w:rsid w:val="18937665"/>
    <w:rsid w:val="18A5771F"/>
    <w:rsid w:val="18AF74E1"/>
    <w:rsid w:val="18D45411"/>
    <w:rsid w:val="18DA6EB6"/>
    <w:rsid w:val="18FF0AF3"/>
    <w:rsid w:val="190E7C32"/>
    <w:rsid w:val="191B17E9"/>
    <w:rsid w:val="191F38B0"/>
    <w:rsid w:val="1951139B"/>
    <w:rsid w:val="195600F1"/>
    <w:rsid w:val="19595274"/>
    <w:rsid w:val="197141ED"/>
    <w:rsid w:val="1975293B"/>
    <w:rsid w:val="19934AEB"/>
    <w:rsid w:val="199D37F0"/>
    <w:rsid w:val="19AD7663"/>
    <w:rsid w:val="19BC030D"/>
    <w:rsid w:val="19DE008F"/>
    <w:rsid w:val="19E0148D"/>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841990"/>
    <w:rsid w:val="1F904F2D"/>
    <w:rsid w:val="1F9C3C77"/>
    <w:rsid w:val="1FAA1AE9"/>
    <w:rsid w:val="1FAC3217"/>
    <w:rsid w:val="1FC75129"/>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2C45D17"/>
    <w:rsid w:val="232421E8"/>
    <w:rsid w:val="233272DB"/>
    <w:rsid w:val="233D26C0"/>
    <w:rsid w:val="234E59AA"/>
    <w:rsid w:val="2376738D"/>
    <w:rsid w:val="238F48B8"/>
    <w:rsid w:val="23925C55"/>
    <w:rsid w:val="23BB37E6"/>
    <w:rsid w:val="23C553C2"/>
    <w:rsid w:val="23E311E5"/>
    <w:rsid w:val="23E733FC"/>
    <w:rsid w:val="23E863E8"/>
    <w:rsid w:val="241D53E4"/>
    <w:rsid w:val="242C6363"/>
    <w:rsid w:val="24560AE2"/>
    <w:rsid w:val="24753D7B"/>
    <w:rsid w:val="24794836"/>
    <w:rsid w:val="248C391F"/>
    <w:rsid w:val="249700EF"/>
    <w:rsid w:val="24972331"/>
    <w:rsid w:val="24B92297"/>
    <w:rsid w:val="24C45694"/>
    <w:rsid w:val="24EB0386"/>
    <w:rsid w:val="24EB51B9"/>
    <w:rsid w:val="24EE205A"/>
    <w:rsid w:val="250B6210"/>
    <w:rsid w:val="251D6C78"/>
    <w:rsid w:val="25242D4F"/>
    <w:rsid w:val="25493BC7"/>
    <w:rsid w:val="254F48B6"/>
    <w:rsid w:val="25552E35"/>
    <w:rsid w:val="25781361"/>
    <w:rsid w:val="25BA3553"/>
    <w:rsid w:val="25CD3FBC"/>
    <w:rsid w:val="25E540FF"/>
    <w:rsid w:val="25FE3FFD"/>
    <w:rsid w:val="26106F39"/>
    <w:rsid w:val="26295320"/>
    <w:rsid w:val="262C2F09"/>
    <w:rsid w:val="26533224"/>
    <w:rsid w:val="26541061"/>
    <w:rsid w:val="26553200"/>
    <w:rsid w:val="26895BB9"/>
    <w:rsid w:val="26C54B9B"/>
    <w:rsid w:val="26C6512F"/>
    <w:rsid w:val="26FF3DC8"/>
    <w:rsid w:val="27341C3F"/>
    <w:rsid w:val="274A262D"/>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BD2F95"/>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28190F"/>
    <w:rsid w:val="2C281BF6"/>
    <w:rsid w:val="2C3F1B10"/>
    <w:rsid w:val="2C41711C"/>
    <w:rsid w:val="2C494CC5"/>
    <w:rsid w:val="2C4C4186"/>
    <w:rsid w:val="2C4C5BF6"/>
    <w:rsid w:val="2C73323A"/>
    <w:rsid w:val="2CA305D6"/>
    <w:rsid w:val="2CBE1CB5"/>
    <w:rsid w:val="2CD4046F"/>
    <w:rsid w:val="2CD41FB2"/>
    <w:rsid w:val="2CE04532"/>
    <w:rsid w:val="2D061D52"/>
    <w:rsid w:val="2D0A7297"/>
    <w:rsid w:val="2D127501"/>
    <w:rsid w:val="2D367ADE"/>
    <w:rsid w:val="2D3E5D39"/>
    <w:rsid w:val="2DB274B3"/>
    <w:rsid w:val="2DC87D91"/>
    <w:rsid w:val="2DD30CAC"/>
    <w:rsid w:val="2DD73448"/>
    <w:rsid w:val="2DE51AAD"/>
    <w:rsid w:val="2DE70634"/>
    <w:rsid w:val="2E0401E7"/>
    <w:rsid w:val="2E05745B"/>
    <w:rsid w:val="2E1B2ADA"/>
    <w:rsid w:val="2E1B3A12"/>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6F7987"/>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7C1A65"/>
    <w:rsid w:val="3095526B"/>
    <w:rsid w:val="30A20279"/>
    <w:rsid w:val="30A92458"/>
    <w:rsid w:val="30EC572A"/>
    <w:rsid w:val="30FD79BE"/>
    <w:rsid w:val="3100405D"/>
    <w:rsid w:val="3111395C"/>
    <w:rsid w:val="31174211"/>
    <w:rsid w:val="31216170"/>
    <w:rsid w:val="315622FC"/>
    <w:rsid w:val="315D1164"/>
    <w:rsid w:val="315F2BB6"/>
    <w:rsid w:val="3173104B"/>
    <w:rsid w:val="3179134F"/>
    <w:rsid w:val="317D38B1"/>
    <w:rsid w:val="317D6B35"/>
    <w:rsid w:val="319A62AF"/>
    <w:rsid w:val="31A30319"/>
    <w:rsid w:val="31B50898"/>
    <w:rsid w:val="31B62FDB"/>
    <w:rsid w:val="31EB1EBE"/>
    <w:rsid w:val="31F45A41"/>
    <w:rsid w:val="31FF4B7E"/>
    <w:rsid w:val="322E77DB"/>
    <w:rsid w:val="32983099"/>
    <w:rsid w:val="32AA5592"/>
    <w:rsid w:val="32AD61A5"/>
    <w:rsid w:val="32C750C6"/>
    <w:rsid w:val="32DD16EB"/>
    <w:rsid w:val="32E514D5"/>
    <w:rsid w:val="32E75DA8"/>
    <w:rsid w:val="32ED4E1B"/>
    <w:rsid w:val="32F653C3"/>
    <w:rsid w:val="33052E5A"/>
    <w:rsid w:val="3310693E"/>
    <w:rsid w:val="332610BF"/>
    <w:rsid w:val="334108DC"/>
    <w:rsid w:val="334A79F3"/>
    <w:rsid w:val="33540CA5"/>
    <w:rsid w:val="33572664"/>
    <w:rsid w:val="337C27BA"/>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6618B"/>
    <w:rsid w:val="36487758"/>
    <w:rsid w:val="364936C7"/>
    <w:rsid w:val="3654745F"/>
    <w:rsid w:val="36582751"/>
    <w:rsid w:val="36645310"/>
    <w:rsid w:val="368D5D06"/>
    <w:rsid w:val="36962D19"/>
    <w:rsid w:val="36C35E2B"/>
    <w:rsid w:val="36C408B4"/>
    <w:rsid w:val="36CA4871"/>
    <w:rsid w:val="36E30124"/>
    <w:rsid w:val="36E47B46"/>
    <w:rsid w:val="36EA0866"/>
    <w:rsid w:val="36F7193B"/>
    <w:rsid w:val="3700324F"/>
    <w:rsid w:val="37006DA6"/>
    <w:rsid w:val="3716071A"/>
    <w:rsid w:val="3722586F"/>
    <w:rsid w:val="37362012"/>
    <w:rsid w:val="37391007"/>
    <w:rsid w:val="376048A1"/>
    <w:rsid w:val="376D7868"/>
    <w:rsid w:val="378C59A0"/>
    <w:rsid w:val="37A15AB9"/>
    <w:rsid w:val="37CA0B99"/>
    <w:rsid w:val="37D1690E"/>
    <w:rsid w:val="37E474EC"/>
    <w:rsid w:val="37E80393"/>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474985"/>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57FD5"/>
    <w:rsid w:val="3A4A6214"/>
    <w:rsid w:val="3A4E4899"/>
    <w:rsid w:val="3A55790B"/>
    <w:rsid w:val="3A68013D"/>
    <w:rsid w:val="3A6A57DE"/>
    <w:rsid w:val="3A707D13"/>
    <w:rsid w:val="3AB91AEA"/>
    <w:rsid w:val="3ABC3574"/>
    <w:rsid w:val="3AC66294"/>
    <w:rsid w:val="3AD71F6B"/>
    <w:rsid w:val="3AF1154B"/>
    <w:rsid w:val="3AF23796"/>
    <w:rsid w:val="3B173C34"/>
    <w:rsid w:val="3B1D50E8"/>
    <w:rsid w:val="3B2B5290"/>
    <w:rsid w:val="3B465AAD"/>
    <w:rsid w:val="3B4A1908"/>
    <w:rsid w:val="3B4A6B90"/>
    <w:rsid w:val="3B6C183F"/>
    <w:rsid w:val="3B82605A"/>
    <w:rsid w:val="3B8C3C14"/>
    <w:rsid w:val="3BC365AF"/>
    <w:rsid w:val="3BC4115E"/>
    <w:rsid w:val="3BC62916"/>
    <w:rsid w:val="3BCB15B9"/>
    <w:rsid w:val="3BCD4D79"/>
    <w:rsid w:val="3BCF3126"/>
    <w:rsid w:val="3BE85FC8"/>
    <w:rsid w:val="3BF0761E"/>
    <w:rsid w:val="3BFF77BC"/>
    <w:rsid w:val="3C0B7004"/>
    <w:rsid w:val="3C1A6E6A"/>
    <w:rsid w:val="3C1D1C7C"/>
    <w:rsid w:val="3C2016F2"/>
    <w:rsid w:val="3C224EAA"/>
    <w:rsid w:val="3C350589"/>
    <w:rsid w:val="3C37454C"/>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735B9C"/>
    <w:rsid w:val="3E7C330F"/>
    <w:rsid w:val="3E820130"/>
    <w:rsid w:val="3E9E1F7D"/>
    <w:rsid w:val="3EA24B53"/>
    <w:rsid w:val="3EDB49C2"/>
    <w:rsid w:val="3EDE48BA"/>
    <w:rsid w:val="3EDE49B2"/>
    <w:rsid w:val="3EE21E99"/>
    <w:rsid w:val="3EE34A5F"/>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4F72A46"/>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AB3BB4"/>
    <w:rsid w:val="46BC2C14"/>
    <w:rsid w:val="46E64059"/>
    <w:rsid w:val="46F4701B"/>
    <w:rsid w:val="470348BC"/>
    <w:rsid w:val="4711691D"/>
    <w:rsid w:val="47205FEA"/>
    <w:rsid w:val="472D388D"/>
    <w:rsid w:val="4733684A"/>
    <w:rsid w:val="47481121"/>
    <w:rsid w:val="476843F5"/>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247675"/>
    <w:rsid w:val="4A264531"/>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030DDB"/>
    <w:rsid w:val="4B1646CF"/>
    <w:rsid w:val="4B7C1338"/>
    <w:rsid w:val="4B975530"/>
    <w:rsid w:val="4B996B44"/>
    <w:rsid w:val="4BA95E82"/>
    <w:rsid w:val="4BAA4032"/>
    <w:rsid w:val="4BB7755B"/>
    <w:rsid w:val="4BCF5969"/>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E25DB6"/>
    <w:rsid w:val="4CE809C5"/>
    <w:rsid w:val="4CF040EF"/>
    <w:rsid w:val="4CF42B48"/>
    <w:rsid w:val="4CFC55B3"/>
    <w:rsid w:val="4D1E6E23"/>
    <w:rsid w:val="4D2B4F19"/>
    <w:rsid w:val="4D3D0651"/>
    <w:rsid w:val="4D4D1D0E"/>
    <w:rsid w:val="4D4F0943"/>
    <w:rsid w:val="4D5A1E97"/>
    <w:rsid w:val="4D6E7F59"/>
    <w:rsid w:val="4D792A29"/>
    <w:rsid w:val="4DAA2A9B"/>
    <w:rsid w:val="4DAC41D6"/>
    <w:rsid w:val="4DC27DA0"/>
    <w:rsid w:val="4DC33165"/>
    <w:rsid w:val="4DC73899"/>
    <w:rsid w:val="4DCF66F9"/>
    <w:rsid w:val="4DD674A5"/>
    <w:rsid w:val="4DD7573E"/>
    <w:rsid w:val="4DE81BA5"/>
    <w:rsid w:val="4DED342F"/>
    <w:rsid w:val="4DEF0346"/>
    <w:rsid w:val="4DFF19F8"/>
    <w:rsid w:val="4E1858BC"/>
    <w:rsid w:val="4E214745"/>
    <w:rsid w:val="4E431F05"/>
    <w:rsid w:val="4E512896"/>
    <w:rsid w:val="4E5737A4"/>
    <w:rsid w:val="4E6B1C67"/>
    <w:rsid w:val="4E876A80"/>
    <w:rsid w:val="4E881A6F"/>
    <w:rsid w:val="4E8B5E12"/>
    <w:rsid w:val="4E93296A"/>
    <w:rsid w:val="4EB427AC"/>
    <w:rsid w:val="4EB46112"/>
    <w:rsid w:val="4EB549E2"/>
    <w:rsid w:val="4ECC4E51"/>
    <w:rsid w:val="4ED227AF"/>
    <w:rsid w:val="4EF33E65"/>
    <w:rsid w:val="4EF4193D"/>
    <w:rsid w:val="4F153A2F"/>
    <w:rsid w:val="4F1816D0"/>
    <w:rsid w:val="4F430F16"/>
    <w:rsid w:val="4F4A1B00"/>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91CB6"/>
    <w:rsid w:val="523F42A6"/>
    <w:rsid w:val="52436DC1"/>
    <w:rsid w:val="524B2422"/>
    <w:rsid w:val="526F7059"/>
    <w:rsid w:val="527C6745"/>
    <w:rsid w:val="528D53DC"/>
    <w:rsid w:val="52A54636"/>
    <w:rsid w:val="52BD2046"/>
    <w:rsid w:val="52D20B31"/>
    <w:rsid w:val="52D403EF"/>
    <w:rsid w:val="52D80B2A"/>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786028"/>
    <w:rsid w:val="54814751"/>
    <w:rsid w:val="548F58A2"/>
    <w:rsid w:val="5490586C"/>
    <w:rsid w:val="54983250"/>
    <w:rsid w:val="549C3CF7"/>
    <w:rsid w:val="54A45DAC"/>
    <w:rsid w:val="54A6767D"/>
    <w:rsid w:val="54C1659F"/>
    <w:rsid w:val="54CC7DCA"/>
    <w:rsid w:val="54D55D85"/>
    <w:rsid w:val="54E125DB"/>
    <w:rsid w:val="54F6543C"/>
    <w:rsid w:val="550A4C45"/>
    <w:rsid w:val="554F2951"/>
    <w:rsid w:val="55563B6B"/>
    <w:rsid w:val="55651866"/>
    <w:rsid w:val="5567153C"/>
    <w:rsid w:val="556D0395"/>
    <w:rsid w:val="55754396"/>
    <w:rsid w:val="557645CB"/>
    <w:rsid w:val="55783BA2"/>
    <w:rsid w:val="55F064F6"/>
    <w:rsid w:val="55F82D46"/>
    <w:rsid w:val="56362315"/>
    <w:rsid w:val="56493897"/>
    <w:rsid w:val="5658660E"/>
    <w:rsid w:val="56830D82"/>
    <w:rsid w:val="568A7FA4"/>
    <w:rsid w:val="569158C1"/>
    <w:rsid w:val="56952F1F"/>
    <w:rsid w:val="56B5293E"/>
    <w:rsid w:val="56B741DC"/>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6E023C"/>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6123EF"/>
    <w:rsid w:val="5A895545"/>
    <w:rsid w:val="5AAA5AA7"/>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A232D1"/>
    <w:rsid w:val="5DB0276A"/>
    <w:rsid w:val="5DF01811"/>
    <w:rsid w:val="5DFC1725"/>
    <w:rsid w:val="5E085F26"/>
    <w:rsid w:val="5E27233D"/>
    <w:rsid w:val="5E2F2226"/>
    <w:rsid w:val="5E4111A9"/>
    <w:rsid w:val="5E516481"/>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0675A"/>
    <w:rsid w:val="6275091F"/>
    <w:rsid w:val="628E5653"/>
    <w:rsid w:val="629D61EC"/>
    <w:rsid w:val="62B6094A"/>
    <w:rsid w:val="62D00E03"/>
    <w:rsid w:val="62D31364"/>
    <w:rsid w:val="635555EB"/>
    <w:rsid w:val="639D3D95"/>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F00F5"/>
    <w:rsid w:val="65DA4B96"/>
    <w:rsid w:val="65DE5BAE"/>
    <w:rsid w:val="65E04577"/>
    <w:rsid w:val="65EF7DFF"/>
    <w:rsid w:val="66135046"/>
    <w:rsid w:val="66200813"/>
    <w:rsid w:val="66322707"/>
    <w:rsid w:val="667A0598"/>
    <w:rsid w:val="667C6F02"/>
    <w:rsid w:val="6682467B"/>
    <w:rsid w:val="669022B7"/>
    <w:rsid w:val="66940A39"/>
    <w:rsid w:val="66B4536C"/>
    <w:rsid w:val="66CA5E5F"/>
    <w:rsid w:val="66E710BA"/>
    <w:rsid w:val="66ED62BD"/>
    <w:rsid w:val="670A3373"/>
    <w:rsid w:val="67164009"/>
    <w:rsid w:val="671A520A"/>
    <w:rsid w:val="671B7213"/>
    <w:rsid w:val="67292A7D"/>
    <w:rsid w:val="673A2970"/>
    <w:rsid w:val="674B597F"/>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65281"/>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C3016AA"/>
    <w:rsid w:val="6C3D541F"/>
    <w:rsid w:val="6C415AEC"/>
    <w:rsid w:val="6C477A25"/>
    <w:rsid w:val="6C713545"/>
    <w:rsid w:val="6C8C74B0"/>
    <w:rsid w:val="6C903F46"/>
    <w:rsid w:val="6C9261B9"/>
    <w:rsid w:val="6CB85849"/>
    <w:rsid w:val="6CDA05DD"/>
    <w:rsid w:val="6CF27CB7"/>
    <w:rsid w:val="6CFF4FC3"/>
    <w:rsid w:val="6D012FD2"/>
    <w:rsid w:val="6D073BCB"/>
    <w:rsid w:val="6D08691D"/>
    <w:rsid w:val="6D0B5A94"/>
    <w:rsid w:val="6D277A88"/>
    <w:rsid w:val="6D2B1D59"/>
    <w:rsid w:val="6D442267"/>
    <w:rsid w:val="6D837265"/>
    <w:rsid w:val="6D95593B"/>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32518"/>
    <w:rsid w:val="6EDB288F"/>
    <w:rsid w:val="6EF841B8"/>
    <w:rsid w:val="6EFC3550"/>
    <w:rsid w:val="6F043F0B"/>
    <w:rsid w:val="6F3E35D5"/>
    <w:rsid w:val="6F507371"/>
    <w:rsid w:val="6F584596"/>
    <w:rsid w:val="6F886E71"/>
    <w:rsid w:val="6F8E6527"/>
    <w:rsid w:val="6FA26B38"/>
    <w:rsid w:val="6FA52109"/>
    <w:rsid w:val="6FC323D9"/>
    <w:rsid w:val="6FD638B1"/>
    <w:rsid w:val="6FF27EB0"/>
    <w:rsid w:val="70091AF4"/>
    <w:rsid w:val="70095EE9"/>
    <w:rsid w:val="704B7DAF"/>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2C4642"/>
    <w:rsid w:val="74315D5C"/>
    <w:rsid w:val="743C59CD"/>
    <w:rsid w:val="74465350"/>
    <w:rsid w:val="746B647F"/>
    <w:rsid w:val="747542D9"/>
    <w:rsid w:val="747E3B0E"/>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967D0"/>
    <w:rsid w:val="7A632889"/>
    <w:rsid w:val="7A686542"/>
    <w:rsid w:val="7A815634"/>
    <w:rsid w:val="7A9642E8"/>
    <w:rsid w:val="7A996458"/>
    <w:rsid w:val="7AC42EFD"/>
    <w:rsid w:val="7ACC0EA4"/>
    <w:rsid w:val="7AD51A8A"/>
    <w:rsid w:val="7AF3075E"/>
    <w:rsid w:val="7B1903CB"/>
    <w:rsid w:val="7B250396"/>
    <w:rsid w:val="7B2C1EB5"/>
    <w:rsid w:val="7B302DA2"/>
    <w:rsid w:val="7B550266"/>
    <w:rsid w:val="7B887DF3"/>
    <w:rsid w:val="7BB30DF6"/>
    <w:rsid w:val="7BBE4350"/>
    <w:rsid w:val="7BC0506C"/>
    <w:rsid w:val="7BD5433F"/>
    <w:rsid w:val="7BE44AEA"/>
    <w:rsid w:val="7BF84150"/>
    <w:rsid w:val="7C111929"/>
    <w:rsid w:val="7C1643B1"/>
    <w:rsid w:val="7C183004"/>
    <w:rsid w:val="7C1954A8"/>
    <w:rsid w:val="7C201BE6"/>
    <w:rsid w:val="7C306F37"/>
    <w:rsid w:val="7C3F52F0"/>
    <w:rsid w:val="7C447A03"/>
    <w:rsid w:val="7C476839"/>
    <w:rsid w:val="7C741B8F"/>
    <w:rsid w:val="7C892BB1"/>
    <w:rsid w:val="7C950DB7"/>
    <w:rsid w:val="7C9518CC"/>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C11517"/>
    <w:rsid w:val="7DDF5BB8"/>
    <w:rsid w:val="7E1E5DFA"/>
    <w:rsid w:val="7E45318A"/>
    <w:rsid w:val="7E45572A"/>
    <w:rsid w:val="7E470EBC"/>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2777C2"/>
    <w:rsid w:val="7F405636"/>
    <w:rsid w:val="7F4B78AB"/>
    <w:rsid w:val="7F737A53"/>
    <w:rsid w:val="7F917215"/>
    <w:rsid w:val="7F98450F"/>
    <w:rsid w:val="7FA15F27"/>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uiPriority w:val="1"/>
  </w:style>
  <w:style w:type="table" w:default="1" w:styleId="5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A0E2E7-663F-46F1-8C83-1C569E31B836}">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4</Pages>
  <Words>1251</Words>
  <Characters>7136</Characters>
  <Lines>59</Lines>
  <Paragraphs>16</Paragraphs>
  <TotalTime>12</TotalTime>
  <ScaleCrop>false</ScaleCrop>
  <LinksUpToDate>false</LinksUpToDate>
  <CharactersWithSpaces>8371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2020-04-09T01:13:00Z</dcterms:created>
  <dc:creator>10033860</dc:creator>
  <cp:lastModifiedBy>ZTE</cp:lastModifiedBy>
  <cp:lastPrinted>2113-01-01T00:00:00Z</cp:lastPrinted>
  <dcterms:modified xsi:type="dcterms:W3CDTF">2020-05-22T02:51:42Z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