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 xml:space="preserve">MCG </w:t>
      </w:r>
      <w:proofErr w:type="spellStart"/>
      <w:r w:rsidR="0098712E" w:rsidRPr="003F0B75">
        <w:rPr>
          <w:sz w:val="22"/>
        </w:rPr>
        <w:t>SCell</w:t>
      </w:r>
      <w:proofErr w:type="spellEnd"/>
      <w:r w:rsidR="0098712E" w:rsidRPr="003F0B75">
        <w:rPr>
          <w:sz w:val="22"/>
        </w:rPr>
        <w:t xml:space="preserve">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r w:rsidR="00E41E89">
        <w:rPr>
          <w:rStyle w:val="af"/>
        </w:rPr>
        <w:fldChar w:fldCharType="begin"/>
      </w:r>
      <w:r w:rsidR="00E41E89">
        <w:rPr>
          <w:rStyle w:val="af"/>
        </w:rPr>
        <w:instrText xml:space="preserve"> HYPERLINK "file:///D:\\Documents\\3GPP\\tsg_ran\\WG2\\TSGR2_109bis-e\\Docs\\R2-2003812.zip" \o "D:Documents3GPPtsg_ranWG2TSGR2_109bis-eDocsR2-2003812.zip" </w:instrText>
      </w:r>
      <w:r w:rsidR="00E41E89">
        <w:rPr>
          <w:rStyle w:val="af"/>
        </w:rPr>
        <w:fldChar w:fldCharType="separate"/>
      </w:r>
      <w:r w:rsidR="004D53BC" w:rsidRPr="00073E4C">
        <w:rPr>
          <w:rStyle w:val="af"/>
        </w:rPr>
        <w:t>R2-2003812</w:t>
      </w:r>
      <w:r w:rsidR="00E41E89">
        <w:rPr>
          <w:rStyle w:val="af"/>
        </w:rPr>
        <w:fldChar w:fldCharType="end"/>
      </w:r>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맑은 고딕" w:hAnsi="Arial" w:cs="Arial"/>
          <w:b/>
          <w:bCs/>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rPr>
          <w:rFonts w:ascii="Times New Roman" w:eastAsia="맑은 고딕" w:hAnsi="Times New Roman"/>
        </w:rPr>
      </w:pPr>
      <w:r w:rsidRPr="003517B7">
        <w:rPr>
          <w:rFonts w:ascii="Times New Roman" w:eastAsia="맑은 고딕"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바탕" w:hAnsi="Arial" w:cs="Arial"/>
                <w:sz w:val="18"/>
                <w:szCs w:val="20"/>
                <w:lang w:val="en-GB" w:eastAsia="ja-JP"/>
              </w:rPr>
            </w:pPr>
            <w:r w:rsidRPr="006230E0">
              <w:rPr>
                <w:rFonts w:ascii="Arial" w:eastAsia="바탕"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 xml:space="preserve">“suspend lower layers” will store </w:t>
            </w:r>
            <w:proofErr w:type="spellStart"/>
            <w:r w:rsidRPr="006230E0">
              <w:rPr>
                <w:rFonts w:ascii="Arial" w:eastAsia="Times New Roman" w:hAnsi="Arial" w:cs="Arial"/>
                <w:sz w:val="18"/>
                <w:szCs w:val="20"/>
                <w:highlight w:val="yellow"/>
                <w:lang w:val="en-GB" w:eastAsia="ja-JP"/>
              </w:rPr>
              <w:t>CellGroupConfig</w:t>
            </w:r>
            <w:proofErr w:type="spellEnd"/>
            <w:r w:rsidRPr="006230E0">
              <w:rPr>
                <w:rFonts w:ascii="Arial" w:eastAsia="Times New Roman" w:hAnsi="Arial" w:cs="Arial"/>
                <w:sz w:val="18"/>
                <w:szCs w:val="20"/>
                <w:highlight w:val="yellow"/>
                <w:lang w:val="en-GB" w:eastAsia="ja-JP"/>
              </w:rPr>
              <w:t xml:space="preserve"> except </w:t>
            </w:r>
            <w:proofErr w:type="spellStart"/>
            <w:r w:rsidRPr="006230E0">
              <w:rPr>
                <w:rFonts w:ascii="Arial" w:eastAsia="Times New Roman" w:hAnsi="Arial" w:cs="Arial"/>
                <w:sz w:val="18"/>
                <w:szCs w:val="20"/>
                <w:highlight w:val="yellow"/>
                <w:lang w:val="en-GB" w:eastAsia="ja-JP"/>
              </w:rPr>
              <w:t>ReconfigurationWithSync</w:t>
            </w:r>
            <w:proofErr w:type="spellEnd"/>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a"/>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a8"/>
            </w:pPr>
            <w:r>
              <w:t>Company</w:t>
            </w:r>
          </w:p>
        </w:tc>
        <w:tc>
          <w:tcPr>
            <w:tcW w:w="1839" w:type="dxa"/>
            <w:shd w:val="clear" w:color="auto" w:fill="BFBFBF" w:themeFill="background1" w:themeFillShade="BF"/>
          </w:tcPr>
          <w:p w14:paraId="4F0CD946" w14:textId="77777777" w:rsidR="00154492" w:rsidRDefault="00154492" w:rsidP="00062BA1">
            <w:pPr>
              <w:pStyle w:val="a8"/>
            </w:pPr>
            <w:r>
              <w:t>Agree/Disagree</w:t>
            </w:r>
          </w:p>
        </w:tc>
        <w:tc>
          <w:tcPr>
            <w:tcW w:w="5579" w:type="dxa"/>
            <w:shd w:val="clear" w:color="auto" w:fill="BFBFBF" w:themeFill="background1" w:themeFillShade="BF"/>
          </w:tcPr>
          <w:p w14:paraId="3AF82933" w14:textId="77777777" w:rsidR="00154492" w:rsidRPr="006B4E9D" w:rsidRDefault="00154492" w:rsidP="00062BA1">
            <w:pPr>
              <w:pStyle w:val="a8"/>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바탕" w:hAnsi="Arial" w:cs="Arial"/>
                <w:sz w:val="18"/>
                <w:szCs w:val="20"/>
                <w:lang w:val="en-GB" w:eastAsia="ja-JP"/>
              </w:rPr>
            </w:pPr>
            <w:r>
              <w:rPr>
                <w:rFonts w:ascii="Arial" w:eastAsia="바탕" w:hAnsi="Arial" w:cs="Arial"/>
                <w:sz w:val="18"/>
                <w:szCs w:val="20"/>
                <w:lang w:val="en-GB" w:eastAsia="ja-JP"/>
              </w:rPr>
              <w:t>“</w:t>
            </w:r>
            <w:r w:rsidRPr="006230E0">
              <w:rPr>
                <w:rFonts w:ascii="Arial" w:eastAsia="바탕" w:hAnsi="Arial" w:cs="Arial"/>
                <w:sz w:val="18"/>
                <w:szCs w:val="20"/>
                <w:lang w:val="en-GB" w:eastAsia="ja-JP"/>
              </w:rPr>
              <w:t>Lower Layer Presence Status Change</w:t>
            </w:r>
            <w:r>
              <w:rPr>
                <w:rFonts w:ascii="Arial" w:eastAsia="바탕" w:hAnsi="Arial" w:cs="Arial"/>
                <w:sz w:val="18"/>
                <w:szCs w:val="20"/>
                <w:lang w:val="en-GB" w:eastAsia="ja-JP"/>
              </w:rPr>
              <w:t xml:space="preserve">” indicates what will be stored in DU for UE from network point of view. </w:t>
            </w:r>
            <w:r w:rsidR="002726FD">
              <w:rPr>
                <w:rFonts w:ascii="Arial" w:eastAsia="바탕" w:hAnsi="Arial" w:cs="Arial"/>
                <w:sz w:val="18"/>
                <w:szCs w:val="20"/>
                <w:lang w:val="en-GB" w:eastAsia="ja-JP"/>
              </w:rPr>
              <w:t xml:space="preserve">The </w:t>
            </w:r>
            <w:r>
              <w:rPr>
                <w:rFonts w:ascii="Arial" w:eastAsia="바탕" w:hAnsi="Arial" w:cs="Arial"/>
                <w:sz w:val="18"/>
                <w:szCs w:val="20"/>
                <w:lang w:val="en-GB" w:eastAsia="ja-JP"/>
              </w:rPr>
              <w:t xml:space="preserve"> </w:t>
            </w:r>
            <w:proofErr w:type="spellStart"/>
            <w:r w:rsidR="002726FD" w:rsidRPr="002726FD">
              <w:rPr>
                <w:rFonts w:ascii="Arial" w:eastAsia="바탕" w:hAnsi="Arial" w:cs="Arial"/>
                <w:i/>
                <w:iCs/>
                <w:sz w:val="18"/>
                <w:szCs w:val="20"/>
                <w:lang w:val="en-GB" w:eastAsia="ja-JP"/>
              </w:rPr>
              <w:t>servingCellConfigCommon</w:t>
            </w:r>
            <w:proofErr w:type="spellEnd"/>
            <w:r w:rsidR="002726FD" w:rsidRPr="002726FD">
              <w:rPr>
                <w:rFonts w:ascii="Arial" w:eastAsia="바탕" w:hAnsi="Arial" w:cs="Arial"/>
                <w:sz w:val="18"/>
                <w:szCs w:val="20"/>
                <w:lang w:val="en-GB" w:eastAsia="ja-JP"/>
              </w:rPr>
              <w:t xml:space="preserve"> is common for all UE, not for one specific UE. It make</w:t>
            </w:r>
            <w:r w:rsidR="002726FD">
              <w:rPr>
                <w:rFonts w:ascii="Arial" w:eastAsia="바탕" w:hAnsi="Arial" w:cs="Arial"/>
                <w:sz w:val="18"/>
                <w:szCs w:val="20"/>
                <w:lang w:val="en-GB" w:eastAsia="ja-JP"/>
              </w:rPr>
              <w:t>s</w:t>
            </w:r>
            <w:r w:rsidR="002726FD" w:rsidRPr="002726FD">
              <w:rPr>
                <w:rFonts w:ascii="Arial" w:eastAsia="바탕" w:hAnsi="Arial" w:cs="Arial"/>
                <w:sz w:val="18"/>
                <w:szCs w:val="20"/>
                <w:lang w:val="en-GB" w:eastAsia="ja-JP"/>
              </w:rPr>
              <w:t xml:space="preserve"> sense not to store for one UE.</w:t>
            </w:r>
          </w:p>
          <w:p w14:paraId="6B045923" w14:textId="52C19A63" w:rsidR="00154492" w:rsidRDefault="002726FD" w:rsidP="00062BA1">
            <w:pPr>
              <w:rPr>
                <w:rFonts w:ascii="Arial" w:eastAsia="바탕" w:hAnsi="Arial" w:cs="Arial"/>
                <w:sz w:val="18"/>
                <w:szCs w:val="20"/>
                <w:lang w:val="en-GB" w:eastAsia="ja-JP"/>
              </w:rPr>
            </w:pPr>
            <w:r w:rsidRPr="002726FD">
              <w:rPr>
                <w:rFonts w:ascii="Arial" w:eastAsia="바탕" w:hAnsi="Arial" w:cs="Arial"/>
                <w:sz w:val="18"/>
                <w:szCs w:val="20"/>
                <w:lang w:val="en-GB" w:eastAsia="ja-JP"/>
              </w:rPr>
              <w:t>For the case that store related SCG configuration as a part of the AS context</w:t>
            </w:r>
            <w:r>
              <w:rPr>
                <w:rFonts w:ascii="Arial" w:eastAsia="바탕" w:hAnsi="Arial" w:cs="Arial"/>
                <w:sz w:val="18"/>
                <w:szCs w:val="20"/>
                <w:lang w:val="en-GB" w:eastAsia="ja-JP"/>
              </w:rPr>
              <w:t>, I think it means what will be stored in UE side.</w:t>
            </w:r>
          </w:p>
          <w:p w14:paraId="321DB7E7" w14:textId="380F419D" w:rsidR="002726FD" w:rsidRPr="002726FD" w:rsidRDefault="002726FD" w:rsidP="00062BA1">
            <w:pPr>
              <w:rPr>
                <w:rFonts w:eastAsia="Yu Mincho"/>
                <w:lang w:eastAsia="ja-JP"/>
              </w:rPr>
            </w:pPr>
            <w:r>
              <w:t>S</w:t>
            </w:r>
            <w:r>
              <w:rPr>
                <w:rFonts w:eastAsia="Yu Mincho"/>
                <w:lang w:eastAsia="ja-JP"/>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맑은 고딕"/>
              </w:rPr>
            </w:pPr>
            <w:r>
              <w:rPr>
                <w:rFonts w:eastAsia="맑은 고딕" w:hint="eastAsia"/>
              </w:rPr>
              <w:t>LG</w:t>
            </w:r>
          </w:p>
        </w:tc>
        <w:tc>
          <w:tcPr>
            <w:tcW w:w="1839" w:type="dxa"/>
          </w:tcPr>
          <w:p w14:paraId="30E89619" w14:textId="46B15778" w:rsidR="004858DE" w:rsidRPr="00296228" w:rsidRDefault="00296228" w:rsidP="004858DE">
            <w:pPr>
              <w:rPr>
                <w:rFonts w:eastAsia="맑은 고딕"/>
              </w:rPr>
            </w:pPr>
            <w:r>
              <w:rPr>
                <w:rFonts w:eastAsia="맑은 고딕"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bookmarkStart w:id="4" w:name="_GoBack"/>
            <w:bookmarkEnd w:id="4"/>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맑은 고딕"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맑은 고딕"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맑은 고딕" w:cstheme="minorHAnsi" w:hint="eastAsia"/>
                <w:lang w:val="en-GB"/>
              </w:rPr>
              <w:t xml:space="preserve"> </w:t>
            </w:r>
            <w:r w:rsidR="000723AF">
              <w:rPr>
                <w:rFonts w:eastAsia="맑은 고딕"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bl>
    <w:p w14:paraId="79DB499F" w14:textId="77777777" w:rsidR="00154492" w:rsidRDefault="00154492" w:rsidP="006B4E9D">
      <w:pPr>
        <w:pStyle w:val="a8"/>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2" w:history="1">
        <w:r>
          <w:rPr>
            <w:rStyle w:val="af"/>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8"/>
            </w:pPr>
            <w:r>
              <w:t>Company</w:t>
            </w:r>
          </w:p>
        </w:tc>
        <w:tc>
          <w:tcPr>
            <w:tcW w:w="1842" w:type="dxa"/>
            <w:shd w:val="clear" w:color="auto" w:fill="BFBFBF" w:themeFill="background1" w:themeFillShade="BF"/>
          </w:tcPr>
          <w:p w14:paraId="72DC7BAB" w14:textId="77777777" w:rsidR="004D53BC" w:rsidRDefault="004D53BC" w:rsidP="00062BA1">
            <w:pPr>
              <w:pStyle w:val="a8"/>
            </w:pPr>
            <w:r>
              <w:t>Agree/Disagree</w:t>
            </w:r>
          </w:p>
        </w:tc>
        <w:tc>
          <w:tcPr>
            <w:tcW w:w="5665" w:type="dxa"/>
            <w:shd w:val="clear" w:color="auto" w:fill="BFBFBF" w:themeFill="background1" w:themeFillShade="BF"/>
          </w:tcPr>
          <w:p w14:paraId="0F8134A7" w14:textId="77777777" w:rsidR="004D53BC" w:rsidRPr="006B4E9D" w:rsidRDefault="004D53BC" w:rsidP="00062BA1">
            <w:pPr>
              <w:pStyle w:val="a8"/>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맑은 고딕"/>
              </w:rPr>
            </w:pPr>
            <w:r>
              <w:rPr>
                <w:rFonts w:eastAsia="맑은 고딕"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맑은 고딕"/>
              </w:rPr>
            </w:pPr>
            <w:r>
              <w:rPr>
                <w:rFonts w:eastAsia="맑은 고딕" w:hint="eastAsia"/>
              </w:rPr>
              <w:t>Agreement</w:t>
            </w:r>
            <w:r>
              <w:rPr>
                <w:rFonts w:eastAsia="맑은 고딕"/>
              </w:rPr>
              <w:t>s</w:t>
            </w:r>
            <w:r>
              <w:rPr>
                <w:rFonts w:eastAsia="맑은 고딕" w:hint="eastAsia"/>
              </w:rPr>
              <w:t xml:space="preserve"> </w:t>
            </w:r>
            <w:r w:rsidR="000F4504">
              <w:rPr>
                <w:rFonts w:eastAsia="맑은 고딕"/>
              </w:rPr>
              <w:t xml:space="preserve">in draft LS </w:t>
            </w:r>
            <w:r>
              <w:rPr>
                <w:rFonts w:eastAsia="맑은 고딕" w:hint="eastAsia"/>
              </w:rPr>
              <w:t>needs to be updated.</w:t>
            </w:r>
          </w:p>
        </w:tc>
      </w:tr>
      <w:tr w:rsidR="004D53BC" w14:paraId="69094860" w14:textId="77777777" w:rsidTr="004D53BC">
        <w:tc>
          <w:tcPr>
            <w:tcW w:w="2122" w:type="dxa"/>
          </w:tcPr>
          <w:p w14:paraId="2E704DB8" w14:textId="77777777" w:rsidR="004D53BC" w:rsidRDefault="004D53BC" w:rsidP="00062BA1"/>
        </w:tc>
        <w:tc>
          <w:tcPr>
            <w:tcW w:w="1842" w:type="dxa"/>
          </w:tcPr>
          <w:p w14:paraId="2562526E" w14:textId="77777777" w:rsidR="004D53BC" w:rsidRDefault="004D53BC" w:rsidP="00062BA1"/>
        </w:tc>
        <w:tc>
          <w:tcPr>
            <w:tcW w:w="5665" w:type="dxa"/>
          </w:tcPr>
          <w:p w14:paraId="4800FD7C" w14:textId="77777777" w:rsidR="004D53BC" w:rsidRDefault="004D53BC" w:rsidP="00062BA1"/>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8"/>
      </w:pPr>
    </w:p>
    <w:p w14:paraId="291F6B31" w14:textId="1C3A2B0B" w:rsidR="004D53BC" w:rsidRPr="005F15AE" w:rsidRDefault="004D53BC" w:rsidP="00FC4DF4">
      <w:pPr>
        <w:pStyle w:val="20"/>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8"/>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a8"/>
            </w:pPr>
            <w:r>
              <w:t>Company</w:t>
            </w:r>
          </w:p>
        </w:tc>
        <w:tc>
          <w:tcPr>
            <w:tcW w:w="1840" w:type="dxa"/>
            <w:shd w:val="clear" w:color="auto" w:fill="BFBFBF" w:themeFill="background1" w:themeFillShade="BF"/>
          </w:tcPr>
          <w:p w14:paraId="4AA1516B" w14:textId="77777777" w:rsidR="004D53BC" w:rsidRDefault="004D53BC" w:rsidP="00062BA1">
            <w:pPr>
              <w:pStyle w:val="a8"/>
            </w:pPr>
            <w:r>
              <w:t>Agree/Disagree</w:t>
            </w:r>
          </w:p>
        </w:tc>
        <w:tc>
          <w:tcPr>
            <w:tcW w:w="5574" w:type="dxa"/>
            <w:shd w:val="clear" w:color="auto" w:fill="BFBFBF" w:themeFill="background1" w:themeFillShade="BF"/>
          </w:tcPr>
          <w:p w14:paraId="29BD636B" w14:textId="77777777" w:rsidR="004D53BC" w:rsidRPr="006B4E9D" w:rsidRDefault="004D53BC" w:rsidP="00062BA1">
            <w:pPr>
              <w:pStyle w:val="a8"/>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맑은 고딕"/>
              </w:rPr>
            </w:pPr>
            <w:r>
              <w:rPr>
                <w:rFonts w:eastAsia="맑은 고딕" w:hint="eastAsia"/>
              </w:rPr>
              <w:t>LG</w:t>
            </w:r>
          </w:p>
        </w:tc>
        <w:tc>
          <w:tcPr>
            <w:tcW w:w="1840" w:type="dxa"/>
          </w:tcPr>
          <w:p w14:paraId="1B3F154D" w14:textId="4FC19CF6" w:rsidR="004858DE" w:rsidRPr="00B543D9" w:rsidRDefault="00B543D9" w:rsidP="004858DE">
            <w:pPr>
              <w:rPr>
                <w:rFonts w:eastAsia="맑은 고딕"/>
              </w:rPr>
            </w:pPr>
            <w:r>
              <w:rPr>
                <w:rFonts w:eastAsia="맑은 고딕" w:hint="eastAsia"/>
              </w:rPr>
              <w:t>Agree</w:t>
            </w:r>
          </w:p>
        </w:tc>
        <w:tc>
          <w:tcPr>
            <w:tcW w:w="5574" w:type="dxa"/>
          </w:tcPr>
          <w:p w14:paraId="5E20FA52" w14:textId="77777777" w:rsidR="004858DE" w:rsidRDefault="004858DE" w:rsidP="004858DE"/>
        </w:tc>
      </w:tr>
    </w:tbl>
    <w:p w14:paraId="47282AC6" w14:textId="77777777" w:rsidR="004D53BC" w:rsidRDefault="004D53BC" w:rsidP="006B4E9D">
      <w:pPr>
        <w:pStyle w:val="a8"/>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af7"/>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a8"/>
            </w:pPr>
            <w:r>
              <w:t>Company</w:t>
            </w:r>
          </w:p>
        </w:tc>
        <w:tc>
          <w:tcPr>
            <w:tcW w:w="1840" w:type="dxa"/>
            <w:shd w:val="clear" w:color="auto" w:fill="BFBFBF" w:themeFill="background1" w:themeFillShade="BF"/>
          </w:tcPr>
          <w:p w14:paraId="5FA8D23C" w14:textId="77777777" w:rsidR="00FC4DF4" w:rsidRDefault="00FC4DF4" w:rsidP="00062BA1">
            <w:pPr>
              <w:pStyle w:val="a8"/>
            </w:pPr>
            <w:r>
              <w:t>Agree/Disagree</w:t>
            </w:r>
          </w:p>
        </w:tc>
        <w:tc>
          <w:tcPr>
            <w:tcW w:w="5575" w:type="dxa"/>
            <w:shd w:val="clear" w:color="auto" w:fill="BFBFBF" w:themeFill="background1" w:themeFillShade="BF"/>
          </w:tcPr>
          <w:p w14:paraId="6A963DF5" w14:textId="77777777" w:rsidR="00FC4DF4" w:rsidRPr="006B4E9D" w:rsidRDefault="00FC4DF4" w:rsidP="00062BA1">
            <w:pPr>
              <w:pStyle w:val="a8"/>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w:t>
            </w:r>
            <w:proofErr w:type="spellStart"/>
            <w:r>
              <w:lastRenderedPageBreak/>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lastRenderedPageBreak/>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맑은 고딕"/>
              </w:rPr>
            </w:pPr>
            <w:r>
              <w:rPr>
                <w:rFonts w:eastAsia="맑은 고딕" w:hint="eastAsia"/>
              </w:rPr>
              <w:t>LG</w:t>
            </w:r>
          </w:p>
        </w:tc>
        <w:tc>
          <w:tcPr>
            <w:tcW w:w="1840" w:type="dxa"/>
          </w:tcPr>
          <w:p w14:paraId="3C86F393" w14:textId="529461DF" w:rsidR="004858DE" w:rsidRPr="00B543D9" w:rsidRDefault="00B543D9" w:rsidP="004858DE">
            <w:pPr>
              <w:rPr>
                <w:rFonts w:eastAsia="맑은 고딕"/>
              </w:rPr>
            </w:pPr>
            <w:r>
              <w:rPr>
                <w:rFonts w:eastAsia="맑은 고딕" w:hint="eastAsia"/>
              </w:rPr>
              <w:t>Agree</w:t>
            </w:r>
          </w:p>
        </w:tc>
        <w:tc>
          <w:tcPr>
            <w:tcW w:w="5575" w:type="dxa"/>
          </w:tcPr>
          <w:p w14:paraId="203B338F" w14:textId="6B0D39B9" w:rsidR="004858DE" w:rsidRPr="00B543D9" w:rsidRDefault="00B543D9" w:rsidP="00AE3134">
            <w:pPr>
              <w:rPr>
                <w:rFonts w:eastAsia="맑은 고딕"/>
              </w:rPr>
            </w:pPr>
            <w:r>
              <w:rPr>
                <w:rFonts w:eastAsia="맑은 고딕"/>
              </w:rPr>
              <w:t xml:space="preserve">We do not have any issue to support </w:t>
            </w:r>
            <w:r w:rsidR="003C54EA">
              <w:rPr>
                <w:rFonts w:eastAsia="맑은 고딕"/>
              </w:rPr>
              <w:t xml:space="preserve">this validity check </w:t>
            </w:r>
            <w:r>
              <w:rPr>
                <w:rFonts w:eastAsia="맑은 고딕"/>
              </w:rPr>
              <w:t>in R</w:t>
            </w:r>
            <w:r w:rsidR="00AE3134">
              <w:rPr>
                <w:rFonts w:eastAsia="맑은 고딕"/>
              </w:rPr>
              <w:t>el</w:t>
            </w:r>
            <w:r>
              <w:rPr>
                <w:rFonts w:eastAsia="맑은 고딕"/>
              </w:rPr>
              <w:t xml:space="preserve">-16 since </w:t>
            </w:r>
            <w:r>
              <w:rPr>
                <w:rFonts w:eastAsia="맑은 고딕" w:hint="eastAsia"/>
              </w:rPr>
              <w:t xml:space="preserve">this enhancement has </w:t>
            </w:r>
            <w:r>
              <w:rPr>
                <w:rFonts w:eastAsia="맑은 고딕"/>
              </w:rPr>
              <w:t xml:space="preserve">a clear </w:t>
            </w:r>
            <w:r>
              <w:rPr>
                <w:rFonts w:eastAsia="맑은 고딕" w:hint="eastAsia"/>
              </w:rPr>
              <w:t xml:space="preserve">benefit to prevent RA </w:t>
            </w:r>
            <w:r w:rsidR="00F83962">
              <w:rPr>
                <w:rFonts w:eastAsia="맑은 고딕"/>
              </w:rPr>
              <w:t xml:space="preserve">procedure </w:t>
            </w:r>
            <w:r>
              <w:rPr>
                <w:rFonts w:eastAsia="맑은 고딕" w:hint="eastAsia"/>
              </w:rPr>
              <w:t>fail</w:t>
            </w:r>
            <w:r w:rsidR="00F83962">
              <w:rPr>
                <w:rFonts w:eastAsia="맑은 고딕"/>
              </w:rPr>
              <w:t>ure</w:t>
            </w:r>
            <w:r w:rsidR="00F83962">
              <w:rPr>
                <w:rFonts w:eastAsia="맑은 고딕" w:hint="eastAsia"/>
              </w:rPr>
              <w:t xml:space="preserve"> to the </w:t>
            </w:r>
            <w:proofErr w:type="spellStart"/>
            <w:r w:rsidR="00F83962">
              <w:rPr>
                <w:rFonts w:eastAsia="맑은 고딕" w:hint="eastAsia"/>
              </w:rPr>
              <w:t>PSCell</w:t>
            </w:r>
            <w:proofErr w:type="spellEnd"/>
            <w:r>
              <w:rPr>
                <w:rFonts w:eastAsia="맑은 고딕" w:hint="eastAsia"/>
              </w:rPr>
              <w:t xml:space="preserve">. </w:t>
            </w:r>
          </w:p>
        </w:tc>
      </w:tr>
    </w:tbl>
    <w:p w14:paraId="2000FCDD" w14:textId="77777777" w:rsidR="00FC4DF4" w:rsidRDefault="00FC4DF4" w:rsidP="006B4E9D">
      <w:pPr>
        <w:pStyle w:val="a8"/>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3" w:history="1">
        <w:r>
          <w:rPr>
            <w:rStyle w:val="af"/>
          </w:rPr>
          <w:t>R2-2003243</w:t>
        </w:r>
      </w:hyperlink>
      <w:r w:rsidRPr="00FC4DF4">
        <w:rPr>
          <w:rStyle w:val="af"/>
          <w:color w:val="000000" w:themeColor="text1"/>
          <w:u w:val="none"/>
        </w:rPr>
        <w:t xml:space="preserve">, </w:t>
      </w:r>
      <w:hyperlink r:id="rId14" w:history="1">
        <w:r>
          <w:rPr>
            <w:rStyle w:val="af"/>
          </w:rPr>
          <w:t>R2-2003242</w:t>
        </w:r>
      </w:hyperlink>
      <w:r>
        <w:rPr>
          <w:rStyle w:val="af"/>
          <w:color w:val="000000" w:themeColor="text1"/>
          <w:u w:val="none"/>
        </w:rPr>
        <w:t xml:space="preserve">, </w:t>
      </w:r>
      <w:hyperlink r:id="rId15" w:history="1">
        <w:r>
          <w:rPr>
            <w:rStyle w:val="af"/>
          </w:rPr>
          <w:t>R2-2003241</w:t>
        </w:r>
      </w:hyperlink>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8"/>
            </w:pPr>
            <w:r>
              <w:t>Company</w:t>
            </w:r>
          </w:p>
        </w:tc>
        <w:tc>
          <w:tcPr>
            <w:tcW w:w="1842" w:type="dxa"/>
            <w:shd w:val="clear" w:color="auto" w:fill="BFBFBF" w:themeFill="background1" w:themeFillShade="BF"/>
          </w:tcPr>
          <w:p w14:paraId="5905B33E" w14:textId="77777777" w:rsidR="00FC4DF4" w:rsidRDefault="00FC4DF4" w:rsidP="00062BA1">
            <w:pPr>
              <w:pStyle w:val="a8"/>
            </w:pPr>
            <w:r>
              <w:t>Agree/Disagree</w:t>
            </w:r>
          </w:p>
        </w:tc>
        <w:tc>
          <w:tcPr>
            <w:tcW w:w="5665" w:type="dxa"/>
            <w:shd w:val="clear" w:color="auto" w:fill="BFBFBF" w:themeFill="background1" w:themeFillShade="BF"/>
          </w:tcPr>
          <w:p w14:paraId="4ABA3241" w14:textId="77777777" w:rsidR="00FC4DF4" w:rsidRPr="006B4E9D" w:rsidRDefault="00FC4DF4" w:rsidP="00062BA1">
            <w:pPr>
              <w:pStyle w:val="a8"/>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7777777" w:rsidR="00FC4DF4" w:rsidRDefault="00FC4DF4" w:rsidP="00062BA1"/>
        </w:tc>
        <w:tc>
          <w:tcPr>
            <w:tcW w:w="1842" w:type="dxa"/>
          </w:tcPr>
          <w:p w14:paraId="7BB993F5" w14:textId="77777777" w:rsidR="00FC4DF4" w:rsidRDefault="00FC4DF4" w:rsidP="00062BA1"/>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a8"/>
      </w:pPr>
    </w:p>
    <w:p w14:paraId="42B07D2F" w14:textId="402FB48D" w:rsidR="006B4E9D" w:rsidRPr="005F15AE" w:rsidRDefault="0015212B" w:rsidP="00FC4DF4">
      <w:pPr>
        <w:pStyle w:val="20"/>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proofErr w:type="spellStart"/>
            <w:r w:rsidRPr="000E4E7F">
              <w:rPr>
                <w:b/>
                <w:i/>
                <w:lang w:eastAsia="en-GB"/>
              </w:rPr>
              <w:lastRenderedPageBreak/>
              <w:t>nr-SecondaryCellGroupConfig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proofErr w:type="spellStart"/>
      <w:r w:rsidRPr="00DE15C5">
        <w:rPr>
          <w:rFonts w:cstheme="minorHAnsi"/>
          <w:b/>
          <w:i/>
          <w:color w:val="000000" w:themeColor="text1"/>
          <w:lang w:val="en-GB" w:eastAsia="ja-JP"/>
        </w:rPr>
        <w:t>RRCConnectionResume</w:t>
      </w:r>
      <w:proofErr w:type="spellEnd"/>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afa"/>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a8"/>
            </w:pPr>
            <w:r>
              <w:t>Company</w:t>
            </w:r>
          </w:p>
        </w:tc>
        <w:tc>
          <w:tcPr>
            <w:tcW w:w="1842" w:type="dxa"/>
            <w:shd w:val="clear" w:color="auto" w:fill="BFBFBF" w:themeFill="background1" w:themeFillShade="BF"/>
          </w:tcPr>
          <w:p w14:paraId="5A3DE13A" w14:textId="67C2B8BA" w:rsidR="006B4E9D" w:rsidRDefault="00DE15C5" w:rsidP="00DE15C5">
            <w:pPr>
              <w:pStyle w:val="a8"/>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6B4E9D">
        <w:tc>
          <w:tcPr>
            <w:tcW w:w="2122" w:type="dxa"/>
          </w:tcPr>
          <w:p w14:paraId="2A7A8C79" w14:textId="0F91C0BB" w:rsidR="006B4E9D" w:rsidRDefault="00671469" w:rsidP="006B4E9D">
            <w:r>
              <w:rPr>
                <w:rFonts w:hint="eastAsia"/>
              </w:rPr>
              <w:t>O</w:t>
            </w:r>
            <w:r>
              <w:t>PPO</w:t>
            </w:r>
          </w:p>
        </w:tc>
        <w:tc>
          <w:tcPr>
            <w:tcW w:w="1842" w:type="dxa"/>
          </w:tcPr>
          <w:p w14:paraId="3A6BC9EF" w14:textId="5EB0DD51" w:rsidR="006B4E9D" w:rsidRDefault="00B12A6D" w:rsidP="006B4E9D">
            <w:r>
              <w:rPr>
                <w:rFonts w:hint="eastAsia"/>
              </w:rPr>
              <w:t>N</w:t>
            </w:r>
            <w:r>
              <w:t>o</w:t>
            </w:r>
          </w:p>
        </w:tc>
        <w:tc>
          <w:tcPr>
            <w:tcW w:w="5665"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6B4E9D">
        <w:tc>
          <w:tcPr>
            <w:tcW w:w="2122" w:type="dxa"/>
          </w:tcPr>
          <w:p w14:paraId="45DDDD13" w14:textId="61B67FCE" w:rsidR="004858DE" w:rsidRDefault="004858DE" w:rsidP="004858DE">
            <w:r>
              <w:t>Nokia</w:t>
            </w:r>
          </w:p>
        </w:tc>
        <w:tc>
          <w:tcPr>
            <w:tcW w:w="1842" w:type="dxa"/>
          </w:tcPr>
          <w:p w14:paraId="6B76ECFA" w14:textId="3151EB69" w:rsidR="004858DE" w:rsidRDefault="004858DE" w:rsidP="004858DE">
            <w:r>
              <w:t>No</w:t>
            </w:r>
          </w:p>
        </w:tc>
        <w:tc>
          <w:tcPr>
            <w:tcW w:w="5665"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6B4E9D">
        <w:tc>
          <w:tcPr>
            <w:tcW w:w="2122" w:type="dxa"/>
          </w:tcPr>
          <w:p w14:paraId="400FBE3D" w14:textId="00D7215F" w:rsidR="004858DE" w:rsidRPr="000723AF" w:rsidRDefault="000723AF" w:rsidP="004858DE">
            <w:pPr>
              <w:rPr>
                <w:rFonts w:eastAsia="맑은 고딕"/>
              </w:rPr>
            </w:pPr>
            <w:r>
              <w:rPr>
                <w:rFonts w:eastAsia="맑은 고딕" w:hint="eastAsia"/>
              </w:rPr>
              <w:t>LG</w:t>
            </w:r>
          </w:p>
        </w:tc>
        <w:tc>
          <w:tcPr>
            <w:tcW w:w="1842" w:type="dxa"/>
          </w:tcPr>
          <w:p w14:paraId="3701F504" w14:textId="57BEC5EB" w:rsidR="004858DE" w:rsidRPr="000723AF" w:rsidRDefault="00A5474B" w:rsidP="004858DE">
            <w:pPr>
              <w:rPr>
                <w:rFonts w:eastAsia="맑은 고딕"/>
              </w:rPr>
            </w:pPr>
            <w:r>
              <w:rPr>
                <w:rFonts w:eastAsia="맑은 고딕" w:hint="eastAsia"/>
              </w:rPr>
              <w:t>No</w:t>
            </w:r>
          </w:p>
        </w:tc>
        <w:tc>
          <w:tcPr>
            <w:tcW w:w="5665" w:type="dxa"/>
          </w:tcPr>
          <w:p w14:paraId="61215F89" w14:textId="77777777" w:rsidR="004858DE" w:rsidRDefault="004858DE" w:rsidP="004858DE"/>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4C5C9A" w:rsidP="00154492">
      <w:pPr>
        <w:pStyle w:val="Doc-title"/>
        <w:numPr>
          <w:ilvl w:val="0"/>
          <w:numId w:val="25"/>
        </w:numPr>
        <w:spacing w:before="0"/>
      </w:pPr>
      <w:hyperlink r:id="rId16" w:history="1">
        <w:r w:rsidR="00154492">
          <w:rPr>
            <w:rStyle w:val="af"/>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4C5C9A" w:rsidP="00154492">
      <w:pPr>
        <w:pStyle w:val="Doc-title"/>
        <w:numPr>
          <w:ilvl w:val="0"/>
          <w:numId w:val="25"/>
        </w:numPr>
        <w:spacing w:before="0"/>
      </w:pPr>
      <w:hyperlink r:id="rId17" w:history="1">
        <w:r w:rsidR="00154492">
          <w:rPr>
            <w:rStyle w:val="af"/>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4C5C9A" w:rsidP="00154492">
      <w:pPr>
        <w:pStyle w:val="Doc-title"/>
        <w:numPr>
          <w:ilvl w:val="0"/>
          <w:numId w:val="25"/>
        </w:numPr>
        <w:spacing w:before="0"/>
      </w:pPr>
      <w:hyperlink r:id="rId18" w:history="1">
        <w:r w:rsidR="00154492">
          <w:rPr>
            <w:rStyle w:val="af"/>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4C5C9A" w:rsidP="00154492">
      <w:pPr>
        <w:pStyle w:val="Doc-title"/>
        <w:numPr>
          <w:ilvl w:val="0"/>
          <w:numId w:val="25"/>
        </w:numPr>
        <w:spacing w:before="0"/>
      </w:pPr>
      <w:hyperlink r:id="rId19" w:history="1">
        <w:r w:rsidR="00154492">
          <w:rPr>
            <w:rStyle w:val="af"/>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4C5C9A" w:rsidP="00154492">
      <w:pPr>
        <w:pStyle w:val="Doc-title"/>
        <w:numPr>
          <w:ilvl w:val="0"/>
          <w:numId w:val="25"/>
        </w:numPr>
        <w:spacing w:before="0"/>
      </w:pPr>
      <w:hyperlink r:id="rId20" w:history="1">
        <w:r w:rsidR="00154492">
          <w:rPr>
            <w:rStyle w:val="af"/>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4C5C9A" w:rsidP="00154492">
      <w:pPr>
        <w:pStyle w:val="Doc-title"/>
        <w:numPr>
          <w:ilvl w:val="0"/>
          <w:numId w:val="25"/>
        </w:numPr>
        <w:spacing w:before="0"/>
      </w:pPr>
      <w:hyperlink r:id="rId21" w:history="1">
        <w:r w:rsidR="00154492">
          <w:rPr>
            <w:rStyle w:val="af"/>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4C5C9A" w:rsidP="00154492">
      <w:pPr>
        <w:pStyle w:val="Doc-title"/>
        <w:numPr>
          <w:ilvl w:val="0"/>
          <w:numId w:val="25"/>
        </w:numPr>
        <w:spacing w:before="0"/>
      </w:pPr>
      <w:hyperlink r:id="rId22" w:history="1">
        <w:r w:rsidR="00154492">
          <w:rPr>
            <w:rStyle w:val="af"/>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8"/>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3634B" w14:textId="77777777" w:rsidR="004C5C9A" w:rsidRDefault="004C5C9A">
      <w:r>
        <w:separator/>
      </w:r>
    </w:p>
  </w:endnote>
  <w:endnote w:type="continuationSeparator" w:id="0">
    <w:p w14:paraId="08187E37" w14:textId="77777777" w:rsidR="004C5C9A" w:rsidRDefault="004C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24387C" w:rsidRDefault="002438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C37C5">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C37C5">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61A42" w14:textId="77777777" w:rsidR="004C5C9A" w:rsidRDefault="004C5C9A">
      <w:r>
        <w:separator/>
      </w:r>
    </w:p>
  </w:footnote>
  <w:footnote w:type="continuationSeparator" w:id="0">
    <w:p w14:paraId="0AD1D637" w14:textId="77777777" w:rsidR="004C5C9A" w:rsidRDefault="004C5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24387C" w:rsidRDefault="002438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3389"/>
    <w:rsid w:val="000855EB"/>
    <w:rsid w:val="00085B52"/>
    <w:rsid w:val="000866F2"/>
    <w:rsid w:val="0009009F"/>
    <w:rsid w:val="00091557"/>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377F"/>
    <w:rsid w:val="00124314"/>
    <w:rsid w:val="00126B4A"/>
    <w:rsid w:val="00131257"/>
    <w:rsid w:val="00132FD0"/>
    <w:rsid w:val="001344C0"/>
    <w:rsid w:val="001346FA"/>
    <w:rsid w:val="00135252"/>
    <w:rsid w:val="00137AB5"/>
    <w:rsid w:val="00137F0B"/>
    <w:rsid w:val="00151E23"/>
    <w:rsid w:val="0015212B"/>
    <w:rsid w:val="001526E0"/>
    <w:rsid w:val="00154492"/>
    <w:rsid w:val="001551B5"/>
    <w:rsid w:val="001659C1"/>
    <w:rsid w:val="00173A8E"/>
    <w:rsid w:val="0017502C"/>
    <w:rsid w:val="0018143F"/>
    <w:rsid w:val="00181FF8"/>
    <w:rsid w:val="00190AC1"/>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B006FE"/>
    <w:rsid w:val="00B007CB"/>
    <w:rsid w:val="00B02AA9"/>
    <w:rsid w:val="00B02FA3"/>
    <w:rsid w:val="00B05084"/>
    <w:rsid w:val="00B12A6D"/>
    <w:rsid w:val="00B157F9"/>
    <w:rsid w:val="00B20256"/>
    <w:rsid w:val="00B20D09"/>
    <w:rsid w:val="00B22872"/>
    <w:rsid w:val="00B2763F"/>
    <w:rsid w:val="00B27AAC"/>
    <w:rsid w:val="00B30929"/>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37C5"/>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Char"/>
    <w:qFormat/>
    <w:rsid w:val="008D00A5"/>
    <w:pPr>
      <w:numPr>
        <w:numId w:val="26"/>
      </w:numPr>
      <w:pBdr>
        <w:top w:val="none" w:sz="0" w:space="0" w:color="auto"/>
      </w:pBdr>
      <w:spacing w:before="180"/>
      <w:outlineLvl w:val="1"/>
    </w:pPr>
    <w:rPr>
      <w:sz w:val="32"/>
    </w:rPr>
  </w:style>
  <w:style w:type="paragraph" w:styleId="31">
    <w:name w:val="heading 3"/>
    <w:basedOn w:val="20"/>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8C37C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C37C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99"/>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243.zip" TargetMode="External"/><Relationship Id="rId18" Type="http://schemas.openxmlformats.org/officeDocument/2006/relationships/hyperlink" Target="file://D://__&#20250;&#35758;\2020\3GPP_202004\TSGR2_109bis-e\Docs\R2-200314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__&#20250;&#35758;\2020\3GPP_202004\TSGR2_109bis-e\Docs\R2-2003243.zip" TargetMode="External"/><Relationship Id="rId7" Type="http://schemas.openxmlformats.org/officeDocument/2006/relationships/settings" Target="settings.xml"/><Relationship Id="rId12" Type="http://schemas.openxmlformats.org/officeDocument/2006/relationships/hyperlink" Target="file://D://__&#20250;&#35758;\2020\3GPP_202004\TSGR2_109bis-e\Docs\R2-2003146.zip" TargetMode="External"/><Relationship Id="rId17" Type="http://schemas.openxmlformats.org/officeDocument/2006/relationships/hyperlink" Target="file://D://__&#20250;&#35758;\2020\3GPP_202004\TSGR2_109bis-e\Docs\R2-200312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__&#20250;&#35758;\2020\3GPP_202004\TSGR2_109bis-e\Docs\R2-2002699.zip" TargetMode="External"/><Relationship Id="rId20" Type="http://schemas.openxmlformats.org/officeDocument/2006/relationships/hyperlink" Target="file://D://__&#20250;&#35758;\2020\3GPP_202004\TSGR2_109bis-e\Docs\R2-20032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__&#20250;&#35758;\2020\3GPP_202004\TSGR2_109bis-e\Docs\R2-2003241.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__&#20250;&#35758;\2020\3GPP_202004\TSGR2_109bis-e\Docs\R2-20032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2.zip" TargetMode="External"/><Relationship Id="rId22" Type="http://schemas.openxmlformats.org/officeDocument/2006/relationships/hyperlink" Target="file://D://__&#20250;&#35758;\2020\3GPP_202004\TSGR2_109bis-e\Docs\R2-2003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C262BA7-C6A9-4302-9C19-5FFB6DD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1657</Words>
  <Characters>9451</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11086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LG</cp:lastModifiedBy>
  <cp:revision>6</cp:revision>
  <cp:lastPrinted>2008-01-31T07:09:00Z</cp:lastPrinted>
  <dcterms:created xsi:type="dcterms:W3CDTF">2020-04-22T12:41:00Z</dcterms:created>
  <dcterms:modified xsi:type="dcterms:W3CDTF">2020-04-22T13:10:00Z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