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pPr>
      <w:r w:rsidRPr="00CE0424">
        <w:t>Agenda Item:</w:t>
      </w:r>
      <w:r w:rsidRPr="00CE0424">
        <w:tab/>
      </w:r>
      <w:r w:rsidR="0098712E">
        <w:t>6.10.6</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685A119C" w:rsidR="00E90E49" w:rsidRPr="00CE0424" w:rsidRDefault="003D3C45" w:rsidP="0098712E">
      <w:pPr>
        <w:pStyle w:val="3GPPHeader"/>
      </w:pPr>
      <w:r>
        <w:t>Title:</w:t>
      </w:r>
      <w:r w:rsidR="00E90E49" w:rsidRPr="00CE0424">
        <w:tab/>
      </w:r>
      <w:r w:rsidR="0098712E" w:rsidRPr="003F0B75">
        <w:t>[AT109bis-e][038</w:t>
      </w:r>
      <w:r w:rsidR="006B4E9D" w:rsidRPr="003F0B75">
        <w:t>][</w:t>
      </w:r>
      <w:r w:rsidR="0098712E" w:rsidRPr="003F0B75">
        <w:t>DCCA</w:t>
      </w:r>
      <w:r w:rsidR="006B4E9D" w:rsidRPr="003F0B75">
        <w:t xml:space="preserve">] </w:t>
      </w:r>
      <w:r w:rsidR="0098712E" w:rsidRPr="003F0B75">
        <w:t>MCG SCell and SCG configuration with RRC Resume</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af"/>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Cs w:val="20"/>
        </w:rPr>
        <w:t>9.3.1.94</w:t>
      </w:r>
      <w:r w:rsidRPr="006230E0">
        <w:rPr>
          <w:rFonts w:ascii="Arial" w:eastAsia="Times New Roman" w:hAnsi="Arial" w:cs="Arial"/>
          <w:szCs w:val="20"/>
        </w:rPr>
        <w:tab/>
      </w:r>
      <w:bookmarkEnd w:id="1"/>
      <w:r w:rsidRPr="006230E0">
        <w:rPr>
          <w:rFonts w:ascii="Arial" w:eastAsia="Times New Roman" w:hAnsi="Arial" w:cs="Arial"/>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“suspend lower layers” will store CellGroupConfig except ReconfigurationWithSync</w:t>
            </w:r>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a"/>
        <w:tblW w:w="0" w:type="auto"/>
        <w:tblInd w:w="113" w:type="dxa"/>
        <w:tblLook w:val="04A0" w:firstRow="1" w:lastRow="0" w:firstColumn="1" w:lastColumn="0" w:noHBand="0" w:noVBand="1"/>
      </w:tblPr>
      <w:tblGrid>
        <w:gridCol w:w="2084"/>
        <w:gridCol w:w="1884"/>
        <w:gridCol w:w="5548"/>
      </w:tblGrid>
      <w:tr w:rsidR="00154492" w14:paraId="5D514A0A" w14:textId="77777777" w:rsidTr="00C04881">
        <w:tc>
          <w:tcPr>
            <w:tcW w:w="2084" w:type="dxa"/>
            <w:shd w:val="clear" w:color="auto" w:fill="BFBFBF" w:themeFill="background1" w:themeFillShade="BF"/>
          </w:tcPr>
          <w:p w14:paraId="183547B6" w14:textId="77777777" w:rsidR="00154492" w:rsidRDefault="00154492" w:rsidP="00062BA1">
            <w:pPr>
              <w:pStyle w:val="a8"/>
            </w:pPr>
            <w:r>
              <w:t>Company</w:t>
            </w:r>
          </w:p>
        </w:tc>
        <w:tc>
          <w:tcPr>
            <w:tcW w:w="1884" w:type="dxa"/>
            <w:shd w:val="clear" w:color="auto" w:fill="BFBFBF" w:themeFill="background1" w:themeFillShade="BF"/>
          </w:tcPr>
          <w:p w14:paraId="4F0CD946" w14:textId="77777777" w:rsidR="00154492" w:rsidRDefault="00154492" w:rsidP="00062BA1">
            <w:pPr>
              <w:pStyle w:val="a8"/>
            </w:pPr>
            <w:r>
              <w:t>Agree/Disagree</w:t>
            </w:r>
          </w:p>
        </w:tc>
        <w:tc>
          <w:tcPr>
            <w:tcW w:w="5548" w:type="dxa"/>
            <w:shd w:val="clear" w:color="auto" w:fill="BFBFBF" w:themeFill="background1" w:themeFillShade="BF"/>
          </w:tcPr>
          <w:p w14:paraId="3AF82933" w14:textId="77777777" w:rsidR="00154492" w:rsidRPr="006B4E9D" w:rsidRDefault="00154492" w:rsidP="00062BA1">
            <w:pPr>
              <w:pStyle w:val="a8"/>
            </w:pPr>
            <w:r w:rsidRPr="006B4E9D">
              <w:t>Comments</w:t>
            </w:r>
          </w:p>
        </w:tc>
      </w:tr>
      <w:tr w:rsidR="00154492" w14:paraId="3924E5B8" w14:textId="77777777" w:rsidTr="00C04881">
        <w:tc>
          <w:tcPr>
            <w:tcW w:w="2084" w:type="dxa"/>
          </w:tcPr>
          <w:p w14:paraId="12924A89" w14:textId="2BD96C03" w:rsidR="00154492" w:rsidRDefault="00280779" w:rsidP="00062BA1">
            <w:r>
              <w:rPr>
                <w:rFonts w:hint="eastAsia"/>
              </w:rPr>
              <w:t>O</w:t>
            </w:r>
            <w:r>
              <w:t>PPO</w:t>
            </w:r>
          </w:p>
        </w:tc>
        <w:tc>
          <w:tcPr>
            <w:tcW w:w="1884" w:type="dxa"/>
          </w:tcPr>
          <w:p w14:paraId="114228A3" w14:textId="1405362A" w:rsidR="00154492" w:rsidRDefault="002726FD" w:rsidP="00062BA1">
            <w:r>
              <w:t xml:space="preserve">Disagree </w:t>
            </w:r>
          </w:p>
        </w:tc>
        <w:tc>
          <w:tcPr>
            <w:tcW w:w="5548"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r w:rsidR="002726FD" w:rsidRPr="002726FD">
              <w:rPr>
                <w:rFonts w:ascii="Arial" w:eastAsia="Batang" w:hAnsi="Arial" w:cs="Arial"/>
                <w:i/>
                <w:iCs/>
                <w:sz w:val="18"/>
                <w:szCs w:val="20"/>
                <w:lang w:val="en-GB"/>
              </w:rPr>
              <w:t>servingCellConfigCommon</w:t>
            </w:r>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C04881">
        <w:tc>
          <w:tcPr>
            <w:tcW w:w="2084" w:type="dxa"/>
          </w:tcPr>
          <w:p w14:paraId="578DA4A6" w14:textId="7B5D38C5" w:rsidR="004858DE" w:rsidRDefault="004858DE" w:rsidP="004858DE">
            <w:r>
              <w:t>Nokia</w:t>
            </w:r>
          </w:p>
        </w:tc>
        <w:tc>
          <w:tcPr>
            <w:tcW w:w="1884" w:type="dxa"/>
          </w:tcPr>
          <w:p w14:paraId="6FF26837" w14:textId="285641DA" w:rsidR="004858DE" w:rsidRDefault="004858DE" w:rsidP="004858DE">
            <w:r>
              <w:t>Disagree</w:t>
            </w:r>
          </w:p>
        </w:tc>
        <w:tc>
          <w:tcPr>
            <w:tcW w:w="5548" w:type="dxa"/>
          </w:tcPr>
          <w:p w14:paraId="4195061C" w14:textId="16A5694D" w:rsidR="004858DE" w:rsidRDefault="004858DE" w:rsidP="004858DE">
            <w:r>
              <w:t>Indeed, we don’t understand the need to have this.</w:t>
            </w:r>
          </w:p>
        </w:tc>
      </w:tr>
      <w:tr w:rsidR="004858DE" w14:paraId="6CAD7E37" w14:textId="77777777" w:rsidTr="00C04881">
        <w:tc>
          <w:tcPr>
            <w:tcW w:w="2084" w:type="dxa"/>
          </w:tcPr>
          <w:p w14:paraId="733770A0" w14:textId="652E9259" w:rsidR="004858DE" w:rsidRPr="00296228" w:rsidRDefault="00296228" w:rsidP="004858DE">
            <w:pPr>
              <w:rPr>
                <w:rFonts w:eastAsia="Malgun Gothic"/>
              </w:rPr>
            </w:pPr>
            <w:r>
              <w:rPr>
                <w:rFonts w:eastAsia="Malgun Gothic" w:hint="eastAsia"/>
              </w:rPr>
              <w:t>LG</w:t>
            </w:r>
          </w:p>
        </w:tc>
        <w:tc>
          <w:tcPr>
            <w:tcW w:w="1884" w:type="dxa"/>
          </w:tcPr>
          <w:p w14:paraId="30E89619" w14:textId="46B15778" w:rsidR="004858DE" w:rsidRPr="00296228" w:rsidRDefault="00296228" w:rsidP="004858DE">
            <w:pPr>
              <w:rPr>
                <w:rFonts w:eastAsia="Malgun Gothic"/>
              </w:rPr>
            </w:pPr>
            <w:r>
              <w:rPr>
                <w:rFonts w:eastAsia="Malgun Gothic" w:hint="eastAsia"/>
              </w:rPr>
              <w:t>Agree</w:t>
            </w:r>
          </w:p>
        </w:tc>
        <w:tc>
          <w:tcPr>
            <w:tcW w:w="5548"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gNB-DU may store CellGroupConfig except </w:t>
            </w:r>
            <w:r w:rsidRPr="00B543D9">
              <w:rPr>
                <w:rFonts w:cstheme="minorHAnsi"/>
                <w:i/>
                <w:lang w:val="en-GB"/>
              </w:rPr>
              <w:t>ReconfigurationWithSync</w:t>
            </w:r>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r w:rsidRPr="00B543D9">
              <w:rPr>
                <w:rFonts w:cstheme="minorHAnsi"/>
                <w:i/>
                <w:iCs/>
                <w:color w:val="000000" w:themeColor="text1"/>
                <w:lang w:eastAsia="x-none"/>
              </w:rPr>
              <w:t>servingCellConfigCommon</w:t>
            </w:r>
            <w:r w:rsidRPr="00B543D9">
              <w:rPr>
                <w:rFonts w:cstheme="minorHAnsi"/>
                <w:color w:val="000000" w:themeColor="text1"/>
                <w:lang w:eastAsia="x-none"/>
              </w:rPr>
              <w:t xml:space="preserve"> </w:t>
            </w:r>
            <w:r w:rsidR="00B543D9">
              <w:rPr>
                <w:rFonts w:cstheme="minorHAnsi"/>
                <w:color w:val="000000" w:themeColor="text1"/>
                <w:lang w:eastAsia="x-none"/>
              </w:rPr>
              <w:t>for</w:t>
            </w:r>
            <w:r w:rsidRPr="00B543D9">
              <w:rPr>
                <w:rFonts w:cstheme="minorHAnsi"/>
                <w:color w:val="000000" w:themeColor="text1"/>
                <w:lang w:eastAsia="x-none"/>
              </w:rPr>
              <w:t>PSCell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C04881">
        <w:tc>
          <w:tcPr>
            <w:tcW w:w="2084" w:type="dxa"/>
          </w:tcPr>
          <w:p w14:paraId="73F16FD4" w14:textId="32AA3A08" w:rsidR="00686FCD" w:rsidRDefault="00686FCD" w:rsidP="004858DE">
            <w:pPr>
              <w:rPr>
                <w:rFonts w:eastAsia="Malgun Gothic"/>
              </w:rPr>
            </w:pPr>
            <w:r>
              <w:rPr>
                <w:rFonts w:eastAsia="Malgun Gothic"/>
              </w:rPr>
              <w:t>Interdigital</w:t>
            </w:r>
          </w:p>
        </w:tc>
        <w:tc>
          <w:tcPr>
            <w:tcW w:w="1884" w:type="dxa"/>
          </w:tcPr>
          <w:p w14:paraId="105C0198" w14:textId="4043ECA1" w:rsidR="00686FCD" w:rsidRDefault="00686FCD" w:rsidP="004858DE">
            <w:pPr>
              <w:rPr>
                <w:rFonts w:eastAsia="Malgun Gothic"/>
              </w:rPr>
            </w:pPr>
            <w:r>
              <w:rPr>
                <w:rFonts w:eastAsia="Malgun Gothic"/>
              </w:rPr>
              <w:t>Agree</w:t>
            </w:r>
          </w:p>
        </w:tc>
        <w:tc>
          <w:tcPr>
            <w:tcW w:w="5548"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ReconfigurationWithSync will be stored.  Based on latest agreements, part of the ReconfigurationWithSync is part of the inactive UE context, and should also be stored by the network when lower layers are suspended for the SCG. </w:t>
            </w:r>
          </w:p>
        </w:tc>
      </w:tr>
      <w:tr w:rsidR="00BF2F2F" w14:paraId="5D1F84A7" w14:textId="77777777" w:rsidTr="00C04881">
        <w:tc>
          <w:tcPr>
            <w:tcW w:w="2084" w:type="dxa"/>
          </w:tcPr>
          <w:p w14:paraId="55DA19D1" w14:textId="6AE0CB41" w:rsidR="00BF2F2F" w:rsidRDefault="00BF2F2F" w:rsidP="004858DE">
            <w:pPr>
              <w:rPr>
                <w:rFonts w:eastAsia="Malgun Gothic"/>
              </w:rPr>
            </w:pPr>
            <w:r>
              <w:rPr>
                <w:rFonts w:eastAsia="Malgun Gothic"/>
              </w:rPr>
              <w:lastRenderedPageBreak/>
              <w:t>Ericsson</w:t>
            </w:r>
          </w:p>
        </w:tc>
        <w:tc>
          <w:tcPr>
            <w:tcW w:w="1884" w:type="dxa"/>
          </w:tcPr>
          <w:p w14:paraId="2B1D40D7" w14:textId="297E9526" w:rsidR="00BF2F2F" w:rsidRDefault="00BF2F2F" w:rsidP="004858DE">
            <w:pPr>
              <w:rPr>
                <w:rFonts w:eastAsia="Malgun Gothic"/>
              </w:rPr>
            </w:pPr>
            <w:r>
              <w:rPr>
                <w:rFonts w:eastAsia="Malgun Gothic"/>
              </w:rPr>
              <w:t>No Strong view</w:t>
            </w:r>
          </w:p>
        </w:tc>
        <w:tc>
          <w:tcPr>
            <w:tcW w:w="5548"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C04881">
        <w:tc>
          <w:tcPr>
            <w:tcW w:w="2084" w:type="dxa"/>
          </w:tcPr>
          <w:p w14:paraId="54C562D9" w14:textId="3EB60DB8" w:rsidR="00C6482B" w:rsidRDefault="00C6482B" w:rsidP="004858DE">
            <w:pPr>
              <w:rPr>
                <w:rFonts w:eastAsia="Malgun Gothic"/>
              </w:rPr>
            </w:pPr>
            <w:r>
              <w:rPr>
                <w:rFonts w:eastAsia="Malgun Gothic"/>
              </w:rPr>
              <w:t>MediaTek</w:t>
            </w:r>
          </w:p>
        </w:tc>
        <w:tc>
          <w:tcPr>
            <w:tcW w:w="1884" w:type="dxa"/>
          </w:tcPr>
          <w:p w14:paraId="336E0257" w14:textId="526CE4F7" w:rsidR="00C6482B" w:rsidRDefault="00C6482B" w:rsidP="004858DE">
            <w:pPr>
              <w:rPr>
                <w:rFonts w:eastAsia="Malgun Gothic"/>
              </w:rPr>
            </w:pPr>
            <w:r>
              <w:rPr>
                <w:rFonts w:eastAsia="Malgun Gothic"/>
              </w:rPr>
              <w:t>No Strong view</w:t>
            </w:r>
          </w:p>
        </w:tc>
        <w:tc>
          <w:tcPr>
            <w:tcW w:w="5548" w:type="dxa"/>
          </w:tcPr>
          <w:p w14:paraId="1E5C7F7A" w14:textId="77777777" w:rsidR="00C6482B" w:rsidRDefault="00C6482B" w:rsidP="00296228">
            <w:pPr>
              <w:rPr>
                <w:rFonts w:cstheme="minorHAnsi"/>
                <w:lang w:val="en-GB"/>
              </w:rPr>
            </w:pPr>
          </w:p>
        </w:tc>
      </w:tr>
      <w:tr w:rsidR="00FF73CB" w14:paraId="28985EBE" w14:textId="77777777" w:rsidTr="00C04881">
        <w:tc>
          <w:tcPr>
            <w:tcW w:w="2084" w:type="dxa"/>
          </w:tcPr>
          <w:p w14:paraId="2A4C195F" w14:textId="7233DBEA" w:rsidR="00FF73CB" w:rsidRDefault="00FF73CB" w:rsidP="00FF73CB">
            <w:pPr>
              <w:rPr>
                <w:rFonts w:eastAsia="Malgun Gothic"/>
              </w:rPr>
            </w:pPr>
            <w:r>
              <w:rPr>
                <w:rFonts w:eastAsia="Yu Mincho" w:hint="eastAsia"/>
              </w:rPr>
              <w:t>NEC</w:t>
            </w:r>
          </w:p>
        </w:tc>
        <w:tc>
          <w:tcPr>
            <w:tcW w:w="1884" w:type="dxa"/>
          </w:tcPr>
          <w:p w14:paraId="44760E6E" w14:textId="4A88A707" w:rsidR="00FF73CB" w:rsidRDefault="00FF73CB" w:rsidP="00FF73CB">
            <w:pPr>
              <w:rPr>
                <w:rFonts w:eastAsia="Malgun Gothic"/>
              </w:rPr>
            </w:pPr>
            <w:r>
              <w:rPr>
                <w:rFonts w:eastAsia="Yu Mincho" w:hint="eastAsia"/>
              </w:rPr>
              <w:t>No Strong view</w:t>
            </w:r>
          </w:p>
        </w:tc>
        <w:tc>
          <w:tcPr>
            <w:tcW w:w="5548"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semantics description is originally written by RAN3 without RAN2 formal informatin via LS. So the update can be done by RAN3 themselves. but Ok to send an LS, if many companies want.</w:t>
            </w:r>
          </w:p>
        </w:tc>
      </w:tr>
      <w:tr w:rsidR="00616314" w14:paraId="3053707C" w14:textId="77777777" w:rsidTr="00C04881">
        <w:tc>
          <w:tcPr>
            <w:tcW w:w="2084" w:type="dxa"/>
          </w:tcPr>
          <w:p w14:paraId="3BB9110F" w14:textId="019868DB" w:rsidR="00616314" w:rsidRDefault="00616314" w:rsidP="00616314">
            <w:pPr>
              <w:rPr>
                <w:rFonts w:eastAsia="Yu Mincho"/>
              </w:rPr>
            </w:pPr>
            <w:r>
              <w:rPr>
                <w:rFonts w:eastAsia="Malgun Gothic"/>
              </w:rPr>
              <w:t>Qualcomm</w:t>
            </w:r>
          </w:p>
        </w:tc>
        <w:tc>
          <w:tcPr>
            <w:tcW w:w="1884" w:type="dxa"/>
          </w:tcPr>
          <w:p w14:paraId="45D0362E" w14:textId="4EFB5D38" w:rsidR="00616314" w:rsidRDefault="00616314" w:rsidP="00616314">
            <w:pPr>
              <w:rPr>
                <w:rFonts w:eastAsia="Yu Mincho"/>
              </w:rPr>
            </w:pPr>
            <w:r>
              <w:rPr>
                <w:rFonts w:eastAsia="Malgun Gothic"/>
              </w:rPr>
              <w:t>No strong view</w:t>
            </w:r>
          </w:p>
        </w:tc>
        <w:tc>
          <w:tcPr>
            <w:tcW w:w="5548" w:type="dxa"/>
          </w:tcPr>
          <w:p w14:paraId="5FBB525C" w14:textId="77777777" w:rsidR="00616314" w:rsidRDefault="00616314" w:rsidP="00616314">
            <w:pPr>
              <w:rPr>
                <w:rFonts w:eastAsia="Yu Mincho" w:cstheme="minorHAnsi"/>
              </w:rPr>
            </w:pPr>
          </w:p>
        </w:tc>
      </w:tr>
      <w:tr w:rsidR="00645443" w14:paraId="7269C05D" w14:textId="77777777" w:rsidTr="00C04881">
        <w:tc>
          <w:tcPr>
            <w:tcW w:w="2084" w:type="dxa"/>
          </w:tcPr>
          <w:p w14:paraId="672F91AE" w14:textId="1ABA95EF" w:rsidR="00645443" w:rsidRDefault="00645443" w:rsidP="00645443">
            <w:pPr>
              <w:rPr>
                <w:rFonts w:eastAsia="Malgun Gothic"/>
              </w:rPr>
            </w:pPr>
            <w:r>
              <w:rPr>
                <w:rFonts w:eastAsia="Malgun Gothic"/>
              </w:rPr>
              <w:t>Spreadtrum</w:t>
            </w:r>
          </w:p>
        </w:tc>
        <w:tc>
          <w:tcPr>
            <w:tcW w:w="1884" w:type="dxa"/>
          </w:tcPr>
          <w:p w14:paraId="26F4BD7E" w14:textId="0316A3E1" w:rsidR="00645443" w:rsidRDefault="00645443" w:rsidP="00645443">
            <w:pPr>
              <w:rPr>
                <w:rFonts w:eastAsia="Malgun Gothic"/>
              </w:rPr>
            </w:pPr>
            <w:r>
              <w:t>No Strong view</w:t>
            </w:r>
          </w:p>
        </w:tc>
        <w:tc>
          <w:tcPr>
            <w:tcW w:w="5548"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rsidRPr="00BC0FCE" w14:paraId="2EFFD0E5" w14:textId="77777777" w:rsidTr="00C04881">
        <w:tc>
          <w:tcPr>
            <w:tcW w:w="2084" w:type="dxa"/>
          </w:tcPr>
          <w:p w14:paraId="41A75DCE" w14:textId="0BDC0312" w:rsidR="008572C2" w:rsidRPr="008572C2" w:rsidRDefault="008572C2" w:rsidP="00645443">
            <w:pPr>
              <w:rPr>
                <w:rFonts w:eastAsia="Malgun Gothic"/>
              </w:rPr>
            </w:pPr>
            <w:r>
              <w:rPr>
                <w:rFonts w:eastAsia="Malgun Gothic"/>
              </w:rPr>
              <w:t>Huawei</w:t>
            </w:r>
          </w:p>
        </w:tc>
        <w:tc>
          <w:tcPr>
            <w:tcW w:w="1884" w:type="dxa"/>
          </w:tcPr>
          <w:p w14:paraId="4CC6802D" w14:textId="34E4F296" w:rsidR="008572C2" w:rsidRDefault="008572C2" w:rsidP="00645443">
            <w:r>
              <w:rPr>
                <w:rFonts w:hint="eastAsia"/>
              </w:rPr>
              <w:t>N</w:t>
            </w:r>
            <w:r>
              <w:t>o strong view</w:t>
            </w:r>
          </w:p>
        </w:tc>
        <w:tc>
          <w:tcPr>
            <w:tcW w:w="5548" w:type="dxa"/>
          </w:tcPr>
          <w:p w14:paraId="76301E1A" w14:textId="0EF7B0A1" w:rsidR="008572C2" w:rsidRDefault="008572C2" w:rsidP="00645443">
            <w:pPr>
              <w:rPr>
                <w:rFonts w:cstheme="minorHAnsi"/>
                <w:lang w:val="en-GB"/>
              </w:rPr>
            </w:pPr>
            <w:r>
              <w:rPr>
                <w:rFonts w:cstheme="minorHAnsi"/>
                <w:lang w:val="en-GB"/>
              </w:rPr>
              <w:t>It’s ok to send a LS to align with RAN3.</w:t>
            </w:r>
          </w:p>
        </w:tc>
      </w:tr>
      <w:tr w:rsidR="00BC0FCE" w14:paraId="298EDCB9" w14:textId="77777777" w:rsidTr="00C04881">
        <w:tc>
          <w:tcPr>
            <w:tcW w:w="2084" w:type="dxa"/>
          </w:tcPr>
          <w:p w14:paraId="5720516B" w14:textId="77777777" w:rsidR="00BC0FCE" w:rsidRDefault="00BC0FCE" w:rsidP="00BC0FCE">
            <w:pPr>
              <w:rPr>
                <w:rFonts w:eastAsia="Malgun Gothic"/>
              </w:rPr>
            </w:pPr>
            <w:r>
              <w:rPr>
                <w:rFonts w:eastAsia="Malgun Gothic"/>
              </w:rPr>
              <w:t>Apple</w:t>
            </w:r>
          </w:p>
        </w:tc>
        <w:tc>
          <w:tcPr>
            <w:tcW w:w="1884" w:type="dxa"/>
          </w:tcPr>
          <w:p w14:paraId="0DE048E5" w14:textId="1A14BAD7" w:rsidR="00BC0FCE" w:rsidRDefault="00BC0FCE" w:rsidP="00BC0FCE">
            <w:pPr>
              <w:rPr>
                <w:rFonts w:eastAsia="Malgun Gothic"/>
              </w:rPr>
            </w:pPr>
            <w:r>
              <w:rPr>
                <w:rFonts w:hint="eastAsia"/>
              </w:rPr>
              <w:t>N</w:t>
            </w:r>
            <w:r>
              <w:t>o strong view</w:t>
            </w:r>
          </w:p>
        </w:tc>
        <w:tc>
          <w:tcPr>
            <w:tcW w:w="5548" w:type="dxa"/>
          </w:tcPr>
          <w:p w14:paraId="7059368E" w14:textId="0607D634" w:rsidR="00BC0FCE" w:rsidRPr="00B543D9" w:rsidRDefault="00085713" w:rsidP="00BC0FCE">
            <w:pPr>
              <w:rPr>
                <w:rFonts w:cstheme="minorHAnsi"/>
                <w:lang w:val="en-GB"/>
              </w:rPr>
            </w:pPr>
            <w:r>
              <w:rPr>
                <w:rFonts w:cstheme="minorHAnsi"/>
              </w:rPr>
              <w:t xml:space="preserve">We also think </w:t>
            </w:r>
            <w:r w:rsidR="00BC0FCE">
              <w:rPr>
                <w:rFonts w:cstheme="minorHAnsi" w:hint="eastAsia"/>
                <w:lang w:val="en-GB"/>
              </w:rPr>
              <w:t>R</w:t>
            </w:r>
            <w:r w:rsidR="00BC0FCE">
              <w:rPr>
                <w:rFonts w:cstheme="minorHAnsi"/>
                <w:lang w:val="en-GB"/>
              </w:rPr>
              <w:t>AN3 can update the</w:t>
            </w:r>
            <w:r w:rsidR="005F373B">
              <w:rPr>
                <w:rFonts w:cstheme="minorHAnsi"/>
                <w:lang w:val="en-GB"/>
              </w:rPr>
              <w:t>ir</w:t>
            </w:r>
            <w:r w:rsidR="00BC0FCE">
              <w:rPr>
                <w:rFonts w:cstheme="minorHAnsi"/>
                <w:lang w:val="en-GB"/>
              </w:rPr>
              <w:t xml:space="preserve"> spec without the RAN2 LS if something is really needed. </w:t>
            </w:r>
          </w:p>
        </w:tc>
      </w:tr>
      <w:tr w:rsidR="00327DAB" w:rsidRPr="00BC0FCE" w14:paraId="5AE32571" w14:textId="77777777" w:rsidTr="00C04881">
        <w:tc>
          <w:tcPr>
            <w:tcW w:w="2084" w:type="dxa"/>
          </w:tcPr>
          <w:p w14:paraId="7E166830" w14:textId="125760F6" w:rsidR="00327DAB" w:rsidRDefault="00327DAB" w:rsidP="00327DAB">
            <w:pPr>
              <w:rPr>
                <w:rFonts w:eastAsia="Malgun Gothic"/>
              </w:rPr>
            </w:pPr>
            <w:r>
              <w:rPr>
                <w:rFonts w:hint="eastAsia"/>
              </w:rPr>
              <w:t>vivo</w:t>
            </w:r>
          </w:p>
        </w:tc>
        <w:tc>
          <w:tcPr>
            <w:tcW w:w="1884" w:type="dxa"/>
          </w:tcPr>
          <w:p w14:paraId="3CA7F226" w14:textId="3D2F6F58" w:rsidR="00327DAB" w:rsidRDefault="00327DAB" w:rsidP="00327DAB">
            <w:r>
              <w:rPr>
                <w:rFonts w:hint="eastAsia"/>
              </w:rPr>
              <w:t>Agree</w:t>
            </w:r>
          </w:p>
        </w:tc>
        <w:tc>
          <w:tcPr>
            <w:tcW w:w="5548" w:type="dxa"/>
          </w:tcPr>
          <w:p w14:paraId="12016743" w14:textId="77777777" w:rsidR="00327DAB" w:rsidRDefault="00327DAB" w:rsidP="00327DAB">
            <w:pPr>
              <w:rPr>
                <w:rFonts w:cstheme="minorHAnsi"/>
                <w:lang w:val="en-GB"/>
              </w:rPr>
            </w:pPr>
          </w:p>
        </w:tc>
      </w:tr>
      <w:tr w:rsidR="00C04881" w14:paraId="1B946DAC" w14:textId="77777777" w:rsidTr="00C04881">
        <w:tc>
          <w:tcPr>
            <w:tcW w:w="2084" w:type="dxa"/>
          </w:tcPr>
          <w:p w14:paraId="6F5FFB89" w14:textId="77777777" w:rsidR="00C04881" w:rsidRDefault="00C04881" w:rsidP="00963E69">
            <w:pPr>
              <w:rPr>
                <w:rFonts w:eastAsia="Malgun Gothic"/>
              </w:rPr>
            </w:pPr>
            <w:r>
              <w:rPr>
                <w:rFonts w:eastAsia="Malgun Gothic"/>
              </w:rPr>
              <w:t>Samsung</w:t>
            </w:r>
          </w:p>
        </w:tc>
        <w:tc>
          <w:tcPr>
            <w:tcW w:w="1884" w:type="dxa"/>
          </w:tcPr>
          <w:p w14:paraId="504199E6" w14:textId="77777777" w:rsidR="00C04881" w:rsidRDefault="00C04881" w:rsidP="00963E69">
            <w:r>
              <w:t>No strong view</w:t>
            </w:r>
          </w:p>
        </w:tc>
        <w:tc>
          <w:tcPr>
            <w:tcW w:w="5548" w:type="dxa"/>
          </w:tcPr>
          <w:p w14:paraId="7FB9F261" w14:textId="77777777" w:rsidR="00963E69" w:rsidRDefault="00963E69" w:rsidP="00963E69">
            <w:pPr>
              <w:rPr>
                <w:rFonts w:cstheme="minorHAnsi"/>
                <w:lang w:val="en-GB"/>
              </w:rPr>
            </w:pPr>
          </w:p>
        </w:tc>
      </w:tr>
      <w:tr w:rsidR="00963E69" w14:paraId="0DABE6D2" w14:textId="77777777" w:rsidTr="00C04881">
        <w:tc>
          <w:tcPr>
            <w:tcW w:w="2084" w:type="dxa"/>
          </w:tcPr>
          <w:p w14:paraId="2121D3DD" w14:textId="3A34ADA6" w:rsidR="00963E69" w:rsidRDefault="00963E69" w:rsidP="00963E69">
            <w:pPr>
              <w:rPr>
                <w:rFonts w:eastAsia="Malgun Gothic"/>
              </w:rPr>
            </w:pPr>
            <w:r>
              <w:rPr>
                <w:rFonts w:eastAsia="Malgun Gothic"/>
              </w:rPr>
              <w:t>ZTE</w:t>
            </w:r>
          </w:p>
        </w:tc>
        <w:tc>
          <w:tcPr>
            <w:tcW w:w="1884" w:type="dxa"/>
          </w:tcPr>
          <w:p w14:paraId="29C98AE6" w14:textId="50C3B8DA" w:rsidR="00963E69" w:rsidRDefault="00963E69" w:rsidP="00963E69">
            <w:r>
              <w:t>Agree</w:t>
            </w:r>
          </w:p>
        </w:tc>
        <w:tc>
          <w:tcPr>
            <w:tcW w:w="5548" w:type="dxa"/>
          </w:tcPr>
          <w:p w14:paraId="33E25A38" w14:textId="32A10AD8" w:rsidR="00963E69" w:rsidRDefault="00963E69" w:rsidP="00963E69">
            <w:pPr>
              <w:rPr>
                <w:rFonts w:cstheme="minorHAnsi"/>
                <w:lang w:val="en-GB"/>
              </w:rPr>
            </w:pPr>
          </w:p>
        </w:tc>
      </w:tr>
    </w:tbl>
    <w:p w14:paraId="79DB499F" w14:textId="77777777" w:rsidR="00154492" w:rsidRDefault="00154492" w:rsidP="006B4E9D">
      <w:pPr>
        <w:pStyle w:val="a8"/>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af"/>
          </w:rPr>
          <w:t>R2-2003146</w:t>
        </w:r>
      </w:hyperlink>
      <w:r>
        <w:rPr>
          <w:rFonts w:cstheme="minorHAnsi"/>
          <w:b/>
          <w:color w:val="000000" w:themeColor="text1"/>
        </w:rPr>
        <w:t xml:space="preserve"> </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22"/>
        <w:gridCol w:w="1842"/>
        <w:gridCol w:w="566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a8"/>
            </w:pPr>
            <w:r>
              <w:t>Company</w:t>
            </w:r>
          </w:p>
        </w:tc>
        <w:tc>
          <w:tcPr>
            <w:tcW w:w="1842" w:type="dxa"/>
            <w:shd w:val="clear" w:color="auto" w:fill="BFBFBF" w:themeFill="background1" w:themeFillShade="BF"/>
          </w:tcPr>
          <w:p w14:paraId="72DC7BAB" w14:textId="77777777" w:rsidR="004D53BC" w:rsidRDefault="004D53BC" w:rsidP="00062BA1">
            <w:pPr>
              <w:pStyle w:val="a8"/>
            </w:pPr>
            <w:r>
              <w:t>Agree/Disagree</w:t>
            </w:r>
          </w:p>
        </w:tc>
        <w:tc>
          <w:tcPr>
            <w:tcW w:w="5665" w:type="dxa"/>
            <w:shd w:val="clear" w:color="auto" w:fill="BFBFBF" w:themeFill="background1" w:themeFillShade="BF"/>
          </w:tcPr>
          <w:p w14:paraId="0F8134A7" w14:textId="77777777" w:rsidR="004D53BC" w:rsidRPr="006B4E9D" w:rsidRDefault="004D53BC" w:rsidP="00062BA1">
            <w:pPr>
              <w:pStyle w:val="a8"/>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8"/>
      </w:pPr>
    </w:p>
    <w:p w14:paraId="291F6B31" w14:textId="1C3A2B0B" w:rsidR="004D53BC" w:rsidRPr="005F15AE" w:rsidRDefault="004D53BC" w:rsidP="00FC4DF4">
      <w:pPr>
        <w:pStyle w:val="20"/>
        <w:ind w:hanging="720"/>
      </w:pPr>
      <w:r>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lastRenderedPageBreak/>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8"/>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96"/>
        <w:gridCol w:w="1884"/>
        <w:gridCol w:w="5536"/>
      </w:tblGrid>
      <w:tr w:rsidR="004D53BC" w:rsidRPr="006B4E9D" w14:paraId="619BC8C6" w14:textId="77777777" w:rsidTr="00C04881">
        <w:tc>
          <w:tcPr>
            <w:tcW w:w="2096" w:type="dxa"/>
            <w:shd w:val="clear" w:color="auto" w:fill="BFBFBF" w:themeFill="background1" w:themeFillShade="BF"/>
          </w:tcPr>
          <w:p w14:paraId="62574FE8" w14:textId="77777777" w:rsidR="004D53BC" w:rsidRDefault="004D53BC" w:rsidP="00062BA1">
            <w:pPr>
              <w:pStyle w:val="a8"/>
            </w:pPr>
            <w:r>
              <w:t>Company</w:t>
            </w:r>
          </w:p>
        </w:tc>
        <w:tc>
          <w:tcPr>
            <w:tcW w:w="1884" w:type="dxa"/>
            <w:shd w:val="clear" w:color="auto" w:fill="BFBFBF" w:themeFill="background1" w:themeFillShade="BF"/>
          </w:tcPr>
          <w:p w14:paraId="4AA1516B" w14:textId="77777777" w:rsidR="004D53BC" w:rsidRDefault="004D53BC" w:rsidP="00062BA1">
            <w:pPr>
              <w:pStyle w:val="a8"/>
            </w:pPr>
            <w:r>
              <w:t>Agree/Disagree</w:t>
            </w:r>
          </w:p>
        </w:tc>
        <w:tc>
          <w:tcPr>
            <w:tcW w:w="5536" w:type="dxa"/>
            <w:shd w:val="clear" w:color="auto" w:fill="BFBFBF" w:themeFill="background1" w:themeFillShade="BF"/>
          </w:tcPr>
          <w:p w14:paraId="29BD636B" w14:textId="77777777" w:rsidR="004D53BC" w:rsidRPr="006B4E9D" w:rsidRDefault="004D53BC" w:rsidP="00062BA1">
            <w:pPr>
              <w:pStyle w:val="a8"/>
            </w:pPr>
            <w:r w:rsidRPr="006B4E9D">
              <w:t>Comments</w:t>
            </w:r>
          </w:p>
        </w:tc>
      </w:tr>
      <w:tr w:rsidR="004D53BC" w14:paraId="4CEB24E4" w14:textId="77777777" w:rsidTr="00C04881">
        <w:tc>
          <w:tcPr>
            <w:tcW w:w="2096" w:type="dxa"/>
          </w:tcPr>
          <w:p w14:paraId="30724A05" w14:textId="38FA6404" w:rsidR="004D53BC" w:rsidRDefault="002726FD" w:rsidP="00062BA1">
            <w:r>
              <w:rPr>
                <w:rFonts w:hint="eastAsia"/>
              </w:rPr>
              <w:t>O</w:t>
            </w:r>
            <w:r>
              <w:t>PPO</w:t>
            </w:r>
          </w:p>
        </w:tc>
        <w:tc>
          <w:tcPr>
            <w:tcW w:w="1884" w:type="dxa"/>
          </w:tcPr>
          <w:p w14:paraId="2B8E5F7C" w14:textId="3F7D2F14" w:rsidR="004D53BC" w:rsidRDefault="002726FD" w:rsidP="00062BA1">
            <w:r>
              <w:t xml:space="preserve">Agree </w:t>
            </w:r>
          </w:p>
        </w:tc>
        <w:tc>
          <w:tcPr>
            <w:tcW w:w="5536" w:type="dxa"/>
          </w:tcPr>
          <w:p w14:paraId="0FF1DE55" w14:textId="77777777" w:rsidR="004D53BC" w:rsidRDefault="004D53BC" w:rsidP="00062BA1"/>
        </w:tc>
      </w:tr>
      <w:tr w:rsidR="004858DE" w14:paraId="09064173" w14:textId="77777777" w:rsidTr="00C04881">
        <w:tc>
          <w:tcPr>
            <w:tcW w:w="2096" w:type="dxa"/>
          </w:tcPr>
          <w:p w14:paraId="73F319A3" w14:textId="1C6F9A38" w:rsidR="004858DE" w:rsidRDefault="004858DE" w:rsidP="004858DE">
            <w:r>
              <w:t>Nokia</w:t>
            </w:r>
          </w:p>
        </w:tc>
        <w:tc>
          <w:tcPr>
            <w:tcW w:w="1884" w:type="dxa"/>
          </w:tcPr>
          <w:p w14:paraId="502B881C" w14:textId="007C064D" w:rsidR="004858DE" w:rsidRDefault="004858DE" w:rsidP="004858DE">
            <w:r>
              <w:t>No strong opinion</w:t>
            </w:r>
          </w:p>
        </w:tc>
        <w:tc>
          <w:tcPr>
            <w:tcW w:w="5536"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C04881">
        <w:tc>
          <w:tcPr>
            <w:tcW w:w="2096" w:type="dxa"/>
          </w:tcPr>
          <w:p w14:paraId="500998FE" w14:textId="0E04230F" w:rsidR="004858DE" w:rsidRPr="00B543D9" w:rsidRDefault="00B543D9" w:rsidP="004858DE">
            <w:pPr>
              <w:rPr>
                <w:rFonts w:eastAsia="Malgun Gothic"/>
              </w:rPr>
            </w:pPr>
            <w:r>
              <w:rPr>
                <w:rFonts w:eastAsia="Malgun Gothic" w:hint="eastAsia"/>
              </w:rPr>
              <w:t>LG</w:t>
            </w:r>
          </w:p>
        </w:tc>
        <w:tc>
          <w:tcPr>
            <w:tcW w:w="1884" w:type="dxa"/>
          </w:tcPr>
          <w:p w14:paraId="1B3F154D" w14:textId="4FC19CF6" w:rsidR="004858DE" w:rsidRPr="00B543D9" w:rsidRDefault="00B543D9" w:rsidP="004858DE">
            <w:pPr>
              <w:rPr>
                <w:rFonts w:eastAsia="Malgun Gothic"/>
              </w:rPr>
            </w:pPr>
            <w:r>
              <w:rPr>
                <w:rFonts w:eastAsia="Malgun Gothic" w:hint="eastAsia"/>
              </w:rPr>
              <w:t>Agree</w:t>
            </w:r>
          </w:p>
        </w:tc>
        <w:tc>
          <w:tcPr>
            <w:tcW w:w="5536" w:type="dxa"/>
          </w:tcPr>
          <w:p w14:paraId="5E20FA52" w14:textId="77777777" w:rsidR="004858DE" w:rsidRDefault="004858DE" w:rsidP="004858DE"/>
        </w:tc>
      </w:tr>
      <w:tr w:rsidR="007E6423" w14:paraId="273E5286" w14:textId="77777777" w:rsidTr="00C04881">
        <w:tc>
          <w:tcPr>
            <w:tcW w:w="2096" w:type="dxa"/>
          </w:tcPr>
          <w:p w14:paraId="56FC987C" w14:textId="1A6517B4" w:rsidR="007E6423" w:rsidRDefault="007E6423" w:rsidP="004858DE">
            <w:pPr>
              <w:rPr>
                <w:rFonts w:eastAsia="Malgun Gothic"/>
              </w:rPr>
            </w:pPr>
            <w:r>
              <w:rPr>
                <w:rFonts w:eastAsia="Malgun Gothic"/>
              </w:rPr>
              <w:t>Interdigital</w:t>
            </w:r>
          </w:p>
        </w:tc>
        <w:tc>
          <w:tcPr>
            <w:tcW w:w="1884" w:type="dxa"/>
          </w:tcPr>
          <w:p w14:paraId="3372A11E" w14:textId="3FEE555A" w:rsidR="007E6423" w:rsidRDefault="007E6423" w:rsidP="004858DE">
            <w:pPr>
              <w:rPr>
                <w:rFonts w:eastAsia="Malgun Gothic"/>
              </w:rPr>
            </w:pPr>
            <w:r>
              <w:rPr>
                <w:rFonts w:eastAsia="Malgun Gothic"/>
              </w:rPr>
              <w:t>Agree</w:t>
            </w:r>
          </w:p>
        </w:tc>
        <w:tc>
          <w:tcPr>
            <w:tcW w:w="5536" w:type="dxa"/>
          </w:tcPr>
          <w:p w14:paraId="4F9BCE18" w14:textId="77777777" w:rsidR="007E6423" w:rsidRDefault="007E6423" w:rsidP="004858DE"/>
        </w:tc>
      </w:tr>
      <w:tr w:rsidR="00BF2F2F" w14:paraId="3D0285DB" w14:textId="77777777" w:rsidTr="00C04881">
        <w:tc>
          <w:tcPr>
            <w:tcW w:w="2096" w:type="dxa"/>
          </w:tcPr>
          <w:p w14:paraId="7BA0FE0E" w14:textId="05DEF5A0" w:rsidR="00BF2F2F" w:rsidRDefault="00BF2F2F" w:rsidP="004858DE">
            <w:pPr>
              <w:rPr>
                <w:rFonts w:eastAsia="Malgun Gothic"/>
              </w:rPr>
            </w:pPr>
            <w:r>
              <w:rPr>
                <w:rFonts w:eastAsia="Malgun Gothic"/>
              </w:rPr>
              <w:t>Ericsson</w:t>
            </w:r>
          </w:p>
        </w:tc>
        <w:tc>
          <w:tcPr>
            <w:tcW w:w="1884" w:type="dxa"/>
          </w:tcPr>
          <w:p w14:paraId="6A3F4C2E" w14:textId="14D9EB91" w:rsidR="00BF2F2F" w:rsidRDefault="00BF2F2F" w:rsidP="004858DE">
            <w:pPr>
              <w:rPr>
                <w:rFonts w:eastAsia="Malgun Gothic"/>
              </w:rPr>
            </w:pPr>
            <w:r>
              <w:rPr>
                <w:rFonts w:eastAsia="Malgun Gothic"/>
              </w:rPr>
              <w:t>Agree</w:t>
            </w:r>
          </w:p>
        </w:tc>
        <w:tc>
          <w:tcPr>
            <w:tcW w:w="5536" w:type="dxa"/>
          </w:tcPr>
          <w:p w14:paraId="195A6C89" w14:textId="77777777" w:rsidR="00BF2F2F" w:rsidRDefault="00BF2F2F" w:rsidP="004858DE"/>
        </w:tc>
      </w:tr>
      <w:tr w:rsidR="00C6482B" w14:paraId="3EEFB318" w14:textId="77777777" w:rsidTr="00C04881">
        <w:tc>
          <w:tcPr>
            <w:tcW w:w="2096" w:type="dxa"/>
          </w:tcPr>
          <w:p w14:paraId="32C9672D" w14:textId="0CB668B4" w:rsidR="00C6482B" w:rsidRDefault="00C6482B" w:rsidP="004858DE">
            <w:pPr>
              <w:rPr>
                <w:rFonts w:eastAsia="Malgun Gothic"/>
              </w:rPr>
            </w:pPr>
            <w:r>
              <w:rPr>
                <w:rFonts w:eastAsia="Malgun Gothic"/>
              </w:rPr>
              <w:t>MediaTek</w:t>
            </w:r>
          </w:p>
        </w:tc>
        <w:tc>
          <w:tcPr>
            <w:tcW w:w="1884" w:type="dxa"/>
          </w:tcPr>
          <w:p w14:paraId="73880223" w14:textId="4CDB71B8" w:rsidR="00C6482B" w:rsidRDefault="00C6482B" w:rsidP="004858DE">
            <w:pPr>
              <w:rPr>
                <w:rFonts w:eastAsia="Malgun Gothic"/>
              </w:rPr>
            </w:pPr>
            <w:r>
              <w:rPr>
                <w:rFonts w:eastAsia="Malgun Gothic"/>
              </w:rPr>
              <w:t>Agree</w:t>
            </w:r>
          </w:p>
        </w:tc>
        <w:tc>
          <w:tcPr>
            <w:tcW w:w="5536" w:type="dxa"/>
          </w:tcPr>
          <w:p w14:paraId="43C6DBEC" w14:textId="77777777" w:rsidR="00C6482B" w:rsidRDefault="00C6482B" w:rsidP="004858DE"/>
        </w:tc>
      </w:tr>
      <w:tr w:rsidR="00FF73CB" w14:paraId="5D38C46D" w14:textId="77777777" w:rsidTr="00C04881">
        <w:tc>
          <w:tcPr>
            <w:tcW w:w="2096" w:type="dxa"/>
          </w:tcPr>
          <w:p w14:paraId="7FB51737" w14:textId="349B811C" w:rsidR="00FF73CB" w:rsidRPr="00FF73CB" w:rsidRDefault="00FF73CB" w:rsidP="004858DE">
            <w:pPr>
              <w:rPr>
                <w:rFonts w:eastAsia="Yu Mincho"/>
              </w:rPr>
            </w:pPr>
            <w:r>
              <w:rPr>
                <w:rFonts w:eastAsia="Yu Mincho" w:hint="eastAsia"/>
              </w:rPr>
              <w:t>NEC</w:t>
            </w:r>
          </w:p>
        </w:tc>
        <w:tc>
          <w:tcPr>
            <w:tcW w:w="1884" w:type="dxa"/>
          </w:tcPr>
          <w:p w14:paraId="614882A1" w14:textId="6A9F3924" w:rsidR="00FF73CB" w:rsidRPr="00FF73CB" w:rsidRDefault="00FF73CB" w:rsidP="004858DE">
            <w:pPr>
              <w:rPr>
                <w:rFonts w:eastAsia="Yu Mincho"/>
              </w:rPr>
            </w:pPr>
            <w:r>
              <w:rPr>
                <w:rFonts w:eastAsia="Yu Mincho" w:hint="eastAsia"/>
              </w:rPr>
              <w:t>Agree</w:t>
            </w:r>
          </w:p>
        </w:tc>
        <w:tc>
          <w:tcPr>
            <w:tcW w:w="5536" w:type="dxa"/>
          </w:tcPr>
          <w:p w14:paraId="35C838D3" w14:textId="77777777" w:rsidR="00FF73CB" w:rsidRDefault="00FF73CB" w:rsidP="004858DE"/>
        </w:tc>
      </w:tr>
      <w:tr w:rsidR="001874D4" w14:paraId="53748972" w14:textId="77777777" w:rsidTr="00C04881">
        <w:tc>
          <w:tcPr>
            <w:tcW w:w="2096" w:type="dxa"/>
          </w:tcPr>
          <w:p w14:paraId="1216364D" w14:textId="4525175D" w:rsidR="001874D4" w:rsidRDefault="001874D4" w:rsidP="001874D4">
            <w:pPr>
              <w:rPr>
                <w:rFonts w:eastAsia="Yu Mincho"/>
              </w:rPr>
            </w:pPr>
            <w:r>
              <w:t>Qualcomm</w:t>
            </w:r>
          </w:p>
        </w:tc>
        <w:tc>
          <w:tcPr>
            <w:tcW w:w="1884" w:type="dxa"/>
          </w:tcPr>
          <w:p w14:paraId="792DE0D7" w14:textId="3AFE33E9" w:rsidR="001874D4" w:rsidRDefault="001874D4" w:rsidP="001874D4">
            <w:pPr>
              <w:rPr>
                <w:rFonts w:eastAsia="Yu Mincho"/>
              </w:rPr>
            </w:pPr>
            <w:r>
              <w:t>Agree</w:t>
            </w:r>
          </w:p>
        </w:tc>
        <w:tc>
          <w:tcPr>
            <w:tcW w:w="5536" w:type="dxa"/>
          </w:tcPr>
          <w:p w14:paraId="70179323" w14:textId="451A456A" w:rsidR="001874D4" w:rsidRDefault="001874D4" w:rsidP="001874D4">
            <w:r>
              <w:t xml:space="preserve">It is straight forward to extend previous agreement to support NE-DC. </w:t>
            </w:r>
          </w:p>
        </w:tc>
      </w:tr>
      <w:tr w:rsidR="00645443" w14:paraId="0D45B84A" w14:textId="77777777" w:rsidTr="00C04881">
        <w:tc>
          <w:tcPr>
            <w:tcW w:w="2096" w:type="dxa"/>
          </w:tcPr>
          <w:p w14:paraId="1761EE58" w14:textId="089D14AC" w:rsidR="00645443" w:rsidRDefault="00645443" w:rsidP="00645443">
            <w:r>
              <w:rPr>
                <w:rFonts w:hint="eastAsia"/>
              </w:rPr>
              <w:t>Spreadtrum</w:t>
            </w:r>
          </w:p>
        </w:tc>
        <w:tc>
          <w:tcPr>
            <w:tcW w:w="1884" w:type="dxa"/>
          </w:tcPr>
          <w:p w14:paraId="23017180" w14:textId="0D2ECA8D" w:rsidR="00645443" w:rsidRDefault="00645443" w:rsidP="00645443">
            <w:r>
              <w:rPr>
                <w:rFonts w:hint="eastAsia"/>
              </w:rPr>
              <w:t>Agree</w:t>
            </w:r>
          </w:p>
        </w:tc>
        <w:tc>
          <w:tcPr>
            <w:tcW w:w="5536" w:type="dxa"/>
          </w:tcPr>
          <w:p w14:paraId="096BF293" w14:textId="77777777" w:rsidR="00645443" w:rsidRDefault="00645443" w:rsidP="00645443"/>
        </w:tc>
      </w:tr>
      <w:tr w:rsidR="008572C2" w14:paraId="3A744CA4" w14:textId="77777777" w:rsidTr="00C04881">
        <w:tc>
          <w:tcPr>
            <w:tcW w:w="2096" w:type="dxa"/>
          </w:tcPr>
          <w:p w14:paraId="6831F81B" w14:textId="09C6F965" w:rsidR="008572C2" w:rsidRDefault="008572C2" w:rsidP="00645443">
            <w:r>
              <w:rPr>
                <w:rFonts w:hint="eastAsia"/>
              </w:rPr>
              <w:t>H</w:t>
            </w:r>
            <w:r>
              <w:t>uawei</w:t>
            </w:r>
          </w:p>
        </w:tc>
        <w:tc>
          <w:tcPr>
            <w:tcW w:w="1884" w:type="dxa"/>
          </w:tcPr>
          <w:p w14:paraId="60080B0F" w14:textId="6E82B944" w:rsidR="008572C2" w:rsidRDefault="008572C2" w:rsidP="00645443">
            <w:r>
              <w:rPr>
                <w:rFonts w:hint="eastAsia"/>
              </w:rPr>
              <w:t>A</w:t>
            </w:r>
            <w:r>
              <w:t>gree</w:t>
            </w:r>
          </w:p>
        </w:tc>
        <w:tc>
          <w:tcPr>
            <w:tcW w:w="5536" w:type="dxa"/>
          </w:tcPr>
          <w:p w14:paraId="2F9D23D4" w14:textId="77777777" w:rsidR="008572C2" w:rsidRDefault="008572C2" w:rsidP="00645443"/>
        </w:tc>
      </w:tr>
      <w:tr w:rsidR="00443108" w14:paraId="3FFFD889" w14:textId="77777777" w:rsidTr="00C04881">
        <w:tc>
          <w:tcPr>
            <w:tcW w:w="2096" w:type="dxa"/>
          </w:tcPr>
          <w:p w14:paraId="0BA4562C" w14:textId="77777777" w:rsidR="00443108" w:rsidRDefault="00443108" w:rsidP="00963E69">
            <w:pPr>
              <w:rPr>
                <w:rFonts w:eastAsia="Malgun Gothic"/>
              </w:rPr>
            </w:pPr>
            <w:r>
              <w:rPr>
                <w:rFonts w:eastAsia="Malgun Gothic"/>
              </w:rPr>
              <w:t>Apple</w:t>
            </w:r>
          </w:p>
        </w:tc>
        <w:tc>
          <w:tcPr>
            <w:tcW w:w="1884" w:type="dxa"/>
          </w:tcPr>
          <w:p w14:paraId="3A8A8557" w14:textId="77777777" w:rsidR="00443108" w:rsidRDefault="00443108" w:rsidP="00963E69">
            <w:pPr>
              <w:rPr>
                <w:rFonts w:eastAsia="Malgun Gothic"/>
              </w:rPr>
            </w:pPr>
            <w:r>
              <w:rPr>
                <w:rFonts w:eastAsia="Malgun Gothic"/>
              </w:rPr>
              <w:t>Agree</w:t>
            </w:r>
          </w:p>
        </w:tc>
        <w:tc>
          <w:tcPr>
            <w:tcW w:w="5536" w:type="dxa"/>
          </w:tcPr>
          <w:p w14:paraId="6F2A2CA6" w14:textId="77777777" w:rsidR="00443108" w:rsidRDefault="00443108" w:rsidP="00963E69"/>
        </w:tc>
      </w:tr>
      <w:tr w:rsidR="00F212E4" w14:paraId="48AF6436" w14:textId="77777777" w:rsidTr="00C04881">
        <w:tc>
          <w:tcPr>
            <w:tcW w:w="2096" w:type="dxa"/>
          </w:tcPr>
          <w:p w14:paraId="3575A57A" w14:textId="1FEDD1BF" w:rsidR="00F212E4" w:rsidRDefault="00F212E4" w:rsidP="00F212E4">
            <w:r>
              <w:rPr>
                <w:rFonts w:hint="eastAsia"/>
              </w:rPr>
              <w:t>vivo</w:t>
            </w:r>
          </w:p>
        </w:tc>
        <w:tc>
          <w:tcPr>
            <w:tcW w:w="1884" w:type="dxa"/>
          </w:tcPr>
          <w:p w14:paraId="7D5A0E5C" w14:textId="01943D3E" w:rsidR="00F212E4" w:rsidRDefault="00F212E4" w:rsidP="00F212E4">
            <w:r>
              <w:rPr>
                <w:rFonts w:hint="eastAsia"/>
              </w:rPr>
              <w:t>Agree</w:t>
            </w:r>
          </w:p>
        </w:tc>
        <w:tc>
          <w:tcPr>
            <w:tcW w:w="5536" w:type="dxa"/>
          </w:tcPr>
          <w:p w14:paraId="2EFE377C" w14:textId="77777777" w:rsidR="00F212E4" w:rsidRDefault="00F212E4" w:rsidP="00F212E4">
            <w:pPr>
              <w:rPr>
                <w:rFonts w:ascii="Times New Roman" w:hAnsi="Times New Roman" w:cs="Times New Roman"/>
                <w:sz w:val="20"/>
                <w:szCs w:val="20"/>
              </w:rPr>
            </w:pPr>
            <w:r>
              <w:rPr>
                <w:rFonts w:ascii="Times New Roman" w:hAnsi="Times New Roman" w:cs="Times New Roman"/>
                <w:sz w:val="20"/>
                <w:szCs w:val="20"/>
              </w:rPr>
              <w:t xml:space="preserve">As </w:t>
            </w:r>
            <w:r>
              <w:rPr>
                <w:rFonts w:ascii="Times New Roman" w:eastAsia="Times New Roman" w:hAnsi="Times New Roman" w:cs="Times New Roman"/>
                <w:i/>
                <w:sz w:val="20"/>
                <w:szCs w:val="20"/>
                <w:lang w:bidi="ar"/>
              </w:rPr>
              <w:t>reconfigurationWithSync</w:t>
            </w:r>
            <w:r>
              <w:rPr>
                <w:rFonts w:ascii="Times New Roman" w:hAnsi="Times New Roman" w:cs="Times New Roman"/>
                <w:sz w:val="20"/>
                <w:szCs w:val="20"/>
              </w:rPr>
              <w:t xml:space="preserve"> only presents in NR spec, the original agreement can only be applicable to </w:t>
            </w:r>
            <w:r>
              <w:rPr>
                <w:rFonts w:ascii="Times New Roman" w:hAnsi="Times New Roman" w:cs="Times New Roman" w:hint="eastAsia"/>
                <w:sz w:val="20"/>
                <w:szCs w:val="20"/>
              </w:rPr>
              <w:t xml:space="preserve">MR-DC cases </w:t>
            </w:r>
            <w:r>
              <w:rPr>
                <w:rFonts w:ascii="Times New Roman" w:hAnsi="Times New Roman" w:cs="Times New Roman"/>
                <w:sz w:val="20"/>
                <w:szCs w:val="20"/>
              </w:rPr>
              <w:t xml:space="preserve">which </w:t>
            </w:r>
            <w:r>
              <w:rPr>
                <w:rFonts w:ascii="Times New Roman" w:hAnsi="Times New Roman" w:cs="Times New Roman" w:hint="eastAsia"/>
                <w:sz w:val="20"/>
                <w:szCs w:val="20"/>
              </w:rPr>
              <w:t xml:space="preserve">involve </w:t>
            </w:r>
            <w:r>
              <w:rPr>
                <w:rFonts w:ascii="Times New Roman" w:hAnsi="Times New Roman" w:cs="Times New Roman"/>
                <w:sz w:val="20"/>
                <w:szCs w:val="20"/>
              </w:rPr>
              <w:t>NR SCG.</w:t>
            </w:r>
          </w:p>
          <w:p w14:paraId="02E5E5D9" w14:textId="69A36038" w:rsidR="00F212E4" w:rsidRDefault="00F212E4" w:rsidP="00F212E4">
            <w:r>
              <w:rPr>
                <w:rFonts w:ascii="Times New Roman" w:hAnsi="Times New Roman" w:cs="Times New Roman"/>
                <w:sz w:val="20"/>
                <w:szCs w:val="20"/>
              </w:rPr>
              <w:t>F</w:t>
            </w:r>
            <w:r>
              <w:rPr>
                <w:rFonts w:ascii="Times New Roman" w:eastAsia="宋体" w:hAnsi="Times New Roman" w:cs="Times New Roman" w:hint="eastAsia"/>
                <w:sz w:val="20"/>
                <w:szCs w:val="20"/>
                <w:lang w:bidi="ar"/>
              </w:rPr>
              <w:t>or NE-DC case that refers to LTE SCG, according to LTE spec t</w:t>
            </w:r>
            <w:r>
              <w:rPr>
                <w:rFonts w:ascii="Times New Roman" w:eastAsia="Times New Roman" w:hAnsi="Times New Roman" w:cs="Times New Roman"/>
                <w:sz w:val="20"/>
                <w:szCs w:val="20"/>
                <w:lang w:bidi="ar"/>
              </w:rPr>
              <w:t xml:space="preserve">he UE performs the SCG change related actions upon receiving an </w:t>
            </w:r>
            <w:r>
              <w:rPr>
                <w:rFonts w:ascii="Times New Roman" w:eastAsia="Times New Roman" w:hAnsi="Times New Roman" w:cs="Times New Roman"/>
                <w:i/>
                <w:sz w:val="20"/>
                <w:szCs w:val="20"/>
                <w:lang w:bidi="ar"/>
              </w:rPr>
              <w:t>RRCConnectionReconfiguration</w:t>
            </w:r>
            <w:r>
              <w:rPr>
                <w:rFonts w:ascii="Times New Roman" w:eastAsia="Times New Roman" w:hAnsi="Times New Roman" w:cs="Times New Roman"/>
                <w:sz w:val="20"/>
                <w:szCs w:val="20"/>
                <w:lang w:bidi="ar"/>
              </w:rPr>
              <w:t xml:space="preserve"> message including </w:t>
            </w:r>
            <w:r>
              <w:rPr>
                <w:rFonts w:ascii="Times New Roman" w:eastAsia="Times New Roman" w:hAnsi="Times New Roman" w:cs="Times New Roman"/>
                <w:i/>
                <w:sz w:val="20"/>
                <w:szCs w:val="20"/>
                <w:lang w:bidi="ar"/>
              </w:rPr>
              <w:t>mobilityControlInfoSCG</w:t>
            </w:r>
            <w:r>
              <w:rPr>
                <w:rFonts w:ascii="Times New Roman" w:eastAsia="宋体" w:hAnsi="Times New Roman" w:cs="Times New Roman" w:hint="eastAsia"/>
                <w:i/>
                <w:sz w:val="20"/>
                <w:szCs w:val="20"/>
                <w:lang w:bidi="ar"/>
              </w:rPr>
              <w:t xml:space="preserve">. </w:t>
            </w:r>
            <w:r>
              <w:rPr>
                <w:rFonts w:ascii="Times New Roman" w:eastAsia="宋体" w:hAnsi="Times New Roman" w:cs="Times New Roman" w:hint="eastAsia"/>
                <w:iCs/>
                <w:sz w:val="20"/>
                <w:szCs w:val="20"/>
                <w:lang w:bidi="ar"/>
              </w:rPr>
              <w:t>Thus, the updated text makes the agreement more correct.</w:t>
            </w:r>
          </w:p>
        </w:tc>
      </w:tr>
      <w:tr w:rsidR="00C04881" w14:paraId="05269823" w14:textId="77777777" w:rsidTr="00C04881">
        <w:tc>
          <w:tcPr>
            <w:tcW w:w="2096" w:type="dxa"/>
          </w:tcPr>
          <w:p w14:paraId="4B9DB0D2" w14:textId="77777777" w:rsidR="00C04881" w:rsidRDefault="00C04881" w:rsidP="00963E69">
            <w:r>
              <w:t>Samsung</w:t>
            </w:r>
          </w:p>
        </w:tc>
        <w:tc>
          <w:tcPr>
            <w:tcW w:w="1884" w:type="dxa"/>
          </w:tcPr>
          <w:p w14:paraId="7B955262" w14:textId="77777777" w:rsidR="00C04881" w:rsidRDefault="00C04881" w:rsidP="00963E69">
            <w:r>
              <w:t>Agree</w:t>
            </w:r>
          </w:p>
        </w:tc>
        <w:tc>
          <w:tcPr>
            <w:tcW w:w="5536" w:type="dxa"/>
          </w:tcPr>
          <w:p w14:paraId="2A868199" w14:textId="77777777" w:rsidR="00C04881" w:rsidRDefault="00C04881" w:rsidP="00963E69"/>
        </w:tc>
      </w:tr>
      <w:tr w:rsidR="00963E69" w14:paraId="76B05B01" w14:textId="77777777" w:rsidTr="00C04881">
        <w:tc>
          <w:tcPr>
            <w:tcW w:w="2096" w:type="dxa"/>
          </w:tcPr>
          <w:p w14:paraId="4509F981" w14:textId="05CF04BB" w:rsidR="00963E69" w:rsidRDefault="00963E69" w:rsidP="00963E69">
            <w:r>
              <w:t>ZTE</w:t>
            </w:r>
          </w:p>
        </w:tc>
        <w:tc>
          <w:tcPr>
            <w:tcW w:w="1884" w:type="dxa"/>
          </w:tcPr>
          <w:p w14:paraId="2AB59205" w14:textId="07113E38" w:rsidR="00963E69" w:rsidRDefault="00963E69" w:rsidP="00963E69">
            <w:r>
              <w:t>Agree</w:t>
            </w:r>
          </w:p>
        </w:tc>
        <w:tc>
          <w:tcPr>
            <w:tcW w:w="5536" w:type="dxa"/>
          </w:tcPr>
          <w:p w14:paraId="12AFA096" w14:textId="77777777" w:rsidR="00963E69" w:rsidRDefault="00963E69" w:rsidP="00963E69"/>
        </w:tc>
      </w:tr>
    </w:tbl>
    <w:p w14:paraId="47282AC6" w14:textId="77777777" w:rsidR="004D53BC" w:rsidRDefault="004D53BC" w:rsidP="006B4E9D">
      <w:pPr>
        <w:pStyle w:val="a8"/>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af7"/>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lastRenderedPageBreak/>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94"/>
        <w:gridCol w:w="1884"/>
        <w:gridCol w:w="5538"/>
      </w:tblGrid>
      <w:tr w:rsidR="00FC4DF4" w:rsidRPr="006B4E9D" w14:paraId="20D3CB01" w14:textId="77777777" w:rsidTr="00C04881">
        <w:tc>
          <w:tcPr>
            <w:tcW w:w="2094" w:type="dxa"/>
            <w:shd w:val="clear" w:color="auto" w:fill="BFBFBF" w:themeFill="background1" w:themeFillShade="BF"/>
          </w:tcPr>
          <w:p w14:paraId="43424048" w14:textId="77777777" w:rsidR="00FC4DF4" w:rsidRDefault="00FC4DF4" w:rsidP="00062BA1">
            <w:pPr>
              <w:pStyle w:val="a8"/>
            </w:pPr>
            <w:r>
              <w:t>Company</w:t>
            </w:r>
          </w:p>
        </w:tc>
        <w:tc>
          <w:tcPr>
            <w:tcW w:w="1884" w:type="dxa"/>
            <w:shd w:val="clear" w:color="auto" w:fill="BFBFBF" w:themeFill="background1" w:themeFillShade="BF"/>
          </w:tcPr>
          <w:p w14:paraId="5FA8D23C" w14:textId="77777777" w:rsidR="00FC4DF4" w:rsidRDefault="00FC4DF4" w:rsidP="00062BA1">
            <w:pPr>
              <w:pStyle w:val="a8"/>
            </w:pPr>
            <w:r>
              <w:t>Agree/Disagree</w:t>
            </w:r>
          </w:p>
        </w:tc>
        <w:tc>
          <w:tcPr>
            <w:tcW w:w="5538" w:type="dxa"/>
            <w:shd w:val="clear" w:color="auto" w:fill="BFBFBF" w:themeFill="background1" w:themeFillShade="BF"/>
          </w:tcPr>
          <w:p w14:paraId="6A963DF5" w14:textId="77777777" w:rsidR="00FC4DF4" w:rsidRPr="006B4E9D" w:rsidRDefault="00FC4DF4" w:rsidP="00062BA1">
            <w:pPr>
              <w:pStyle w:val="a8"/>
            </w:pPr>
            <w:r w:rsidRPr="006B4E9D">
              <w:t>Comments</w:t>
            </w:r>
          </w:p>
        </w:tc>
      </w:tr>
      <w:tr w:rsidR="00FC4DF4" w14:paraId="71DB575B" w14:textId="77777777" w:rsidTr="00C04881">
        <w:tc>
          <w:tcPr>
            <w:tcW w:w="2094" w:type="dxa"/>
          </w:tcPr>
          <w:p w14:paraId="781FA786" w14:textId="15E8A0C2" w:rsidR="00FC4DF4" w:rsidRDefault="002726FD" w:rsidP="00062BA1">
            <w:r>
              <w:rPr>
                <w:rFonts w:hint="eastAsia"/>
              </w:rPr>
              <w:t>O</w:t>
            </w:r>
            <w:r>
              <w:t>PPO</w:t>
            </w:r>
          </w:p>
        </w:tc>
        <w:tc>
          <w:tcPr>
            <w:tcW w:w="1884" w:type="dxa"/>
          </w:tcPr>
          <w:p w14:paraId="716AA86D" w14:textId="10B28783" w:rsidR="00FC4DF4" w:rsidRDefault="002726FD" w:rsidP="00062BA1">
            <w:r>
              <w:t xml:space="preserve">Agree </w:t>
            </w:r>
          </w:p>
        </w:tc>
        <w:tc>
          <w:tcPr>
            <w:tcW w:w="5538"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C04881">
        <w:tc>
          <w:tcPr>
            <w:tcW w:w="2094" w:type="dxa"/>
          </w:tcPr>
          <w:p w14:paraId="06B32F34" w14:textId="079DA09D" w:rsidR="004858DE" w:rsidRDefault="004858DE" w:rsidP="004858DE">
            <w:r>
              <w:t>Nokia</w:t>
            </w:r>
          </w:p>
        </w:tc>
        <w:tc>
          <w:tcPr>
            <w:tcW w:w="1884" w:type="dxa"/>
          </w:tcPr>
          <w:p w14:paraId="23269C28" w14:textId="45275424" w:rsidR="004858DE" w:rsidRDefault="004858DE" w:rsidP="004858DE">
            <w:r>
              <w:t>Disagree</w:t>
            </w:r>
          </w:p>
        </w:tc>
        <w:tc>
          <w:tcPr>
            <w:tcW w:w="5538"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C04881">
        <w:tc>
          <w:tcPr>
            <w:tcW w:w="2094" w:type="dxa"/>
          </w:tcPr>
          <w:p w14:paraId="3AE69FA3" w14:textId="51AF7124" w:rsidR="004858DE" w:rsidRPr="00B543D9" w:rsidRDefault="00B543D9" w:rsidP="004858DE">
            <w:pPr>
              <w:rPr>
                <w:rFonts w:eastAsia="Malgun Gothic"/>
              </w:rPr>
            </w:pPr>
            <w:r>
              <w:rPr>
                <w:rFonts w:eastAsia="Malgun Gothic" w:hint="eastAsia"/>
              </w:rPr>
              <w:t>LG</w:t>
            </w:r>
          </w:p>
        </w:tc>
        <w:tc>
          <w:tcPr>
            <w:tcW w:w="1884" w:type="dxa"/>
          </w:tcPr>
          <w:p w14:paraId="3C86F393" w14:textId="529461DF" w:rsidR="004858DE" w:rsidRPr="00B543D9" w:rsidRDefault="00B543D9" w:rsidP="004858DE">
            <w:pPr>
              <w:rPr>
                <w:rFonts w:eastAsia="Malgun Gothic"/>
              </w:rPr>
            </w:pPr>
            <w:r>
              <w:rPr>
                <w:rFonts w:eastAsia="Malgun Gothic" w:hint="eastAsia"/>
              </w:rPr>
              <w:t>Agree</w:t>
            </w:r>
          </w:p>
        </w:tc>
        <w:tc>
          <w:tcPr>
            <w:tcW w:w="5538"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C04881">
        <w:tc>
          <w:tcPr>
            <w:tcW w:w="2094" w:type="dxa"/>
          </w:tcPr>
          <w:p w14:paraId="3B22B620" w14:textId="27D56323" w:rsidR="007E6423" w:rsidRDefault="007E6423" w:rsidP="004858DE">
            <w:pPr>
              <w:rPr>
                <w:rFonts w:eastAsia="Malgun Gothic"/>
              </w:rPr>
            </w:pPr>
            <w:r>
              <w:rPr>
                <w:rFonts w:eastAsia="Malgun Gothic"/>
              </w:rPr>
              <w:t>Interdigital</w:t>
            </w:r>
          </w:p>
        </w:tc>
        <w:tc>
          <w:tcPr>
            <w:tcW w:w="1884" w:type="dxa"/>
          </w:tcPr>
          <w:p w14:paraId="3DB1AAAA" w14:textId="194DD65B" w:rsidR="007E6423" w:rsidRDefault="007E6423" w:rsidP="004858DE">
            <w:pPr>
              <w:rPr>
                <w:rFonts w:eastAsia="Malgun Gothic"/>
              </w:rPr>
            </w:pPr>
            <w:r>
              <w:rPr>
                <w:rFonts w:eastAsia="Malgun Gothic"/>
              </w:rPr>
              <w:t>Agree</w:t>
            </w:r>
          </w:p>
        </w:tc>
        <w:tc>
          <w:tcPr>
            <w:tcW w:w="5538"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C04881">
        <w:tc>
          <w:tcPr>
            <w:tcW w:w="2094" w:type="dxa"/>
          </w:tcPr>
          <w:p w14:paraId="66E5CC12" w14:textId="619102BA" w:rsidR="00BF2F2F" w:rsidRDefault="00BF2F2F" w:rsidP="004858DE">
            <w:pPr>
              <w:rPr>
                <w:rFonts w:eastAsia="Malgun Gothic"/>
              </w:rPr>
            </w:pPr>
            <w:r>
              <w:rPr>
                <w:rFonts w:eastAsia="Malgun Gothic"/>
              </w:rPr>
              <w:t>Ericsson</w:t>
            </w:r>
          </w:p>
        </w:tc>
        <w:tc>
          <w:tcPr>
            <w:tcW w:w="1884" w:type="dxa"/>
          </w:tcPr>
          <w:p w14:paraId="18D2B5DE" w14:textId="2E67EB4F" w:rsidR="00BF2F2F" w:rsidRDefault="00BF2F2F" w:rsidP="004858DE">
            <w:pPr>
              <w:rPr>
                <w:rFonts w:eastAsia="Malgun Gothic"/>
              </w:rPr>
            </w:pPr>
            <w:r>
              <w:rPr>
                <w:rFonts w:eastAsia="Malgun Gothic"/>
              </w:rPr>
              <w:t>Agree</w:t>
            </w:r>
          </w:p>
        </w:tc>
        <w:tc>
          <w:tcPr>
            <w:tcW w:w="5538" w:type="dxa"/>
          </w:tcPr>
          <w:p w14:paraId="7AD9B337" w14:textId="186A0074" w:rsidR="00A32686" w:rsidRDefault="00BF2F2F" w:rsidP="00AE3134">
            <w:pPr>
              <w:rPr>
                <w:rFonts w:eastAsia="Malgun Gothic"/>
              </w:rPr>
            </w:pPr>
            <w:r>
              <w:rPr>
                <w:rFonts w:eastAsia="Malgun Gothic"/>
              </w:rPr>
              <w:t>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P</w:t>
            </w:r>
            <w:r w:rsidR="008572C2">
              <w:rPr>
                <w:rFonts w:eastAsia="Malgun Gothic"/>
              </w:rPr>
              <w:t>s</w:t>
            </w:r>
            <w:r>
              <w:rPr>
                <w:rFonts w:eastAsia="Malgun Gothic"/>
              </w:rPr>
              <w:t xml:space="preserve">cell.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w:t>
            </w:r>
            <w:r w:rsidR="00A32686">
              <w:rPr>
                <w:rFonts w:eastAsia="Malgun Gothic"/>
              </w:rPr>
              <w:lastRenderedPageBreak/>
              <w:t xml:space="preserve">later releases. </w:t>
            </w:r>
            <w:r>
              <w:rPr>
                <w:rFonts w:eastAsia="Malgun Gothic"/>
              </w:rPr>
              <w:t xml:space="preserve"> </w:t>
            </w:r>
          </w:p>
        </w:tc>
      </w:tr>
      <w:tr w:rsidR="00C6482B" w14:paraId="7BB8309B" w14:textId="77777777" w:rsidTr="00C04881">
        <w:tc>
          <w:tcPr>
            <w:tcW w:w="2094" w:type="dxa"/>
          </w:tcPr>
          <w:p w14:paraId="6FE0B471" w14:textId="642D9AA0" w:rsidR="00C6482B" w:rsidRDefault="00C6482B" w:rsidP="004858DE">
            <w:pPr>
              <w:rPr>
                <w:rFonts w:eastAsia="Malgun Gothic"/>
              </w:rPr>
            </w:pPr>
            <w:r>
              <w:rPr>
                <w:rFonts w:eastAsia="Malgun Gothic"/>
              </w:rPr>
              <w:lastRenderedPageBreak/>
              <w:t>MediaTek</w:t>
            </w:r>
          </w:p>
        </w:tc>
        <w:tc>
          <w:tcPr>
            <w:tcW w:w="1884" w:type="dxa"/>
          </w:tcPr>
          <w:p w14:paraId="1A773489" w14:textId="4491D0C1" w:rsidR="00C6482B" w:rsidRDefault="00C6482B" w:rsidP="004858DE">
            <w:pPr>
              <w:rPr>
                <w:rFonts w:eastAsia="Malgun Gothic"/>
              </w:rPr>
            </w:pPr>
            <w:r>
              <w:rPr>
                <w:rFonts w:eastAsia="Malgun Gothic"/>
              </w:rPr>
              <w:t>Disagree</w:t>
            </w:r>
          </w:p>
        </w:tc>
        <w:tc>
          <w:tcPr>
            <w:tcW w:w="5538" w:type="dxa"/>
          </w:tcPr>
          <w:p w14:paraId="6A272B62" w14:textId="6FB22A37" w:rsidR="00C6482B" w:rsidRDefault="00C6482B" w:rsidP="00C6482B">
            <w:pPr>
              <w:rPr>
                <w:rFonts w:eastAsia="Malgun Gothic"/>
              </w:rPr>
            </w:pPr>
            <w:r>
              <w:rPr>
                <w:rFonts w:eastAsia="Malgun Gothic"/>
              </w:rPr>
              <w:t>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PSCell based on IDLE mode measurement result. We prefer not to have this in Rel-16.</w:t>
            </w:r>
          </w:p>
        </w:tc>
      </w:tr>
      <w:tr w:rsidR="009F3BA9" w14:paraId="0AE652E3" w14:textId="77777777" w:rsidTr="00C04881">
        <w:tc>
          <w:tcPr>
            <w:tcW w:w="2094" w:type="dxa"/>
          </w:tcPr>
          <w:p w14:paraId="2C5156BE" w14:textId="07C944BA" w:rsidR="009F3BA9" w:rsidRPr="009F3BA9" w:rsidRDefault="009F3BA9" w:rsidP="004858DE">
            <w:pPr>
              <w:rPr>
                <w:rFonts w:eastAsia="Yu Mincho"/>
              </w:rPr>
            </w:pPr>
            <w:r>
              <w:rPr>
                <w:rFonts w:eastAsia="Yu Mincho" w:hint="eastAsia"/>
              </w:rPr>
              <w:t>NEC</w:t>
            </w:r>
          </w:p>
        </w:tc>
        <w:tc>
          <w:tcPr>
            <w:tcW w:w="1884"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38"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P</w:t>
            </w:r>
            <w:r>
              <w:rPr>
                <w:rFonts w:eastAsia="Yu Mincho" w:hint="eastAsia"/>
              </w:rPr>
              <w:t xml:space="preserve">SCell is restored. </w:t>
            </w:r>
            <w:r w:rsidR="008572C2">
              <w:rPr>
                <w:rFonts w:eastAsia="Yu Mincho"/>
              </w:rPr>
              <w:t>B</w:t>
            </w:r>
            <w:r>
              <w:rPr>
                <w:rFonts w:eastAsia="Yu Mincho"/>
              </w:rPr>
              <w:t xml:space="preserve">ut </w:t>
            </w:r>
            <w:r w:rsidR="00AF696C">
              <w:rPr>
                <w:rFonts w:eastAsia="Yu Mincho"/>
              </w:rPr>
              <w:t xml:space="preserve">if a problematic case is foreen, </w:t>
            </w:r>
            <w:r>
              <w:rPr>
                <w:rFonts w:eastAsia="Yu Mincho"/>
              </w:rPr>
              <w:t>we prefer to have it rather than nothing. So, it is acceptable to us.</w:t>
            </w:r>
          </w:p>
        </w:tc>
      </w:tr>
      <w:tr w:rsidR="009E419B" w14:paraId="05CBB268" w14:textId="77777777" w:rsidTr="00C04881">
        <w:tc>
          <w:tcPr>
            <w:tcW w:w="2094" w:type="dxa"/>
          </w:tcPr>
          <w:p w14:paraId="513B9243" w14:textId="7557FA90" w:rsidR="009E419B" w:rsidRDefault="009E419B" w:rsidP="009E419B">
            <w:pPr>
              <w:rPr>
                <w:rFonts w:eastAsia="Yu Mincho"/>
              </w:rPr>
            </w:pPr>
            <w:r>
              <w:rPr>
                <w:rFonts w:eastAsia="Malgun Gothic"/>
              </w:rPr>
              <w:t>Qualcomm</w:t>
            </w:r>
          </w:p>
        </w:tc>
        <w:tc>
          <w:tcPr>
            <w:tcW w:w="1884" w:type="dxa"/>
          </w:tcPr>
          <w:p w14:paraId="7566FC56" w14:textId="4B344DF0" w:rsidR="009E419B" w:rsidRDefault="009E419B" w:rsidP="009E419B">
            <w:pPr>
              <w:rPr>
                <w:rFonts w:eastAsia="Yu Mincho"/>
              </w:rPr>
            </w:pPr>
            <w:r>
              <w:rPr>
                <w:rFonts w:eastAsia="Malgun Gothic"/>
              </w:rPr>
              <w:t>Disagree</w:t>
            </w:r>
          </w:p>
        </w:tc>
        <w:tc>
          <w:tcPr>
            <w:tcW w:w="5538"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C04881">
        <w:tc>
          <w:tcPr>
            <w:tcW w:w="2094" w:type="dxa"/>
          </w:tcPr>
          <w:p w14:paraId="5BD01D95" w14:textId="1A9AD441" w:rsidR="00797E31" w:rsidRDefault="00797E31" w:rsidP="00797E31">
            <w:pPr>
              <w:rPr>
                <w:rFonts w:eastAsia="Malgun Gothic"/>
              </w:rPr>
            </w:pPr>
            <w:r>
              <w:rPr>
                <w:rFonts w:hint="eastAsia"/>
              </w:rPr>
              <w:t>Spreadtrum</w:t>
            </w:r>
          </w:p>
        </w:tc>
        <w:tc>
          <w:tcPr>
            <w:tcW w:w="1884" w:type="dxa"/>
          </w:tcPr>
          <w:p w14:paraId="5A0BC4FA" w14:textId="40CD7DA2" w:rsidR="00797E31" w:rsidRDefault="00797E31" w:rsidP="00797E31">
            <w:pPr>
              <w:rPr>
                <w:rFonts w:eastAsia="Malgun Gothic"/>
              </w:rPr>
            </w:pPr>
            <w:r>
              <w:rPr>
                <w:rFonts w:hint="eastAsia"/>
              </w:rPr>
              <w:t>Disagree</w:t>
            </w:r>
          </w:p>
        </w:tc>
        <w:tc>
          <w:tcPr>
            <w:tcW w:w="5538" w:type="dxa"/>
          </w:tcPr>
          <w:p w14:paraId="26597649" w14:textId="5267F8FA" w:rsidR="00797E31" w:rsidRDefault="00797E31" w:rsidP="00797E31">
            <w:r>
              <w:rPr>
                <w:rFonts w:hint="eastAsia"/>
              </w:rPr>
              <w:t>The UE shall</w:t>
            </w:r>
            <w:r>
              <w:t xml:space="preserve"> resume the P</w:t>
            </w:r>
            <w:r w:rsidR="008572C2">
              <w:t>s</w:t>
            </w:r>
            <w:r>
              <w:t>cell’s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C04881">
        <w:tc>
          <w:tcPr>
            <w:tcW w:w="2094" w:type="dxa"/>
          </w:tcPr>
          <w:p w14:paraId="2E4F5602" w14:textId="770E3B64" w:rsidR="008572C2" w:rsidRDefault="008572C2" w:rsidP="00797E31">
            <w:r>
              <w:rPr>
                <w:rFonts w:hint="eastAsia"/>
              </w:rPr>
              <w:t>H</w:t>
            </w:r>
            <w:r>
              <w:t>uawei</w:t>
            </w:r>
          </w:p>
        </w:tc>
        <w:tc>
          <w:tcPr>
            <w:tcW w:w="1884" w:type="dxa"/>
          </w:tcPr>
          <w:p w14:paraId="34A36564" w14:textId="7458BCEA" w:rsidR="008572C2" w:rsidRDefault="008572C2" w:rsidP="00797E31">
            <w:r>
              <w:rPr>
                <w:rFonts w:hint="eastAsia"/>
              </w:rPr>
              <w:t>D</w:t>
            </w:r>
            <w:r>
              <w:t>isagree</w:t>
            </w:r>
          </w:p>
        </w:tc>
        <w:tc>
          <w:tcPr>
            <w:tcW w:w="5538" w:type="dxa"/>
          </w:tcPr>
          <w:p w14:paraId="7B757EEC" w14:textId="375302E2" w:rsidR="008572C2" w:rsidRDefault="008572C2" w:rsidP="00356E61">
            <w:r>
              <w:rPr>
                <w:rFonts w:hint="eastAsia"/>
              </w:rPr>
              <w:t>S</w:t>
            </w:r>
            <w:r>
              <w:t xml:space="preserve">ame view as Nokia, MTK, Qualcomm and Spreadtrum. The benefit is questionable to support this, and it definitely will consume much time to discuss. We do not think at this </w:t>
            </w:r>
            <w:r w:rsidR="00356E61">
              <w:t>stage</w:t>
            </w:r>
            <w:r>
              <w:t xml:space="preserve">, it is realistic to discuss this kind of new feature. </w:t>
            </w:r>
          </w:p>
        </w:tc>
      </w:tr>
      <w:tr w:rsidR="00E23839" w14:paraId="0510F2D0" w14:textId="77777777" w:rsidTr="00C04881">
        <w:tc>
          <w:tcPr>
            <w:tcW w:w="2094" w:type="dxa"/>
          </w:tcPr>
          <w:p w14:paraId="245A4BEF" w14:textId="77777777" w:rsidR="00E23839" w:rsidRDefault="00E23839" w:rsidP="00963E69">
            <w:pPr>
              <w:rPr>
                <w:rFonts w:eastAsia="Malgun Gothic"/>
              </w:rPr>
            </w:pPr>
            <w:r>
              <w:rPr>
                <w:rFonts w:eastAsia="Malgun Gothic"/>
              </w:rPr>
              <w:t>Apple</w:t>
            </w:r>
          </w:p>
        </w:tc>
        <w:tc>
          <w:tcPr>
            <w:tcW w:w="1884" w:type="dxa"/>
          </w:tcPr>
          <w:p w14:paraId="371FD2BC" w14:textId="77777777" w:rsidR="00E23839" w:rsidRDefault="00E23839" w:rsidP="00963E69">
            <w:pPr>
              <w:rPr>
                <w:rFonts w:eastAsia="Malgun Gothic"/>
              </w:rPr>
            </w:pPr>
            <w:r>
              <w:rPr>
                <w:rFonts w:eastAsia="Malgun Gothic"/>
              </w:rPr>
              <w:t>Disagree</w:t>
            </w:r>
          </w:p>
        </w:tc>
        <w:tc>
          <w:tcPr>
            <w:tcW w:w="5538" w:type="dxa"/>
          </w:tcPr>
          <w:p w14:paraId="5AE45801" w14:textId="50A6E4A0" w:rsidR="00E23839" w:rsidRDefault="008C6639" w:rsidP="00963E69">
            <w:pPr>
              <w:rPr>
                <w:rFonts w:eastAsia="Malgun Gothic"/>
              </w:rPr>
            </w:pPr>
            <w:r>
              <w:rPr>
                <w:rFonts w:eastAsia="Malgun Gothic"/>
              </w:rPr>
              <w:t xml:space="preserve">Same view as Nokia, MTK, </w:t>
            </w:r>
            <w:r>
              <w:t>Qualcomm</w:t>
            </w:r>
            <w:r>
              <w:rPr>
                <w:rFonts w:eastAsia="Malgun Gothic"/>
              </w:rPr>
              <w:t>, Spreadtrum and Huawei</w:t>
            </w:r>
            <w:r w:rsidR="00A46D87">
              <w:rPr>
                <w:rFonts w:eastAsia="Malgun Gothic"/>
              </w:rPr>
              <w:t xml:space="preserve">. </w:t>
            </w:r>
            <w:r w:rsidR="00C2021B">
              <w:rPr>
                <w:rFonts w:eastAsia="Malgun Gothic"/>
              </w:rPr>
              <w:t>There is no consensus on this solution in RAN2, i</w:t>
            </w:r>
            <w:r w:rsidR="00A46D87">
              <w:rPr>
                <w:rFonts w:eastAsia="Malgun Gothic"/>
              </w:rPr>
              <w:t>t’s better to have</w:t>
            </w:r>
            <w:r w:rsidR="0017108E">
              <w:rPr>
                <w:rFonts w:eastAsia="Malgun Gothic"/>
              </w:rPr>
              <w:t xml:space="preserve"> the</w:t>
            </w:r>
            <w:r w:rsidR="00A46D87">
              <w:rPr>
                <w:rFonts w:eastAsia="Malgun Gothic"/>
              </w:rPr>
              <w:t xml:space="preserve"> further discussion in later release. </w:t>
            </w:r>
          </w:p>
        </w:tc>
      </w:tr>
      <w:tr w:rsidR="001B2F69" w14:paraId="1EA75A33" w14:textId="77777777" w:rsidTr="00C04881">
        <w:tc>
          <w:tcPr>
            <w:tcW w:w="2094" w:type="dxa"/>
          </w:tcPr>
          <w:p w14:paraId="2ACF6760" w14:textId="5B24D4EA" w:rsidR="001B2F69" w:rsidRDefault="001B2F69" w:rsidP="001B2F69">
            <w:r>
              <w:rPr>
                <w:rFonts w:hint="eastAsia"/>
              </w:rPr>
              <w:t>vivo</w:t>
            </w:r>
          </w:p>
        </w:tc>
        <w:tc>
          <w:tcPr>
            <w:tcW w:w="1884" w:type="dxa"/>
          </w:tcPr>
          <w:p w14:paraId="71BD90B5" w14:textId="77777777" w:rsidR="001B2F69" w:rsidRDefault="001B2F69" w:rsidP="001B2F69"/>
        </w:tc>
        <w:tc>
          <w:tcPr>
            <w:tcW w:w="5538" w:type="dxa"/>
          </w:tcPr>
          <w:p w14:paraId="106570DC" w14:textId="2F08ECE6" w:rsidR="001B2F69" w:rsidRDefault="001B2F69" w:rsidP="001B2F69">
            <w:r>
              <w:rPr>
                <w:rFonts w:hint="eastAsia"/>
              </w:rPr>
              <w:t>We agree with the motivation to ultilize UE Idle/Inactive measurement results for Validity check of stored SCG. Moreover, t</w:t>
            </w:r>
            <w:r>
              <w:rPr>
                <w:rFonts w:hint="eastAsia"/>
                <w:szCs w:val="20"/>
              </w:rPr>
              <w:t>he Validity check may also be applied to stored MCG SCell(s). Since there are many details to be discussed and the limited time for R16, we tend to leave the Validity check of stored SCG/MCG SCell(s) topic to R17 scope.</w:t>
            </w:r>
          </w:p>
        </w:tc>
      </w:tr>
      <w:tr w:rsidR="00C04881" w14:paraId="681C1580" w14:textId="77777777" w:rsidTr="00C04881">
        <w:tc>
          <w:tcPr>
            <w:tcW w:w="2094" w:type="dxa"/>
          </w:tcPr>
          <w:p w14:paraId="4EC6A055" w14:textId="77777777" w:rsidR="00C04881" w:rsidRDefault="00C04881" w:rsidP="00963E69">
            <w:r>
              <w:t>Samsung</w:t>
            </w:r>
          </w:p>
        </w:tc>
        <w:tc>
          <w:tcPr>
            <w:tcW w:w="1884" w:type="dxa"/>
          </w:tcPr>
          <w:p w14:paraId="3501BD76" w14:textId="77777777" w:rsidR="00C04881" w:rsidRDefault="00C04881" w:rsidP="00963E69">
            <w:r>
              <w:t>Disagree</w:t>
            </w:r>
          </w:p>
        </w:tc>
        <w:tc>
          <w:tcPr>
            <w:tcW w:w="5538" w:type="dxa"/>
          </w:tcPr>
          <w:p w14:paraId="1ECE36E1" w14:textId="77777777" w:rsidR="00C04881" w:rsidRDefault="00C04881" w:rsidP="00963E69">
            <w:r>
              <w:t>Similar view as expressed by Nokia i.e. we should rather provide proper support to reconfigure SCG based on early measurements. Anyhow, for R16 we should not discuss any such enhancements anymore</w:t>
            </w:r>
          </w:p>
        </w:tc>
      </w:tr>
      <w:tr w:rsidR="00963E69" w14:paraId="21DBD953" w14:textId="77777777" w:rsidTr="00C04881">
        <w:tc>
          <w:tcPr>
            <w:tcW w:w="2094" w:type="dxa"/>
          </w:tcPr>
          <w:p w14:paraId="68E9BAA3" w14:textId="04143784" w:rsidR="00963E69" w:rsidRDefault="00963E69" w:rsidP="00963E69">
            <w:r>
              <w:t>ZTE</w:t>
            </w:r>
          </w:p>
        </w:tc>
        <w:tc>
          <w:tcPr>
            <w:tcW w:w="1884" w:type="dxa"/>
          </w:tcPr>
          <w:p w14:paraId="69A9DE39" w14:textId="597AAB55" w:rsidR="00963E69" w:rsidRDefault="00963E69" w:rsidP="00963E69">
            <w:r>
              <w:t>Disagree</w:t>
            </w:r>
          </w:p>
        </w:tc>
        <w:tc>
          <w:tcPr>
            <w:tcW w:w="5538" w:type="dxa"/>
          </w:tcPr>
          <w:p w14:paraId="34BF16D6" w14:textId="547D4080" w:rsidR="00963E69" w:rsidRDefault="00963E69" w:rsidP="00963E69">
            <w:r>
              <w:t xml:space="preserve">This has been discussed for a long time and there is no consensus in RAN2, we prefer to focus on more critical </w:t>
            </w:r>
            <w:r>
              <w:lastRenderedPageBreak/>
              <w:t xml:space="preserve">issues in Rel-16, and postpone this topic to next release. </w:t>
            </w:r>
          </w:p>
        </w:tc>
      </w:tr>
    </w:tbl>
    <w:p w14:paraId="2000FCDD" w14:textId="77777777" w:rsidR="00FC4DF4" w:rsidRDefault="00FC4DF4" w:rsidP="006B4E9D">
      <w:pPr>
        <w:pStyle w:val="a8"/>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af"/>
          </w:rPr>
          <w:t>R2-2003243</w:t>
        </w:r>
      </w:hyperlink>
      <w:r w:rsidRPr="00FC4DF4">
        <w:rPr>
          <w:rStyle w:val="af"/>
          <w:color w:val="000000" w:themeColor="text1"/>
          <w:u w:val="none"/>
        </w:rPr>
        <w:t xml:space="preserve">, </w:t>
      </w:r>
      <w:hyperlink r:id="rId15" w:history="1">
        <w:r>
          <w:rPr>
            <w:rStyle w:val="af"/>
          </w:rPr>
          <w:t>R2-2003242</w:t>
        </w:r>
      </w:hyperlink>
      <w:r>
        <w:rPr>
          <w:rStyle w:val="af"/>
          <w:color w:val="000000" w:themeColor="text1"/>
          <w:u w:val="none"/>
        </w:rPr>
        <w:t xml:space="preserve">, </w:t>
      </w:r>
      <w:hyperlink r:id="rId16" w:history="1">
        <w:r>
          <w:rPr>
            <w:rStyle w:val="af"/>
          </w:rPr>
          <w:t>R2-2003241</w:t>
        </w:r>
      </w:hyperlink>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22"/>
        <w:gridCol w:w="1842"/>
        <w:gridCol w:w="5665"/>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a8"/>
            </w:pPr>
            <w:r>
              <w:t>Company</w:t>
            </w:r>
          </w:p>
        </w:tc>
        <w:tc>
          <w:tcPr>
            <w:tcW w:w="1842" w:type="dxa"/>
            <w:shd w:val="clear" w:color="auto" w:fill="BFBFBF" w:themeFill="background1" w:themeFillShade="BF"/>
          </w:tcPr>
          <w:p w14:paraId="5905B33E" w14:textId="77777777" w:rsidR="00FC4DF4" w:rsidRDefault="00FC4DF4" w:rsidP="00062BA1">
            <w:pPr>
              <w:pStyle w:val="a8"/>
            </w:pPr>
            <w:r>
              <w:t>Agree/Disagree</w:t>
            </w:r>
          </w:p>
        </w:tc>
        <w:tc>
          <w:tcPr>
            <w:tcW w:w="5665" w:type="dxa"/>
            <w:shd w:val="clear" w:color="auto" w:fill="BFBFBF" w:themeFill="background1" w:themeFillShade="BF"/>
          </w:tcPr>
          <w:p w14:paraId="4ABA3241" w14:textId="77777777" w:rsidR="00FC4DF4" w:rsidRPr="006B4E9D" w:rsidRDefault="00FC4DF4" w:rsidP="00062BA1">
            <w:pPr>
              <w:pStyle w:val="a8"/>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maybe </w:t>
            </w:r>
            <w:r>
              <w:rPr>
                <w:rFonts w:eastAsia="Yu Mincho"/>
              </w:rPr>
              <w:t xml:space="preserve">better to add some </w:t>
            </w:r>
            <w:r w:rsidR="00497ACE">
              <w:rPr>
                <w:rFonts w:eastAsia="Yu Mincho"/>
              </w:rPr>
              <w:t>text</w:t>
            </w:r>
            <w:r>
              <w:rPr>
                <w:rFonts w:eastAsia="Yu Mincho"/>
              </w:rPr>
              <w:t xml:space="preserve"> to the field description of storedSCG-ConfigurationMaintained</w:t>
            </w:r>
            <w:r w:rsidR="00497ACE">
              <w:rPr>
                <w:rFonts w:eastAsia="Yu Mincho"/>
              </w:rPr>
              <w:t xml:space="preserve"> to clarify that this can be present only if </w:t>
            </w:r>
            <w:r w:rsidR="00497ACE" w:rsidRPr="00497ACE">
              <w:rPr>
                <w:rFonts w:eastAsia="Yu Mincho"/>
              </w:rPr>
              <w:t>scg-ResumeThreshold</w:t>
            </w:r>
            <w:r w:rsidR="00497ACE">
              <w:rPr>
                <w:rFonts w:eastAsia="Yu Mincho"/>
              </w:rPr>
              <w:t xml:space="preserve"> is received in RRC Resume message.</w:t>
            </w:r>
          </w:p>
        </w:tc>
      </w:tr>
    </w:tbl>
    <w:p w14:paraId="6AFDB6D5" w14:textId="77777777" w:rsidR="004D53BC" w:rsidRDefault="004D53BC" w:rsidP="006B4E9D">
      <w:pPr>
        <w:pStyle w:val="a8"/>
      </w:pPr>
    </w:p>
    <w:p w14:paraId="42B07D2F" w14:textId="402FB48D" w:rsidR="006B4E9D" w:rsidRPr="005F15AE" w:rsidRDefault="0015212B" w:rsidP="00FC4DF4">
      <w:pPr>
        <w:pStyle w:val="20"/>
        <w:ind w:hanging="720"/>
      </w:pPr>
      <w:r>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lastRenderedPageBreak/>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r w:rsidRPr="00DE15C5">
        <w:rPr>
          <w:rFonts w:cstheme="minorHAnsi"/>
          <w:b/>
          <w:i/>
          <w:color w:val="000000" w:themeColor="text1"/>
        </w:rPr>
        <w:t>RRCConnectionResume</w:t>
      </w:r>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afa"/>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a8"/>
            </w:pPr>
            <w:r>
              <w:t>Company</w:t>
            </w:r>
          </w:p>
        </w:tc>
        <w:tc>
          <w:tcPr>
            <w:tcW w:w="1326" w:type="dxa"/>
            <w:shd w:val="clear" w:color="auto" w:fill="BFBFBF" w:themeFill="background1" w:themeFillShade="BF"/>
          </w:tcPr>
          <w:p w14:paraId="5A3DE13A" w14:textId="67C2B8BA" w:rsidR="006B4E9D" w:rsidRDefault="00DE15C5" w:rsidP="00DE15C5">
            <w:pPr>
              <w:pStyle w:val="a8"/>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af"/>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af"/>
                </w:rPr>
                <w:t>http://www.3gpp.org/ftp/TSG_RAN/WG2_RL2/TSGR2_108/Docs/R2-1915281.zip</w:t>
              </w:r>
            </w:hyperlink>
            <w:r w:rsidR="00C95CD8">
              <w:t xml:space="preserve">) as in email discussion 107bis_44, it was pointed out that agreements in RAN2 for the inclusion of Scells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 xml:space="preserve">It is questionable for us whether there is real use case to have this SCG/SCell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 xml:space="preserve">No strong </w:t>
            </w:r>
            <w:r>
              <w:lastRenderedPageBreak/>
              <w:t>view</w:t>
            </w:r>
          </w:p>
        </w:tc>
        <w:tc>
          <w:tcPr>
            <w:tcW w:w="6710" w:type="dxa"/>
          </w:tcPr>
          <w:p w14:paraId="54AD76BA" w14:textId="77777777" w:rsidR="002F5A13" w:rsidRDefault="0059780E" w:rsidP="0059780E">
            <w:pPr>
              <w:rPr>
                <w:szCs w:val="20"/>
              </w:rPr>
            </w:pPr>
            <w:r>
              <w:lastRenderedPageBreak/>
              <w:t xml:space="preserve">Although LTE IDLE with </w:t>
            </w:r>
            <w:r>
              <w:rPr>
                <w:szCs w:val="20"/>
              </w:rPr>
              <w:t xml:space="preserve">suspended seems not an important feature to </w:t>
            </w:r>
            <w:r>
              <w:rPr>
                <w:szCs w:val="20"/>
              </w:rPr>
              <w:lastRenderedPageBreak/>
              <w:t xml:space="preserve">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r>
              <w:rPr>
                <w:rFonts w:hint="eastAsia"/>
              </w:rPr>
              <w:lastRenderedPageBreak/>
              <w:t>Spreadtrum</w:t>
            </w:r>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r>
              <w:rPr>
                <w:rFonts w:hint="eastAsia"/>
              </w:rPr>
              <w:t>H</w:t>
            </w:r>
            <w:r>
              <w:t>uawei</w:t>
            </w:r>
          </w:p>
        </w:tc>
        <w:tc>
          <w:tcPr>
            <w:tcW w:w="1326" w:type="dxa"/>
          </w:tcPr>
          <w:p w14:paraId="06E172DA" w14:textId="64D58A2C" w:rsidR="00356E61" w:rsidRDefault="00356E61" w:rsidP="00620087">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r w:rsidR="005F479D" w14:paraId="1351EB01" w14:textId="77777777" w:rsidTr="0059780E">
        <w:tc>
          <w:tcPr>
            <w:tcW w:w="1593" w:type="dxa"/>
          </w:tcPr>
          <w:p w14:paraId="09F0A18D" w14:textId="48B1305F" w:rsidR="005F479D" w:rsidRDefault="005F479D" w:rsidP="00620087">
            <w:r>
              <w:t>Apple</w:t>
            </w:r>
          </w:p>
        </w:tc>
        <w:tc>
          <w:tcPr>
            <w:tcW w:w="1326" w:type="dxa"/>
          </w:tcPr>
          <w:p w14:paraId="6F724196" w14:textId="0C03B611" w:rsidR="005F479D" w:rsidRDefault="00771FA7" w:rsidP="00620087">
            <w:r>
              <w:t>No</w:t>
            </w:r>
          </w:p>
        </w:tc>
        <w:tc>
          <w:tcPr>
            <w:tcW w:w="6710" w:type="dxa"/>
          </w:tcPr>
          <w:p w14:paraId="0D4B0D82" w14:textId="77777777" w:rsidR="005F479D" w:rsidRDefault="005F479D" w:rsidP="00356E61"/>
        </w:tc>
      </w:tr>
      <w:tr w:rsidR="001B2F69" w14:paraId="5BFFFABF" w14:textId="77777777" w:rsidTr="0059780E">
        <w:tc>
          <w:tcPr>
            <w:tcW w:w="1593" w:type="dxa"/>
          </w:tcPr>
          <w:p w14:paraId="0CACDFCB" w14:textId="4119D279" w:rsidR="001B2F69" w:rsidRDefault="001B2F69" w:rsidP="001B2F69">
            <w:r>
              <w:rPr>
                <w:rFonts w:hint="eastAsia"/>
              </w:rPr>
              <w:t>vivo</w:t>
            </w:r>
          </w:p>
        </w:tc>
        <w:tc>
          <w:tcPr>
            <w:tcW w:w="1326" w:type="dxa"/>
          </w:tcPr>
          <w:p w14:paraId="5F123554" w14:textId="16AC48CC" w:rsidR="001B2F69" w:rsidRDefault="001B2F69" w:rsidP="001B2F69">
            <w:r>
              <w:rPr>
                <w:rFonts w:hint="eastAsia"/>
              </w:rPr>
              <w:t>Yes</w:t>
            </w:r>
          </w:p>
        </w:tc>
        <w:tc>
          <w:tcPr>
            <w:tcW w:w="6710" w:type="dxa"/>
          </w:tcPr>
          <w:p w14:paraId="5894B566" w14:textId="6A716F9B" w:rsidR="001B2F69" w:rsidRDefault="001B2F69" w:rsidP="001B2F69">
            <w:r>
              <w:rPr>
                <w:rFonts w:hint="eastAsia"/>
              </w:rPr>
              <w:t>It should be supported in all MR-DC cases including EN-DC.</w:t>
            </w:r>
          </w:p>
        </w:tc>
      </w:tr>
      <w:tr w:rsidR="00C04881" w14:paraId="0B9FAF63" w14:textId="77777777" w:rsidTr="0059780E">
        <w:tc>
          <w:tcPr>
            <w:tcW w:w="1593" w:type="dxa"/>
          </w:tcPr>
          <w:p w14:paraId="1056EE1E" w14:textId="08180EBC" w:rsidR="00C04881" w:rsidRDefault="00C04881" w:rsidP="001B2F69">
            <w:r>
              <w:t>Samsung</w:t>
            </w:r>
          </w:p>
        </w:tc>
        <w:tc>
          <w:tcPr>
            <w:tcW w:w="1326" w:type="dxa"/>
          </w:tcPr>
          <w:p w14:paraId="71F9BD93" w14:textId="1DF9E464" w:rsidR="00C04881" w:rsidRDefault="00C04881" w:rsidP="001B2F69">
            <w:r>
              <w:t>No</w:t>
            </w:r>
          </w:p>
        </w:tc>
        <w:tc>
          <w:tcPr>
            <w:tcW w:w="6710" w:type="dxa"/>
          </w:tcPr>
          <w:p w14:paraId="14EAB7F3" w14:textId="320C24F6" w:rsidR="00C04881" w:rsidRDefault="00C04881" w:rsidP="00C04881">
            <w:r>
              <w:t>This does not seem critical so we prefer not to add at this late stage. It seems fine to consider this for R17.</w:t>
            </w:r>
          </w:p>
        </w:tc>
      </w:tr>
      <w:tr w:rsidR="00963E69" w14:paraId="219A1B1B" w14:textId="77777777" w:rsidTr="0059780E">
        <w:tc>
          <w:tcPr>
            <w:tcW w:w="1593" w:type="dxa"/>
          </w:tcPr>
          <w:p w14:paraId="7371635C" w14:textId="7984C078" w:rsidR="00963E69" w:rsidRDefault="00963E69" w:rsidP="001B2F69">
            <w:r>
              <w:t>ZTE</w:t>
            </w:r>
          </w:p>
        </w:tc>
        <w:tc>
          <w:tcPr>
            <w:tcW w:w="1326" w:type="dxa"/>
          </w:tcPr>
          <w:p w14:paraId="5FFDC425" w14:textId="479326FF" w:rsidR="00963E69" w:rsidRDefault="00963E69" w:rsidP="001B2F69">
            <w:r>
              <w:t>Yes</w:t>
            </w:r>
          </w:p>
        </w:tc>
        <w:tc>
          <w:tcPr>
            <w:tcW w:w="6710" w:type="dxa"/>
          </w:tcPr>
          <w:p w14:paraId="255AA5DF" w14:textId="14D1CFD3" w:rsidR="00963E69" w:rsidRDefault="00963E69" w:rsidP="003C6A21">
            <w:r>
              <w:t>We think EN-DC is the most important deployment among MR-DC, and RRC</w:t>
            </w:r>
            <w:r w:rsidR="003C6A21">
              <w:t>Connection</w:t>
            </w:r>
            <w:r>
              <w:t>Resume with restore/s</w:t>
            </w:r>
            <w:r w:rsidR="003C6A21">
              <w:t xml:space="preserve">etup SCG is an important </w:t>
            </w:r>
            <w:r>
              <w:t xml:space="preserve">feature of fast SCG setup. </w:t>
            </w:r>
            <w:r w:rsidR="003C6A21">
              <w:t xml:space="preserve">So we prefer to support this in Rel-16. </w:t>
            </w:r>
            <w:bookmarkStart w:id="4" w:name="_GoBack"/>
            <w:bookmarkEnd w:id="4"/>
          </w:p>
        </w:tc>
      </w:tr>
    </w:tbl>
    <w:p w14:paraId="68516066" w14:textId="23ECEA6B" w:rsidR="006B4E9D" w:rsidRDefault="006B4E9D"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t xml:space="preserve">4 </w:t>
      </w:r>
      <w:r w:rsidR="00F507D1" w:rsidRPr="00CE0424">
        <w:t>References</w:t>
      </w:r>
    </w:p>
    <w:p w14:paraId="4F723282" w14:textId="77777777" w:rsidR="00154492" w:rsidRDefault="00963E69" w:rsidP="00154492">
      <w:pPr>
        <w:pStyle w:val="Doc-title"/>
        <w:numPr>
          <w:ilvl w:val="0"/>
          <w:numId w:val="25"/>
        </w:numPr>
        <w:spacing w:before="0"/>
      </w:pPr>
      <w:hyperlink r:id="rId19" w:history="1">
        <w:r w:rsidR="00154492">
          <w:rPr>
            <w:rStyle w:val="af"/>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963E69" w:rsidP="00154492">
      <w:pPr>
        <w:pStyle w:val="Doc-title"/>
        <w:numPr>
          <w:ilvl w:val="0"/>
          <w:numId w:val="25"/>
        </w:numPr>
        <w:spacing w:before="0"/>
      </w:pPr>
      <w:hyperlink r:id="rId20" w:history="1">
        <w:r w:rsidR="00154492">
          <w:rPr>
            <w:rStyle w:val="af"/>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963E69" w:rsidP="00154492">
      <w:pPr>
        <w:pStyle w:val="Doc-title"/>
        <w:numPr>
          <w:ilvl w:val="0"/>
          <w:numId w:val="25"/>
        </w:numPr>
        <w:spacing w:before="0"/>
      </w:pPr>
      <w:hyperlink r:id="rId21" w:history="1">
        <w:r w:rsidR="00154492">
          <w:rPr>
            <w:rStyle w:val="af"/>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963E69" w:rsidP="00154492">
      <w:pPr>
        <w:pStyle w:val="Doc-title"/>
        <w:numPr>
          <w:ilvl w:val="0"/>
          <w:numId w:val="25"/>
        </w:numPr>
        <w:spacing w:before="0"/>
      </w:pPr>
      <w:hyperlink r:id="rId22" w:history="1">
        <w:r w:rsidR="00154492">
          <w:rPr>
            <w:rStyle w:val="af"/>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963E69" w:rsidP="00154492">
      <w:pPr>
        <w:pStyle w:val="Doc-title"/>
        <w:numPr>
          <w:ilvl w:val="0"/>
          <w:numId w:val="25"/>
        </w:numPr>
        <w:spacing w:before="0"/>
      </w:pPr>
      <w:hyperlink r:id="rId23" w:history="1">
        <w:r w:rsidR="00154492">
          <w:rPr>
            <w:rStyle w:val="af"/>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963E69" w:rsidP="00154492">
      <w:pPr>
        <w:pStyle w:val="Doc-title"/>
        <w:numPr>
          <w:ilvl w:val="0"/>
          <w:numId w:val="25"/>
        </w:numPr>
        <w:spacing w:before="0"/>
      </w:pPr>
      <w:hyperlink r:id="rId24" w:history="1">
        <w:r w:rsidR="00154492">
          <w:rPr>
            <w:rStyle w:val="af"/>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963E69" w:rsidP="00154492">
      <w:pPr>
        <w:pStyle w:val="Doc-title"/>
        <w:numPr>
          <w:ilvl w:val="0"/>
          <w:numId w:val="25"/>
        </w:numPr>
        <w:spacing w:before="0"/>
      </w:pPr>
      <w:hyperlink r:id="rId25" w:history="1">
        <w:r w:rsidR="00154492">
          <w:rPr>
            <w:rStyle w:val="af"/>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8"/>
      </w:pPr>
    </w:p>
    <w:sectPr w:rsidR="003A7EF3" w:rsidRPr="00CE0424" w:rsidSect="00C473A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8AAC9" w14:textId="77777777" w:rsidR="002B30DA" w:rsidRDefault="002B30DA">
      <w:r>
        <w:separator/>
      </w:r>
    </w:p>
  </w:endnote>
  <w:endnote w:type="continuationSeparator" w:id="0">
    <w:p w14:paraId="63407FEB" w14:textId="77777777" w:rsidR="002B30DA" w:rsidRDefault="002B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0422" w14:textId="77777777" w:rsidR="00963E69" w:rsidRDefault="00963E6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78BEE3C" w:rsidR="00963E69" w:rsidRDefault="00963E6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C6A21">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C6A21">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A3E6E" w14:textId="77777777" w:rsidR="00963E69" w:rsidRDefault="00963E6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ABFB" w14:textId="77777777" w:rsidR="002B30DA" w:rsidRDefault="002B30DA">
      <w:r>
        <w:separator/>
      </w:r>
    </w:p>
  </w:footnote>
  <w:footnote w:type="continuationSeparator" w:id="0">
    <w:p w14:paraId="3F4DD68E" w14:textId="77777777" w:rsidR="002B30DA" w:rsidRDefault="002B3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963E69" w:rsidRDefault="00963E6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319A" w14:textId="77777777" w:rsidR="00963E69" w:rsidRDefault="00963E6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A62ED" w14:textId="77777777" w:rsidR="00963E69" w:rsidRDefault="00963E6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39F"/>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3B53"/>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108E"/>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0DA"/>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BD7"/>
    <w:rsid w:val="00346DB5"/>
    <w:rsid w:val="003477B1"/>
    <w:rsid w:val="00356E61"/>
    <w:rsid w:val="00357380"/>
    <w:rsid w:val="003602D9"/>
    <w:rsid w:val="003604CE"/>
    <w:rsid w:val="00367827"/>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6A21"/>
    <w:rsid w:val="003C7806"/>
    <w:rsid w:val="003D109F"/>
    <w:rsid w:val="003D2478"/>
    <w:rsid w:val="003D3C45"/>
    <w:rsid w:val="003D5B1F"/>
    <w:rsid w:val="003D68B2"/>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344"/>
    <w:rsid w:val="00413AAC"/>
    <w:rsid w:val="00413E92"/>
    <w:rsid w:val="00421105"/>
    <w:rsid w:val="00422AA4"/>
    <w:rsid w:val="004242F4"/>
    <w:rsid w:val="00427248"/>
    <w:rsid w:val="004325F1"/>
    <w:rsid w:val="00437447"/>
    <w:rsid w:val="00441A92"/>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373B"/>
    <w:rsid w:val="005F479D"/>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CF"/>
    <w:rsid w:val="00747D8B"/>
    <w:rsid w:val="00751228"/>
    <w:rsid w:val="007571E1"/>
    <w:rsid w:val="00757A16"/>
    <w:rsid w:val="007604B2"/>
    <w:rsid w:val="00765281"/>
    <w:rsid w:val="00766BAD"/>
    <w:rsid w:val="00771FA7"/>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1E3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1472"/>
    <w:rsid w:val="008F1EAB"/>
    <w:rsid w:val="008F33DC"/>
    <w:rsid w:val="008F477F"/>
    <w:rsid w:val="008F5B2A"/>
    <w:rsid w:val="00901F2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3E69"/>
    <w:rsid w:val="0096430A"/>
    <w:rsid w:val="0096554B"/>
    <w:rsid w:val="0096584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5C4"/>
    <w:rsid w:val="00AC2ECD"/>
    <w:rsid w:val="00AC3119"/>
    <w:rsid w:val="00AC49FB"/>
    <w:rsid w:val="00AC5A10"/>
    <w:rsid w:val="00AC6A92"/>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33BA"/>
    <w:rsid w:val="00BA56D2"/>
    <w:rsid w:val="00BA76E0"/>
    <w:rsid w:val="00BB2A25"/>
    <w:rsid w:val="00BB2C6F"/>
    <w:rsid w:val="00BB3152"/>
    <w:rsid w:val="00BB51E9"/>
    <w:rsid w:val="00BC0FCE"/>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472D"/>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6857"/>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073E0CC-5104-43D0-919C-3F9E11C9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63E69"/>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Char"/>
    <w:qFormat/>
    <w:rsid w:val="008D00A5"/>
    <w:pPr>
      <w:numPr>
        <w:numId w:val="26"/>
      </w:numPr>
      <w:pBdr>
        <w:top w:val="none" w:sz="0" w:space="0" w:color="auto"/>
      </w:pBdr>
      <w:spacing w:before="180"/>
      <w:outlineLvl w:val="1"/>
    </w:pPr>
    <w:rPr>
      <w:sz w:val="32"/>
    </w:rPr>
  </w:style>
  <w:style w:type="paragraph" w:styleId="31">
    <w:name w:val="heading 3"/>
    <w:basedOn w:val="20"/>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963E6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63E69"/>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99"/>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24"/>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2840F01-7F58-4A6C-B786-A85EC0AF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2853</Words>
  <Characters>16267</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19082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ZTE-LiuJing</cp:lastModifiedBy>
  <cp:revision>3</cp:revision>
  <cp:lastPrinted>2008-01-31T07:09:00Z</cp:lastPrinted>
  <dcterms:created xsi:type="dcterms:W3CDTF">2020-04-23T13:45:00Z</dcterms:created>
  <dcterms:modified xsi:type="dcterms:W3CDTF">2020-04-23T13:31:00Z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