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C5EBE" w14:textId="03D3AEA1" w:rsidR="001D07A5" w:rsidRDefault="001D07A5" w:rsidP="001D07A5">
      <w:pPr>
        <w:pStyle w:val="Header"/>
        <w:tabs>
          <w:tab w:val="right" w:pos="9639"/>
        </w:tabs>
        <w:rPr>
          <w:rFonts w:cs="Times New Roman"/>
          <w:sz w:val="24"/>
          <w:szCs w:val="20"/>
          <w:lang w:val="en-GB"/>
        </w:rPr>
      </w:pPr>
      <w:r>
        <w:rPr>
          <w:sz w:val="24"/>
          <w:lang w:val="en-GB"/>
        </w:rPr>
        <w:t>3GPP TSG-RAN WG2 Meeting #108</w:t>
      </w:r>
      <w:r>
        <w:rPr>
          <w:sz w:val="24"/>
          <w:lang w:val="en-GB"/>
        </w:rPr>
        <w:tab/>
        <w:t xml:space="preserve"> </w:t>
      </w:r>
      <w:bookmarkStart w:id="0" w:name="_GoBack"/>
      <w:r w:rsidRPr="001D07A5">
        <w:rPr>
          <w:sz w:val="24"/>
          <w:lang w:val="en-GB"/>
        </w:rPr>
        <w:t>R2-1914850</w:t>
      </w:r>
      <w:bookmarkEnd w:id="0"/>
    </w:p>
    <w:p w14:paraId="371B7711" w14:textId="3C94621F" w:rsidR="001D07A5" w:rsidRDefault="001D07A5" w:rsidP="001D07A5">
      <w:pPr>
        <w:pStyle w:val="Header"/>
        <w:tabs>
          <w:tab w:val="right" w:pos="9639"/>
        </w:tabs>
        <w:rPr>
          <w:sz w:val="24"/>
          <w:lang w:val="en-GB"/>
        </w:rPr>
      </w:pPr>
      <w:r>
        <w:rPr>
          <w:sz w:val="24"/>
          <w:lang w:val="en-GB"/>
        </w:rPr>
        <w:t>Reno, US, 18 November – 22 November 2019</w:t>
      </w:r>
      <w:r>
        <w:rPr>
          <w:sz w:val="24"/>
          <w:lang w:val="en-GB"/>
        </w:rPr>
        <w:tab/>
      </w:r>
    </w:p>
    <w:p w14:paraId="33B38B10" w14:textId="77777777" w:rsidR="001D07A5" w:rsidRDefault="001D07A5" w:rsidP="001D07A5">
      <w:pPr>
        <w:pStyle w:val="Header"/>
        <w:tabs>
          <w:tab w:val="right" w:pos="9639"/>
        </w:tabs>
        <w:rPr>
          <w:i/>
          <w:noProof w:val="0"/>
          <w:sz w:val="24"/>
          <w:lang w:eastAsia="en-US"/>
        </w:rPr>
      </w:pPr>
      <w:r>
        <w:rPr>
          <w:noProof w:val="0"/>
          <w:sz w:val="24"/>
        </w:rPr>
        <w:tab/>
      </w:r>
    </w:p>
    <w:p w14:paraId="2BC242AE" w14:textId="09EFD602" w:rsidR="001D07A5" w:rsidRDefault="001D07A5" w:rsidP="001D07A5">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eastAsia="SimSun" w:cs="Arial"/>
          <w:b/>
          <w:bCs/>
          <w:sz w:val="24"/>
          <w:lang w:val="en-US"/>
        </w:rPr>
        <w:t>6.4.2</w:t>
      </w:r>
    </w:p>
    <w:p w14:paraId="6B89B46B" w14:textId="77777777" w:rsidR="001D07A5" w:rsidRDefault="001D07A5" w:rsidP="001D07A5">
      <w:pPr>
        <w:pStyle w:val="CRCoverPage"/>
        <w:rPr>
          <w:rFonts w:cs="Arial"/>
          <w:b/>
          <w:bCs/>
          <w:sz w:val="24"/>
          <w:lang w:eastAsia="zh-CN"/>
        </w:rPr>
      </w:pPr>
      <w:r>
        <w:rPr>
          <w:rFonts w:cs="Arial"/>
          <w:b/>
          <w:bCs/>
          <w:sz w:val="24"/>
        </w:rPr>
        <w:t>Source:</w:t>
      </w:r>
      <w:r>
        <w:rPr>
          <w:rFonts w:cs="Arial"/>
          <w:b/>
          <w:bCs/>
          <w:sz w:val="24"/>
        </w:rPr>
        <w:tab/>
      </w:r>
      <w:r>
        <w:rPr>
          <w:rFonts w:cs="Arial"/>
          <w:b/>
          <w:bCs/>
          <w:sz w:val="24"/>
        </w:rPr>
        <w:tab/>
        <w:t>Intel</w:t>
      </w:r>
      <w:r>
        <w:rPr>
          <w:rFonts w:cs="Arial"/>
          <w:b/>
          <w:bCs/>
          <w:sz w:val="24"/>
          <w:lang w:eastAsia="zh-CN"/>
        </w:rPr>
        <w:t xml:space="preserve"> Corporation</w:t>
      </w:r>
    </w:p>
    <w:p w14:paraId="4E6EB544" w14:textId="55BB3489" w:rsidR="001D07A5" w:rsidRDefault="001D07A5" w:rsidP="001D07A5">
      <w:pPr>
        <w:pStyle w:val="CRCoverPage"/>
        <w:rPr>
          <w:rFonts w:cs="Arial"/>
          <w:b/>
          <w:bCs/>
          <w:sz w:val="24"/>
        </w:rPr>
      </w:pPr>
      <w:r>
        <w:rPr>
          <w:rFonts w:cs="Arial"/>
          <w:b/>
          <w:bCs/>
          <w:sz w:val="24"/>
        </w:rPr>
        <w:t>Title:</w:t>
      </w:r>
      <w:r>
        <w:rPr>
          <w:rFonts w:cs="Arial"/>
          <w:b/>
          <w:bCs/>
          <w:sz w:val="24"/>
        </w:rPr>
        <w:tab/>
      </w:r>
      <w:r>
        <w:rPr>
          <w:rFonts w:cs="Arial"/>
          <w:b/>
          <w:bCs/>
          <w:sz w:val="24"/>
        </w:rPr>
        <w:tab/>
      </w:r>
      <w:r w:rsidRPr="001D07A5">
        <w:rPr>
          <w:rFonts w:cs="Arial"/>
          <w:b/>
          <w:bCs/>
          <w:sz w:val="24"/>
        </w:rPr>
        <w:t>On HARQ feedback support for NR SL</w:t>
      </w:r>
    </w:p>
    <w:p w14:paraId="5B83CA7C" w14:textId="6B8466D7" w:rsidR="00E90E49" w:rsidRPr="001D07A5" w:rsidRDefault="001D07A5" w:rsidP="00E90E49">
      <w:pPr>
        <w:rPr>
          <w:rFonts w:ascii="Arial" w:hAnsi="Arial" w:cs="Arial"/>
          <w:b/>
          <w:bCs/>
          <w:sz w:val="24"/>
          <w:lang w:eastAsia="zh-CN"/>
        </w:rPr>
      </w:pPr>
      <w:r>
        <w:rPr>
          <w:rFonts w:ascii="Arial" w:hAnsi="Arial" w:cs="Arial"/>
          <w:b/>
          <w:bCs/>
          <w:sz w:val="24"/>
        </w:rPr>
        <w:t>Document for:</w:t>
      </w:r>
      <w:r>
        <w:rPr>
          <w:rFonts w:ascii="Arial" w:hAnsi="Arial" w:cs="Arial"/>
          <w:b/>
          <w:bCs/>
          <w:sz w:val="24"/>
        </w:rPr>
        <w:tab/>
        <w:t>Discussion, Decision</w:t>
      </w:r>
    </w:p>
    <w:p w14:paraId="69FBDED2" w14:textId="77777777" w:rsidR="00E90E49" w:rsidRPr="00F72A17" w:rsidRDefault="00E90E49" w:rsidP="00CE0424">
      <w:pPr>
        <w:pStyle w:val="Heading1"/>
        <w:rPr>
          <w:rFonts w:ascii="Times New Roman" w:hAnsi="Times New Roman" w:cs="Times New Roman"/>
        </w:rPr>
      </w:pPr>
      <w:bookmarkStart w:id="1" w:name="_Ref488331639"/>
      <w:r w:rsidRPr="00F72A17">
        <w:t>Introduction</w:t>
      </w:r>
      <w:bookmarkEnd w:id="1"/>
    </w:p>
    <w:p w14:paraId="7EA00E14" w14:textId="77777777" w:rsidR="00703A9D" w:rsidRPr="00F72A17" w:rsidRDefault="005A50CA" w:rsidP="00703A9D">
      <w:pPr>
        <w:rPr>
          <w:rFonts w:ascii="Times New Roman" w:hAnsi="Times New Roman"/>
        </w:rPr>
      </w:pPr>
      <w:r>
        <w:rPr>
          <w:rFonts w:ascii="Times New Roman" w:hAnsi="Times New Roman"/>
        </w:rPr>
        <w:t>In order to support HARQ operation including HARQ fee</w:t>
      </w:r>
      <w:r w:rsidR="00A374C6">
        <w:rPr>
          <w:rFonts w:ascii="Times New Roman" w:hAnsi="Times New Roman"/>
        </w:rPr>
        <w:t>d</w:t>
      </w:r>
      <w:r>
        <w:rPr>
          <w:rFonts w:ascii="Times New Roman" w:hAnsi="Times New Roman"/>
        </w:rPr>
        <w:t xml:space="preserve">back over sidelink, RAN2 made the following agreements in the last meeting </w:t>
      </w:r>
      <w:sdt>
        <w:sdtPr>
          <w:rPr>
            <w:rFonts w:ascii="Times New Roman" w:hAnsi="Times New Roman"/>
          </w:rPr>
          <w:id w:val="336119929"/>
          <w:citation/>
        </w:sdtPr>
        <w:sdtEndPr/>
        <w:sdtContent>
          <w:r w:rsidR="009F42C4">
            <w:rPr>
              <w:rFonts w:ascii="Times New Roman" w:hAnsi="Times New Roman"/>
            </w:rPr>
            <w:fldChar w:fldCharType="begin"/>
          </w:r>
          <w:r w:rsidR="009F42C4">
            <w:rPr>
              <w:rFonts w:ascii="Times New Roman" w:hAnsi="Times New Roman"/>
            </w:rPr>
            <w:instrText xml:space="preserve"> CITATION RAN2107bis \l 1033 </w:instrText>
          </w:r>
          <w:r w:rsidR="009F42C4">
            <w:rPr>
              <w:rFonts w:ascii="Times New Roman" w:hAnsi="Times New Roman"/>
            </w:rPr>
            <w:fldChar w:fldCharType="separate"/>
          </w:r>
          <w:r w:rsidR="009F42C4" w:rsidRPr="009F42C4">
            <w:rPr>
              <w:rFonts w:ascii="Times New Roman" w:hAnsi="Times New Roman"/>
              <w:noProof/>
            </w:rPr>
            <w:t>[1]</w:t>
          </w:r>
          <w:r w:rsidR="009F42C4">
            <w:rPr>
              <w:rFonts w:ascii="Times New Roman" w:hAnsi="Times New Roman"/>
            </w:rPr>
            <w:fldChar w:fldCharType="end"/>
          </w:r>
        </w:sdtContent>
      </w:sdt>
      <w:r w:rsidR="00F72A17">
        <w:rPr>
          <w:rFonts w:ascii="Times New Roman" w:hAnsi="Times New Roman"/>
        </w:rPr>
        <w:t>:</w:t>
      </w:r>
    </w:p>
    <w:p w14:paraId="5D4915C4"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lang w:eastAsia="ja-JP"/>
        </w:rPr>
      </w:pPr>
      <w:r w:rsidRPr="005A50CA">
        <w:rPr>
          <w:rFonts w:eastAsia="Yu Gothic" w:cs="Calibri"/>
          <w:lang w:eastAsia="ja-JP"/>
        </w:rPr>
        <w:t xml:space="preserve">Agreements on SL HARQ: </w:t>
      </w:r>
    </w:p>
    <w:p w14:paraId="57D4EDD2"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lang w:eastAsia="ja-JP"/>
        </w:rPr>
        <w:t xml:space="preserve">1: </w:t>
      </w:r>
      <w:r w:rsidRPr="005A50CA">
        <w:rPr>
          <w:rFonts w:eastAsia="Yu Gothic" w:cs="Calibri"/>
          <w:lang w:eastAsia="ja-JP"/>
        </w:rPr>
        <w:tab/>
      </w:r>
      <w:r w:rsidRPr="005A50CA">
        <w:rPr>
          <w:rFonts w:eastAsia="Yu Gothic" w:cs="Calibri"/>
          <w:noProof/>
          <w:lang w:eastAsia="ja-JP"/>
        </w:rPr>
        <w:t>Like Tx UE in LTE-V2X, only one NR sidelink HARQ entity maintained for each sidelink carrier for transmission, and shared by all cast-types.</w:t>
      </w:r>
    </w:p>
    <w:p w14:paraId="1EB48787"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2:</w:t>
      </w:r>
      <w:r w:rsidRPr="005A50CA">
        <w:rPr>
          <w:rFonts w:eastAsia="Yu Gothic" w:cs="Calibri"/>
          <w:noProof/>
          <w:lang w:eastAsia="ja-JP"/>
        </w:rPr>
        <w:tab/>
        <w:t>Like Tx UE in LTE-V2X, the NR sidelink HARQ entity maintains a number of parallel sidelink processes, and shared by</w:t>
      </w:r>
      <w:r w:rsidR="00243C0B">
        <w:rPr>
          <w:rFonts w:eastAsia="Yu Gothic" w:cs="Calibri"/>
          <w:noProof/>
          <w:lang w:eastAsia="ja-JP"/>
        </w:rPr>
        <w:t>s</w:t>
      </w:r>
      <w:r w:rsidRPr="005A50CA">
        <w:rPr>
          <w:rFonts w:eastAsia="Yu Gothic" w:cs="Calibri"/>
          <w:noProof/>
          <w:lang w:eastAsia="ja-JP"/>
        </w:rPr>
        <w:t xml:space="preserve"> all unicast connections, groups and broadcast services. The maximum number of transmitting sidelink processes associated with each NR sidelink HARQ entity is pending on RAN1.</w:t>
      </w:r>
    </w:p>
    <w:p w14:paraId="0EC011A6"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3:</w:t>
      </w:r>
      <w:r w:rsidRPr="005A50CA">
        <w:rPr>
          <w:rFonts w:eastAsia="Yu Gothic" w:cs="Calibri"/>
          <w:noProof/>
          <w:lang w:eastAsia="ja-JP"/>
        </w:rPr>
        <w:tab/>
        <w:t>Like Rx UE in LTE-V2X, only one NR sidelink HARQ entity maintained for each sidelink carrier for reception, and shared by all cast-types.</w:t>
      </w:r>
    </w:p>
    <w:p w14:paraId="7971CB58"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4:</w:t>
      </w:r>
      <w:r w:rsidRPr="005A50CA">
        <w:rPr>
          <w:rFonts w:eastAsia="Yu Gothic" w:cs="Calibri"/>
          <w:noProof/>
          <w:lang w:eastAsia="ja-JP"/>
        </w:rPr>
        <w:tab/>
        <w:t>Like Rx UE in LTE-V2X, the NR sidelink HARQ entity maintains a number of parallel sidelink processes, and shared by all unicast connections, groups and broadcast services. FFS for the maximum number of receiving sidelink processes associated with each NR sidelink HARQ entity.</w:t>
      </w:r>
    </w:p>
    <w:p w14:paraId="1D92D818"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5:</w:t>
      </w:r>
      <w:r w:rsidRPr="005A50CA">
        <w:rPr>
          <w:rFonts w:eastAsia="Yu Gothic" w:cs="Calibri"/>
          <w:noProof/>
          <w:lang w:eastAsia="ja-JP"/>
        </w:rPr>
        <w:tab/>
        <w:t>From a SCI, the Rx UE can select the HARQ process to handle the corresponding transmission from unoccupied HARQ process.</w:t>
      </w:r>
    </w:p>
    <w:p w14:paraId="2578E491"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6:</w:t>
      </w:r>
      <w:r w:rsidRPr="005A50CA">
        <w:rPr>
          <w:rFonts w:eastAsia="Yu Gothic" w:cs="Calibri"/>
          <w:noProof/>
          <w:lang w:eastAsia="ja-JP"/>
        </w:rPr>
        <w:tab/>
        <w:t>For unicast/groupcast communication, each corresponding TB at the Tx UE should be associated with cast-type, Source ID, Destination ID and HARQ process id.</w:t>
      </w:r>
    </w:p>
    <w:p w14:paraId="29E54BF8"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7:</w:t>
      </w:r>
      <w:r w:rsidRPr="005A50CA">
        <w:rPr>
          <w:rFonts w:eastAsia="Yu Gothic" w:cs="Calibri"/>
          <w:noProof/>
          <w:lang w:eastAsia="ja-JP"/>
        </w:rPr>
        <w:tab/>
        <w:t>For unicast/groupcast communication, the Tx UE’s MAC is able to receive the sidelink HARQ feedback indication (e.g. ACK or NACK) from SL PHY layer.</w:t>
      </w:r>
    </w:p>
    <w:p w14:paraId="5CA032E6"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8:</w:t>
      </w:r>
      <w:r w:rsidRPr="005A50CA">
        <w:rPr>
          <w:rFonts w:eastAsia="Yu Gothic" w:cs="Calibri"/>
          <w:noProof/>
          <w:lang w:eastAsia="ja-JP"/>
        </w:rPr>
        <w:tab/>
        <w:t>For unicast/groupcast, the network shall configure the HARQ enable/disable to Tx-UE:</w:t>
      </w:r>
    </w:p>
    <w:p w14:paraId="08CD782D"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ab/>
        <w:t>- For RRC_CONNECTED UEs: the gNB configure via RRC message.</w:t>
      </w:r>
    </w:p>
    <w:p w14:paraId="4D8808EC"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ab/>
        <w:t>- For RRC_Idle/RRC_Inactive UEs: the gNB configure via SIB.</w:t>
      </w:r>
    </w:p>
    <w:p w14:paraId="76CB36E0"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ab/>
        <w:t>- For OOC UEs: via pre-configure.</w:t>
      </w:r>
    </w:p>
    <w:p w14:paraId="6D0513DA"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9:</w:t>
      </w:r>
      <w:r w:rsidRPr="005A50CA">
        <w:rPr>
          <w:rFonts w:eastAsia="Yu Gothic" w:cs="Calibri"/>
          <w:noProof/>
          <w:lang w:eastAsia="ja-JP"/>
        </w:rPr>
        <w:tab/>
        <w:t>RAN2 to support SL HARQ feedback enable/disable configures in SLRB level:</w:t>
      </w:r>
    </w:p>
    <w:p w14:paraId="76D7825C"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noProof/>
          <w:lang w:eastAsia="ja-JP"/>
        </w:rPr>
      </w:pPr>
      <w:r w:rsidRPr="005A50CA">
        <w:rPr>
          <w:rFonts w:eastAsia="Yu Gothic" w:cs="Calibri"/>
          <w:noProof/>
          <w:lang w:eastAsia="ja-JP"/>
        </w:rPr>
        <w:tab/>
        <w:t>- For both mode1&amp;mode2 UEs: SLRB level in RRC message.</w:t>
      </w:r>
    </w:p>
    <w:p w14:paraId="44B1007A" w14:textId="77777777" w:rsidR="005A50CA" w:rsidRPr="005A50CA" w:rsidRDefault="005A50CA" w:rsidP="005A50CA">
      <w:pPr>
        <w:pBdr>
          <w:top w:val="single" w:sz="4" w:space="1" w:color="auto"/>
          <w:left w:val="single" w:sz="4" w:space="4" w:color="auto"/>
          <w:bottom w:val="single" w:sz="4" w:space="1" w:color="auto"/>
          <w:right w:val="single" w:sz="4" w:space="4" w:color="auto"/>
        </w:pBdr>
        <w:tabs>
          <w:tab w:val="left" w:pos="1622"/>
        </w:tabs>
        <w:spacing w:after="0"/>
        <w:ind w:left="930" w:hanging="363"/>
        <w:rPr>
          <w:rFonts w:eastAsia="Yu Gothic" w:cs="Calibri"/>
          <w:lang w:eastAsia="ja-JP"/>
        </w:rPr>
      </w:pPr>
      <w:r w:rsidRPr="005A50CA">
        <w:rPr>
          <w:rFonts w:eastAsia="Yu Gothic" w:cs="Calibri"/>
          <w:noProof/>
          <w:lang w:eastAsia="ja-JP"/>
        </w:rPr>
        <w:tab/>
        <w:t>- For Idle/Inactive/OOC UEs: SLRB level in SIB/pre-configuration message.</w:t>
      </w:r>
    </w:p>
    <w:p w14:paraId="556C284D" w14:textId="77777777" w:rsidR="00FA446D" w:rsidRPr="00F72A17" w:rsidRDefault="00F54231" w:rsidP="00F54231">
      <w:pPr>
        <w:pStyle w:val="BodyText"/>
        <w:spacing w:before="120"/>
        <w:rPr>
          <w:rFonts w:ascii="Times New Roman" w:hAnsi="Times New Roman"/>
        </w:rPr>
      </w:pPr>
      <w:r w:rsidRPr="00F72A17">
        <w:rPr>
          <w:rFonts w:ascii="Times New Roman" w:hAnsi="Times New Roman"/>
        </w:rPr>
        <w:t>In thi</w:t>
      </w:r>
      <w:r w:rsidR="0098262A" w:rsidRPr="00F72A17">
        <w:rPr>
          <w:rFonts w:ascii="Times New Roman" w:hAnsi="Times New Roman"/>
        </w:rPr>
        <w:t xml:space="preserve">s contribution, we discuss the </w:t>
      </w:r>
      <w:r w:rsidR="00F72A17">
        <w:rPr>
          <w:rFonts w:ascii="Times New Roman" w:hAnsi="Times New Roman"/>
        </w:rPr>
        <w:t xml:space="preserve">left issues </w:t>
      </w:r>
      <w:r w:rsidR="005A50CA">
        <w:rPr>
          <w:rFonts w:ascii="Times New Roman" w:hAnsi="Times New Roman"/>
        </w:rPr>
        <w:t xml:space="preserve">as a consequence of </w:t>
      </w:r>
      <w:r w:rsidR="00F72A17">
        <w:rPr>
          <w:rFonts w:ascii="Times New Roman" w:hAnsi="Times New Roman"/>
        </w:rPr>
        <w:t>recent RAN1 agreements</w:t>
      </w:r>
      <w:r w:rsidR="005A50CA">
        <w:rPr>
          <w:rFonts w:ascii="Times New Roman" w:hAnsi="Times New Roman"/>
        </w:rPr>
        <w:t xml:space="preserve"> and present our view</w:t>
      </w:r>
      <w:r w:rsidR="00E7418E" w:rsidRPr="00F72A17">
        <w:rPr>
          <w:rFonts w:ascii="Times New Roman" w:hAnsi="Times New Roman"/>
        </w:rPr>
        <w:t>.</w:t>
      </w:r>
    </w:p>
    <w:p w14:paraId="315305F6" w14:textId="77777777" w:rsidR="008E1990" w:rsidRPr="00F72A17" w:rsidRDefault="004000E8" w:rsidP="008E1990">
      <w:pPr>
        <w:pStyle w:val="Heading1"/>
        <w:jc w:val="both"/>
        <w:rPr>
          <w:rFonts w:ascii="Times New Roman" w:hAnsi="Times New Roman" w:cs="Times New Roman"/>
        </w:rPr>
      </w:pPr>
      <w:bookmarkStart w:id="2" w:name="_Ref178064866"/>
      <w:r w:rsidRPr="00F72A17">
        <w:t>Discussion</w:t>
      </w:r>
      <w:bookmarkEnd w:id="2"/>
    </w:p>
    <w:p w14:paraId="59188F19" w14:textId="2C5EB540" w:rsidR="00F9134D" w:rsidRDefault="00A374C6" w:rsidP="00412873">
      <w:pPr>
        <w:rPr>
          <w:rFonts w:ascii="Times New Roman" w:hAnsi="Times New Roman"/>
        </w:rPr>
      </w:pPr>
      <w:r>
        <w:rPr>
          <w:rFonts w:ascii="Times New Roman" w:hAnsi="Times New Roman"/>
        </w:rPr>
        <w:t>In the last meeting, one of the key agreements was on the configuration granularity of HARQ feedback operation, i.e. whether the HARQ feedback is enabled or disabled per packet or per SLRB/LCH</w:t>
      </w:r>
      <w:r w:rsidR="007164DD">
        <w:rPr>
          <w:rFonts w:ascii="Times New Roman" w:hAnsi="Times New Roman"/>
        </w:rPr>
        <w:t>.</w:t>
      </w:r>
      <w:r>
        <w:rPr>
          <w:rFonts w:ascii="Times New Roman" w:hAnsi="Times New Roman"/>
        </w:rPr>
        <w:t xml:space="preserve"> Specifically, as per the agreement, the network can configure HARQ feedback operation as enabled or disabled for a </w:t>
      </w:r>
      <w:proofErr w:type="gramStart"/>
      <w:r>
        <w:rPr>
          <w:rFonts w:ascii="Times New Roman" w:hAnsi="Times New Roman"/>
        </w:rPr>
        <w:t>particular SLRB</w:t>
      </w:r>
      <w:proofErr w:type="gramEnd"/>
      <w:r>
        <w:rPr>
          <w:rFonts w:ascii="Times New Roman" w:hAnsi="Times New Roman"/>
        </w:rPr>
        <w:t xml:space="preserve">. Additionally, the SL LCP procedure </w:t>
      </w:r>
      <w:proofErr w:type="gramStart"/>
      <w:r>
        <w:rPr>
          <w:rFonts w:ascii="Times New Roman" w:hAnsi="Times New Roman"/>
        </w:rPr>
        <w:t>takes into account</w:t>
      </w:r>
      <w:proofErr w:type="gramEnd"/>
      <w:r>
        <w:rPr>
          <w:rFonts w:ascii="Times New Roman" w:hAnsi="Times New Roman"/>
        </w:rPr>
        <w:t xml:space="preserve"> the HARQ </w:t>
      </w:r>
      <w:r w:rsidR="00057E77">
        <w:rPr>
          <w:rFonts w:ascii="Times New Roman" w:hAnsi="Times New Roman"/>
        </w:rPr>
        <w:t>feedback</w:t>
      </w:r>
      <w:r>
        <w:rPr>
          <w:rFonts w:ascii="Times New Roman" w:hAnsi="Times New Roman"/>
        </w:rPr>
        <w:t xml:space="preserve"> ‘property’ of a given LCH when multiplexing different LCHs for the same destination, i.e. LCH with the </w:t>
      </w:r>
      <w:r w:rsidR="006E7E13">
        <w:rPr>
          <w:rFonts w:ascii="Times New Roman" w:hAnsi="Times New Roman"/>
        </w:rPr>
        <w:lastRenderedPageBreak/>
        <w:t xml:space="preserve">same </w:t>
      </w:r>
      <w:r>
        <w:rPr>
          <w:rFonts w:ascii="Times New Roman" w:hAnsi="Times New Roman"/>
        </w:rPr>
        <w:t xml:space="preserve">property (enabled/disabled) can be multiplexed in a given MAC PDU. On the other hand, from the discussions in RAN1, it seems like the decision of the UE to perform HARQ feedback indication to the TX UE </w:t>
      </w:r>
      <w:r w:rsidR="00057E77">
        <w:rPr>
          <w:rFonts w:ascii="Times New Roman" w:hAnsi="Times New Roman"/>
        </w:rPr>
        <w:t>within</w:t>
      </w:r>
      <w:r>
        <w:rPr>
          <w:rFonts w:ascii="Times New Roman" w:hAnsi="Times New Roman"/>
        </w:rPr>
        <w:t xml:space="preserve"> the group is done per TB</w:t>
      </w:r>
      <w:r w:rsidR="003D5E19">
        <w:rPr>
          <w:rFonts w:ascii="Times New Roman" w:hAnsi="Times New Roman"/>
        </w:rPr>
        <w:t xml:space="preserve">. For groupcast option 1, the decision on whether to generate NACK feedback is done based on the communication range requirement and TX-RX distance. For option 2, the UE will perform ACK/NACK transmission based on specific PSFCH resources. In either case however, it is assumed that based on RAN2 agreement, </w:t>
      </w:r>
      <w:r w:rsidR="008C278C">
        <w:rPr>
          <w:rFonts w:ascii="Times New Roman" w:hAnsi="Times New Roman"/>
        </w:rPr>
        <w:t xml:space="preserve">the RX UE will not </w:t>
      </w:r>
      <w:r w:rsidR="00935CA7">
        <w:rPr>
          <w:rFonts w:ascii="Times New Roman" w:hAnsi="Times New Roman"/>
        </w:rPr>
        <w:t>transmit</w:t>
      </w:r>
      <w:r w:rsidR="008C278C">
        <w:rPr>
          <w:rFonts w:ascii="Times New Roman" w:hAnsi="Times New Roman"/>
        </w:rPr>
        <w:t xml:space="preserve"> any HARQ feedback for </w:t>
      </w:r>
      <w:r w:rsidR="003D5E19">
        <w:rPr>
          <w:rFonts w:ascii="Times New Roman" w:hAnsi="Times New Roman"/>
        </w:rPr>
        <w:t xml:space="preserve">the MAC PDU </w:t>
      </w:r>
      <w:r w:rsidR="008C278C">
        <w:rPr>
          <w:rFonts w:ascii="Times New Roman" w:hAnsi="Times New Roman"/>
        </w:rPr>
        <w:t xml:space="preserve">if the </w:t>
      </w:r>
      <w:r w:rsidR="00935CA7">
        <w:rPr>
          <w:rFonts w:ascii="Times New Roman" w:hAnsi="Times New Roman"/>
        </w:rPr>
        <w:t>constituting</w:t>
      </w:r>
      <w:r w:rsidR="008C278C">
        <w:rPr>
          <w:rFonts w:ascii="Times New Roman" w:hAnsi="Times New Roman"/>
        </w:rPr>
        <w:t xml:space="preserve"> LCHs all correspond to HARQ feedback disabled, for both options 1 and 2.</w:t>
      </w:r>
    </w:p>
    <w:p w14:paraId="1E369F08" w14:textId="77777777" w:rsidR="008972EB" w:rsidRDefault="008972EB" w:rsidP="00412873">
      <w:pPr>
        <w:rPr>
          <w:rFonts w:ascii="Times New Roman" w:hAnsi="Times New Roman"/>
        </w:rPr>
      </w:pPr>
    </w:p>
    <w:p w14:paraId="307FAD6E" w14:textId="77777777" w:rsidR="00A26B86" w:rsidRPr="009F42C4" w:rsidRDefault="00057E77" w:rsidP="00412873">
      <w:pPr>
        <w:pStyle w:val="Observation"/>
        <w:numPr>
          <w:ilvl w:val="0"/>
          <w:numId w:val="11"/>
        </w:numPr>
        <w:ind w:left="1701" w:hanging="1701"/>
        <w:rPr>
          <w:rFonts w:ascii="Times New Roman" w:hAnsi="Times New Roman"/>
        </w:rPr>
      </w:pPr>
      <w:r>
        <w:rPr>
          <w:rFonts w:ascii="Times New Roman" w:hAnsi="Times New Roman"/>
        </w:rPr>
        <w:t>Based on RAN1/RAN2 agreements, an RX UE shall not transmit HARQ ACK/NACK for a TB if the constituting SLRB(s)/LCH(s) is/are configured as HARQ feedback disabled</w:t>
      </w:r>
      <w:r w:rsidR="00A968A5" w:rsidRPr="008972EB">
        <w:rPr>
          <w:rFonts w:ascii="Times New Roman" w:hAnsi="Times New Roman"/>
        </w:rPr>
        <w:t>.</w:t>
      </w:r>
    </w:p>
    <w:p w14:paraId="2D2D1F4B" w14:textId="77777777" w:rsidR="009F42C4" w:rsidRDefault="009F42C4" w:rsidP="00412873">
      <w:pPr>
        <w:rPr>
          <w:rFonts w:ascii="Times New Roman" w:hAnsi="Times New Roman"/>
        </w:rPr>
      </w:pPr>
    </w:p>
    <w:p w14:paraId="37163AEA" w14:textId="77777777" w:rsidR="003D5E19" w:rsidRDefault="003D5E19" w:rsidP="00412873">
      <w:pPr>
        <w:rPr>
          <w:rFonts w:ascii="Times New Roman" w:hAnsi="Times New Roman"/>
        </w:rPr>
      </w:pPr>
      <w:r>
        <w:rPr>
          <w:rFonts w:ascii="Times New Roman" w:hAnsi="Times New Roman"/>
        </w:rPr>
        <w:t xml:space="preserve">The question now is that if the SLRB </w:t>
      </w:r>
      <w:r w:rsidR="008C278C">
        <w:rPr>
          <w:rFonts w:ascii="Times New Roman" w:hAnsi="Times New Roman"/>
        </w:rPr>
        <w:t xml:space="preserve">configuration between the peer UEs (for the case of unicast) or group members (for the case of </w:t>
      </w:r>
      <w:r w:rsidR="00057E77">
        <w:rPr>
          <w:rFonts w:ascii="Times New Roman" w:hAnsi="Times New Roman"/>
        </w:rPr>
        <w:t>groupcast</w:t>
      </w:r>
      <w:r w:rsidR="008C278C">
        <w:rPr>
          <w:rFonts w:ascii="Times New Roman" w:hAnsi="Times New Roman"/>
        </w:rPr>
        <w:t xml:space="preserve">) is conflicting with respect to the HARQ feedback enabled/disabled configuration. Specifically, if a given SLRB is configured differently at the TX and RX UE, there is a potential mismatch issue </w:t>
      </w:r>
      <w:r w:rsidR="00057E77">
        <w:rPr>
          <w:rFonts w:ascii="Times New Roman" w:hAnsi="Times New Roman"/>
        </w:rPr>
        <w:t>where</w:t>
      </w:r>
      <w:r w:rsidR="008C278C">
        <w:rPr>
          <w:rFonts w:ascii="Times New Roman" w:hAnsi="Times New Roman"/>
        </w:rPr>
        <w:t xml:space="preserve"> the UEs have a different idea of whether HARQ feedback indication is expected to be sent or not. This </w:t>
      </w:r>
      <w:r w:rsidR="00935CA7">
        <w:rPr>
          <w:rFonts w:ascii="Times New Roman" w:hAnsi="Times New Roman"/>
        </w:rPr>
        <w:t xml:space="preserve">situation is somewhat similar to the SL RLC AM mismatch issues which is currently being handled in the email discussion </w:t>
      </w:r>
      <w:sdt>
        <w:sdtPr>
          <w:rPr>
            <w:rFonts w:ascii="Times New Roman" w:hAnsi="Times New Roman"/>
          </w:rPr>
          <w:id w:val="140938050"/>
          <w:citation/>
        </w:sdtPr>
        <w:sdtEndPr/>
        <w:sdtContent>
          <w:r w:rsidR="009F42C4">
            <w:rPr>
              <w:rFonts w:ascii="Times New Roman" w:hAnsi="Times New Roman"/>
            </w:rPr>
            <w:fldChar w:fldCharType="begin"/>
          </w:r>
          <w:r w:rsidR="009F42C4">
            <w:rPr>
              <w:rFonts w:ascii="Times New Roman" w:hAnsi="Times New Roman"/>
            </w:rPr>
            <w:instrText xml:space="preserve"> CITATION rlcammismatch \l 1033 </w:instrText>
          </w:r>
          <w:r w:rsidR="009F42C4">
            <w:rPr>
              <w:rFonts w:ascii="Times New Roman" w:hAnsi="Times New Roman"/>
            </w:rPr>
            <w:fldChar w:fldCharType="separate"/>
          </w:r>
          <w:r w:rsidR="009F42C4" w:rsidRPr="009F42C4">
            <w:rPr>
              <w:rFonts w:ascii="Times New Roman" w:hAnsi="Times New Roman"/>
              <w:noProof/>
            </w:rPr>
            <w:t>[2]</w:t>
          </w:r>
          <w:r w:rsidR="009F42C4">
            <w:rPr>
              <w:rFonts w:ascii="Times New Roman" w:hAnsi="Times New Roman"/>
            </w:rPr>
            <w:fldChar w:fldCharType="end"/>
          </w:r>
        </w:sdtContent>
      </w:sdt>
      <w:r w:rsidR="00935CA7">
        <w:rPr>
          <w:rFonts w:ascii="Times New Roman" w:hAnsi="Times New Roman"/>
        </w:rPr>
        <w:t xml:space="preserve"> and </w:t>
      </w:r>
      <w:r w:rsidR="008C278C">
        <w:rPr>
          <w:rFonts w:ascii="Times New Roman" w:hAnsi="Times New Roman"/>
        </w:rPr>
        <w:t xml:space="preserve">can happen for instance, when the UEs are under coverage of different </w:t>
      </w:r>
      <w:proofErr w:type="spellStart"/>
      <w:r w:rsidR="008C278C">
        <w:rPr>
          <w:rFonts w:ascii="Times New Roman" w:hAnsi="Times New Roman"/>
        </w:rPr>
        <w:t>gNBs</w:t>
      </w:r>
      <w:proofErr w:type="spellEnd"/>
      <w:r w:rsidR="008C278C">
        <w:rPr>
          <w:rFonts w:ascii="Times New Roman" w:hAnsi="Times New Roman"/>
        </w:rPr>
        <w:t xml:space="preserve"> which provide differing configurations or one </w:t>
      </w:r>
      <w:r w:rsidR="00935CA7">
        <w:rPr>
          <w:rFonts w:ascii="Times New Roman" w:hAnsi="Times New Roman"/>
        </w:rPr>
        <w:t xml:space="preserve">(or both) UE(s) are out of coverage and the pre-configuration differs. </w:t>
      </w:r>
      <w:r w:rsidR="008C278C">
        <w:rPr>
          <w:rFonts w:ascii="Times New Roman" w:hAnsi="Times New Roman"/>
        </w:rPr>
        <w:t>To analyse in some more de</w:t>
      </w:r>
      <w:r w:rsidR="00935CA7">
        <w:rPr>
          <w:rFonts w:ascii="Times New Roman" w:hAnsi="Times New Roman"/>
        </w:rPr>
        <w:t>t</w:t>
      </w:r>
      <w:r w:rsidR="008C278C">
        <w:rPr>
          <w:rFonts w:ascii="Times New Roman" w:hAnsi="Times New Roman"/>
        </w:rPr>
        <w:t>ail</w:t>
      </w:r>
      <w:r w:rsidR="00935CA7">
        <w:rPr>
          <w:rFonts w:ascii="Times New Roman" w:hAnsi="Times New Roman"/>
        </w:rPr>
        <w:t>, the following scenarios can be visualized:</w:t>
      </w:r>
    </w:p>
    <w:tbl>
      <w:tblPr>
        <w:tblStyle w:val="TableProfessional"/>
        <w:tblW w:w="0" w:type="auto"/>
        <w:jc w:val="center"/>
        <w:tblLook w:val="04A0" w:firstRow="1" w:lastRow="0" w:firstColumn="1" w:lastColumn="0" w:noHBand="0" w:noVBand="1"/>
      </w:tblPr>
      <w:tblGrid>
        <w:gridCol w:w="3965"/>
        <w:gridCol w:w="3966"/>
      </w:tblGrid>
      <w:tr w:rsidR="00935CA7" w:rsidRPr="00092841" w14:paraId="4C1DD9C1" w14:textId="77777777" w:rsidTr="009F42C4">
        <w:trPr>
          <w:cnfStyle w:val="100000000000" w:firstRow="1" w:lastRow="0" w:firstColumn="0" w:lastColumn="0" w:oddVBand="0" w:evenVBand="0" w:oddHBand="0" w:evenHBand="0" w:firstRowFirstColumn="0" w:firstRowLastColumn="0" w:lastRowFirstColumn="0" w:lastRowLastColumn="0"/>
          <w:trHeight w:val="355"/>
          <w:jc w:val="center"/>
        </w:trPr>
        <w:tc>
          <w:tcPr>
            <w:tcW w:w="3965" w:type="dxa"/>
          </w:tcPr>
          <w:p w14:paraId="6ADF0576" w14:textId="77777777" w:rsidR="00935CA7" w:rsidRPr="00092841" w:rsidRDefault="00935CA7" w:rsidP="00412873">
            <w:pPr>
              <w:rPr>
                <w:rFonts w:ascii="Times New Roman" w:hAnsi="Times New Roman"/>
              </w:rPr>
            </w:pPr>
            <w:r w:rsidRPr="00092841">
              <w:rPr>
                <w:rFonts w:ascii="Times New Roman" w:hAnsi="Times New Roman"/>
              </w:rPr>
              <w:t>TX/RX UE configurations</w:t>
            </w:r>
          </w:p>
        </w:tc>
        <w:tc>
          <w:tcPr>
            <w:tcW w:w="3966" w:type="dxa"/>
          </w:tcPr>
          <w:p w14:paraId="08E173A3" w14:textId="77777777" w:rsidR="00935CA7" w:rsidRPr="00092841" w:rsidRDefault="00935CA7" w:rsidP="00412873">
            <w:pPr>
              <w:rPr>
                <w:rFonts w:ascii="Times New Roman" w:hAnsi="Times New Roman"/>
              </w:rPr>
            </w:pPr>
            <w:r w:rsidRPr="00092841">
              <w:rPr>
                <w:rFonts w:ascii="Times New Roman" w:hAnsi="Times New Roman"/>
              </w:rPr>
              <w:t>Consequences</w:t>
            </w:r>
          </w:p>
        </w:tc>
      </w:tr>
      <w:tr w:rsidR="00935CA7" w:rsidRPr="00092841" w14:paraId="0D35C459" w14:textId="77777777" w:rsidTr="009F42C4">
        <w:trPr>
          <w:trHeight w:val="825"/>
          <w:jc w:val="center"/>
        </w:trPr>
        <w:tc>
          <w:tcPr>
            <w:tcW w:w="3965" w:type="dxa"/>
          </w:tcPr>
          <w:p w14:paraId="30379B07" w14:textId="77777777" w:rsidR="00935CA7" w:rsidRPr="00092841" w:rsidRDefault="00935CA7" w:rsidP="00412873">
            <w:pPr>
              <w:rPr>
                <w:rFonts w:ascii="Times New Roman" w:hAnsi="Times New Roman"/>
              </w:rPr>
            </w:pPr>
            <w:r w:rsidRPr="00092841">
              <w:rPr>
                <w:rFonts w:ascii="Times New Roman" w:hAnsi="Times New Roman"/>
              </w:rPr>
              <w:t>TX and RX UE both have HARQ feedback enabled for a given SLRB</w:t>
            </w:r>
          </w:p>
        </w:tc>
        <w:tc>
          <w:tcPr>
            <w:tcW w:w="3966" w:type="dxa"/>
          </w:tcPr>
          <w:p w14:paraId="6043342E" w14:textId="77777777" w:rsidR="00935CA7" w:rsidRPr="00092841" w:rsidRDefault="00935CA7" w:rsidP="00412873">
            <w:pPr>
              <w:rPr>
                <w:rFonts w:ascii="Times New Roman" w:hAnsi="Times New Roman"/>
              </w:rPr>
            </w:pPr>
            <w:r w:rsidRPr="00092841">
              <w:rPr>
                <w:rFonts w:ascii="Times New Roman" w:hAnsi="Times New Roman"/>
              </w:rPr>
              <w:t>TX UE expects a HARQ feedback indication from RX UE; RX UE sends feedback indication depending on groupcast options</w:t>
            </w:r>
          </w:p>
        </w:tc>
      </w:tr>
      <w:tr w:rsidR="00935CA7" w:rsidRPr="00092841" w14:paraId="64DFDBCD" w14:textId="77777777" w:rsidTr="009F42C4">
        <w:trPr>
          <w:trHeight w:val="825"/>
          <w:jc w:val="center"/>
        </w:trPr>
        <w:tc>
          <w:tcPr>
            <w:tcW w:w="3965" w:type="dxa"/>
          </w:tcPr>
          <w:p w14:paraId="62BA3291" w14:textId="77777777" w:rsidR="00935CA7" w:rsidRPr="00092841" w:rsidRDefault="00935CA7" w:rsidP="00412873">
            <w:pPr>
              <w:rPr>
                <w:rFonts w:ascii="Times New Roman" w:hAnsi="Times New Roman"/>
              </w:rPr>
            </w:pPr>
            <w:r w:rsidRPr="00092841">
              <w:rPr>
                <w:rFonts w:ascii="Times New Roman" w:hAnsi="Times New Roman"/>
              </w:rPr>
              <w:t>Neither the TX nor the RX UE have HARQ feedback enabled for a given SLRB</w:t>
            </w:r>
          </w:p>
        </w:tc>
        <w:tc>
          <w:tcPr>
            <w:tcW w:w="3966" w:type="dxa"/>
          </w:tcPr>
          <w:p w14:paraId="1C32D346" w14:textId="77777777" w:rsidR="00935CA7" w:rsidRPr="00092841" w:rsidRDefault="00935CA7" w:rsidP="00412873">
            <w:pPr>
              <w:rPr>
                <w:rFonts w:ascii="Times New Roman" w:hAnsi="Times New Roman"/>
              </w:rPr>
            </w:pPr>
            <w:r w:rsidRPr="00092841">
              <w:rPr>
                <w:rFonts w:ascii="Times New Roman" w:hAnsi="Times New Roman"/>
              </w:rPr>
              <w:t>TX UE does not expect HARQ feedback indication; RX UE does not send any ACK/NACK regardless of mode or option (in case of groupcast)</w:t>
            </w:r>
          </w:p>
        </w:tc>
      </w:tr>
      <w:tr w:rsidR="00935CA7" w:rsidRPr="00092841" w14:paraId="2EF1FDC0" w14:textId="77777777" w:rsidTr="009F42C4">
        <w:trPr>
          <w:trHeight w:val="1053"/>
          <w:jc w:val="center"/>
        </w:trPr>
        <w:tc>
          <w:tcPr>
            <w:tcW w:w="3965" w:type="dxa"/>
          </w:tcPr>
          <w:p w14:paraId="7B002A3A" w14:textId="77777777" w:rsidR="00935CA7" w:rsidRPr="00092841" w:rsidRDefault="00935CA7" w:rsidP="00412873">
            <w:pPr>
              <w:rPr>
                <w:rFonts w:ascii="Times New Roman" w:hAnsi="Times New Roman"/>
              </w:rPr>
            </w:pPr>
            <w:r w:rsidRPr="00092841">
              <w:rPr>
                <w:rFonts w:ascii="Times New Roman" w:hAnsi="Times New Roman"/>
              </w:rPr>
              <w:t xml:space="preserve">TX UE but </w:t>
            </w:r>
            <w:r w:rsidRPr="00092841">
              <w:rPr>
                <w:rFonts w:ascii="Times New Roman" w:hAnsi="Times New Roman"/>
                <w:b/>
              </w:rPr>
              <w:t>not</w:t>
            </w:r>
            <w:r w:rsidRPr="00092841">
              <w:rPr>
                <w:rFonts w:ascii="Times New Roman" w:hAnsi="Times New Roman"/>
              </w:rPr>
              <w:t xml:space="preserve"> RX UE has HARQ feedback enabled for a given SLRB</w:t>
            </w:r>
          </w:p>
        </w:tc>
        <w:tc>
          <w:tcPr>
            <w:tcW w:w="3966" w:type="dxa"/>
          </w:tcPr>
          <w:p w14:paraId="5060DC58" w14:textId="77777777" w:rsidR="00935CA7" w:rsidRPr="00092841" w:rsidRDefault="00935CA7" w:rsidP="00412873">
            <w:pPr>
              <w:rPr>
                <w:rFonts w:ascii="Times New Roman" w:hAnsi="Times New Roman"/>
              </w:rPr>
            </w:pPr>
            <w:r w:rsidRPr="00092841">
              <w:rPr>
                <w:rFonts w:ascii="Times New Roman" w:hAnsi="Times New Roman"/>
              </w:rPr>
              <w:t xml:space="preserve">TX UE expects HARQ feedback </w:t>
            </w:r>
            <w:r w:rsidR="009F42C4" w:rsidRPr="00092841">
              <w:rPr>
                <w:rFonts w:ascii="Times New Roman" w:hAnsi="Times New Roman"/>
              </w:rPr>
              <w:t>indication,</w:t>
            </w:r>
            <w:r w:rsidRPr="00092841">
              <w:rPr>
                <w:rFonts w:ascii="Times New Roman" w:hAnsi="Times New Roman"/>
              </w:rPr>
              <w:t xml:space="preserve"> but RX UE never sends it. In this case, TX UE treats this as an implicit NACK and keeps sending HARQ retransmissions until the maximum number</w:t>
            </w:r>
            <w:r w:rsidR="000A5A64" w:rsidRPr="00092841">
              <w:rPr>
                <w:rFonts w:ascii="Times New Roman" w:hAnsi="Times New Roman"/>
              </w:rPr>
              <w:t xml:space="preserve"> allowed</w:t>
            </w:r>
            <w:r w:rsidRPr="00092841">
              <w:rPr>
                <w:rFonts w:ascii="Times New Roman" w:hAnsi="Times New Roman"/>
              </w:rPr>
              <w:t xml:space="preserve">. </w:t>
            </w:r>
          </w:p>
        </w:tc>
      </w:tr>
      <w:tr w:rsidR="00935CA7" w:rsidRPr="00092841" w14:paraId="7426F622" w14:textId="77777777" w:rsidTr="009F42C4">
        <w:trPr>
          <w:trHeight w:val="597"/>
          <w:jc w:val="center"/>
        </w:trPr>
        <w:tc>
          <w:tcPr>
            <w:tcW w:w="3965" w:type="dxa"/>
          </w:tcPr>
          <w:p w14:paraId="14A08A2A" w14:textId="77777777" w:rsidR="00935CA7" w:rsidRPr="00092841" w:rsidRDefault="000A5A64" w:rsidP="00412873">
            <w:pPr>
              <w:rPr>
                <w:rFonts w:ascii="Times New Roman" w:hAnsi="Times New Roman"/>
              </w:rPr>
            </w:pPr>
            <w:r w:rsidRPr="00092841">
              <w:rPr>
                <w:rFonts w:ascii="Times New Roman" w:hAnsi="Times New Roman"/>
              </w:rPr>
              <w:t xml:space="preserve">RX UE but </w:t>
            </w:r>
            <w:r w:rsidRPr="00092841">
              <w:rPr>
                <w:rFonts w:ascii="Times New Roman" w:hAnsi="Times New Roman"/>
                <w:b/>
              </w:rPr>
              <w:t>not</w:t>
            </w:r>
            <w:r w:rsidRPr="00092841">
              <w:rPr>
                <w:rFonts w:ascii="Times New Roman" w:hAnsi="Times New Roman"/>
              </w:rPr>
              <w:t xml:space="preserve"> TX UE has HARQ feedback enabled for a given SLRB</w:t>
            </w:r>
          </w:p>
        </w:tc>
        <w:tc>
          <w:tcPr>
            <w:tcW w:w="3966" w:type="dxa"/>
          </w:tcPr>
          <w:p w14:paraId="6DE137CF" w14:textId="77777777" w:rsidR="000A5A64" w:rsidRPr="00092841" w:rsidRDefault="000A5A64" w:rsidP="00412873">
            <w:pPr>
              <w:rPr>
                <w:rFonts w:ascii="Times New Roman" w:hAnsi="Times New Roman"/>
              </w:rPr>
            </w:pPr>
            <w:r w:rsidRPr="00092841">
              <w:rPr>
                <w:rFonts w:ascii="Times New Roman" w:hAnsi="Times New Roman"/>
              </w:rPr>
              <w:t xml:space="preserve">RX UE sends HARQ feedback on configured PSFCH </w:t>
            </w:r>
            <w:r w:rsidR="009F42C4" w:rsidRPr="00092841">
              <w:rPr>
                <w:rFonts w:ascii="Times New Roman" w:hAnsi="Times New Roman"/>
              </w:rPr>
              <w:t>resources,</w:t>
            </w:r>
            <w:r w:rsidRPr="00092841">
              <w:rPr>
                <w:rFonts w:ascii="Times New Roman" w:hAnsi="Times New Roman"/>
              </w:rPr>
              <w:t xml:space="preserve"> but TX UE never monitors them</w:t>
            </w:r>
          </w:p>
        </w:tc>
      </w:tr>
    </w:tbl>
    <w:p w14:paraId="15BD72F6" w14:textId="77777777" w:rsidR="00935CA7" w:rsidRDefault="00935CA7" w:rsidP="00412873">
      <w:pPr>
        <w:rPr>
          <w:rFonts w:ascii="Times New Roman" w:hAnsi="Times New Roman"/>
        </w:rPr>
      </w:pPr>
    </w:p>
    <w:p w14:paraId="1FEFFD8B" w14:textId="77777777" w:rsidR="000A5A64" w:rsidRDefault="000A5A64" w:rsidP="00412873">
      <w:pPr>
        <w:rPr>
          <w:rFonts w:ascii="Times New Roman" w:hAnsi="Times New Roman"/>
        </w:rPr>
      </w:pPr>
      <w:r>
        <w:rPr>
          <w:rFonts w:ascii="Times New Roman" w:hAnsi="Times New Roman"/>
        </w:rPr>
        <w:t xml:space="preserve">Therefore, there seems to be some ambiguity in case of such configuration mismatch which could lead to the TX UE needlessly retransmitting </w:t>
      </w:r>
      <w:r w:rsidR="001727D0">
        <w:rPr>
          <w:rFonts w:ascii="Times New Roman" w:hAnsi="Times New Roman"/>
        </w:rPr>
        <w:t>TBs even if RX UE has already received it. So, we propose to discuss in RAN2 on how to resolve this issue. If needed, a generalized solution fr</w:t>
      </w:r>
      <w:r w:rsidR="00971615">
        <w:rPr>
          <w:rFonts w:ascii="Times New Roman" w:hAnsi="Times New Roman"/>
        </w:rPr>
        <w:t>o</w:t>
      </w:r>
      <w:r w:rsidR="001727D0">
        <w:rPr>
          <w:rFonts w:ascii="Times New Roman" w:hAnsi="Times New Roman"/>
        </w:rPr>
        <w:t>m the discussion on RLC AM mismatch can be considered</w:t>
      </w:r>
      <w:sdt>
        <w:sdtPr>
          <w:rPr>
            <w:rFonts w:ascii="Times New Roman" w:hAnsi="Times New Roman"/>
          </w:rPr>
          <w:id w:val="1265576092"/>
          <w:citation/>
        </w:sdtPr>
        <w:sdtEndPr/>
        <w:sdtContent>
          <w:r w:rsidR="009F42C4">
            <w:rPr>
              <w:rFonts w:ascii="Times New Roman" w:hAnsi="Times New Roman"/>
            </w:rPr>
            <w:fldChar w:fldCharType="begin"/>
          </w:r>
          <w:r w:rsidR="009F42C4">
            <w:rPr>
              <w:rFonts w:ascii="Times New Roman" w:hAnsi="Times New Roman"/>
            </w:rPr>
            <w:instrText xml:space="preserve"> CITATION rlcammismatch \l 1033 </w:instrText>
          </w:r>
          <w:r w:rsidR="009F42C4">
            <w:rPr>
              <w:rFonts w:ascii="Times New Roman" w:hAnsi="Times New Roman"/>
            </w:rPr>
            <w:fldChar w:fldCharType="separate"/>
          </w:r>
          <w:r w:rsidR="009F42C4">
            <w:rPr>
              <w:rFonts w:ascii="Times New Roman" w:hAnsi="Times New Roman"/>
              <w:noProof/>
            </w:rPr>
            <w:t xml:space="preserve"> </w:t>
          </w:r>
          <w:r w:rsidR="009F42C4" w:rsidRPr="009F42C4">
            <w:rPr>
              <w:rFonts w:ascii="Times New Roman" w:hAnsi="Times New Roman"/>
              <w:noProof/>
            </w:rPr>
            <w:t>[2]</w:t>
          </w:r>
          <w:r w:rsidR="009F42C4">
            <w:rPr>
              <w:rFonts w:ascii="Times New Roman" w:hAnsi="Times New Roman"/>
            </w:rPr>
            <w:fldChar w:fldCharType="end"/>
          </w:r>
        </w:sdtContent>
      </w:sdt>
      <w:r w:rsidR="001727D0">
        <w:rPr>
          <w:rFonts w:ascii="Times New Roman" w:hAnsi="Times New Roman"/>
        </w:rPr>
        <w:t xml:space="preserve">, i.e. the peer UE </w:t>
      </w:r>
      <w:r w:rsidR="00971615">
        <w:rPr>
          <w:rFonts w:ascii="Times New Roman" w:hAnsi="Times New Roman"/>
        </w:rPr>
        <w:t>forwards some</w:t>
      </w:r>
      <w:r w:rsidR="001727D0">
        <w:rPr>
          <w:rFonts w:ascii="Times New Roman" w:hAnsi="Times New Roman"/>
        </w:rPr>
        <w:t xml:space="preserve"> SLRB configuration it receives from the other UE to the gNB to avoid this mismatch (however this only works for CONNECTED mode)</w:t>
      </w:r>
    </w:p>
    <w:p w14:paraId="54DE7D7C" w14:textId="77777777" w:rsidR="00A968A5" w:rsidRDefault="00A968A5" w:rsidP="00412873">
      <w:pPr>
        <w:rPr>
          <w:rFonts w:ascii="Times New Roman" w:hAnsi="Times New Roman"/>
        </w:rPr>
      </w:pPr>
    </w:p>
    <w:p w14:paraId="7680DC87" w14:textId="77777777" w:rsidR="009C18F2" w:rsidRPr="008972EB" w:rsidRDefault="00A968A5" w:rsidP="00412873">
      <w:pPr>
        <w:pStyle w:val="Proposal"/>
        <w:tabs>
          <w:tab w:val="clear" w:pos="1304"/>
        </w:tabs>
        <w:spacing w:after="200" w:line="276" w:lineRule="auto"/>
        <w:ind w:left="1701" w:hanging="1701"/>
        <w:rPr>
          <w:rFonts w:ascii="Times New Roman" w:hAnsi="Times New Roman"/>
        </w:rPr>
      </w:pPr>
      <w:r w:rsidRPr="008972EB">
        <w:rPr>
          <w:rFonts w:ascii="Times New Roman" w:hAnsi="Times New Roman"/>
        </w:rPr>
        <w:t xml:space="preserve">RAN2 is proposed to discuss </w:t>
      </w:r>
      <w:r w:rsidR="00971615">
        <w:rPr>
          <w:rFonts w:ascii="Times New Roman" w:hAnsi="Times New Roman"/>
        </w:rPr>
        <w:t>how to resolve the SL HARQ enable/disabled configuration mismatch issue between TX and RX UE (for both unicast and groupcast)</w:t>
      </w:r>
      <w:r w:rsidRPr="008972EB">
        <w:rPr>
          <w:rFonts w:ascii="Times New Roman" w:hAnsi="Times New Roman"/>
        </w:rPr>
        <w:t xml:space="preserve">. </w:t>
      </w:r>
    </w:p>
    <w:p w14:paraId="4899291E" w14:textId="77777777" w:rsidR="0059162F" w:rsidRDefault="0059162F" w:rsidP="008122FF">
      <w:pPr>
        <w:rPr>
          <w:rFonts w:ascii="Times New Roman" w:hAnsi="Times New Roman"/>
        </w:rPr>
      </w:pPr>
    </w:p>
    <w:p w14:paraId="36CB4A54" w14:textId="77777777" w:rsidR="008E065E" w:rsidRPr="00F72A17" w:rsidRDefault="00C01F33" w:rsidP="008E065E">
      <w:pPr>
        <w:pStyle w:val="Heading1"/>
        <w:rPr>
          <w:rFonts w:ascii="Times New Roman" w:hAnsi="Times New Roman" w:cs="Times New Roman"/>
        </w:rPr>
      </w:pPr>
      <w:bookmarkStart w:id="3" w:name="_Toc13036427"/>
      <w:bookmarkStart w:id="4" w:name="_Toc12266169"/>
      <w:bookmarkEnd w:id="3"/>
      <w:bookmarkEnd w:id="4"/>
      <w:r w:rsidRPr="00F72A17">
        <w:t>Conclusion</w:t>
      </w:r>
    </w:p>
    <w:p w14:paraId="2FEF379B" w14:textId="77777777" w:rsidR="00623AA7" w:rsidRDefault="008E065E" w:rsidP="00623AA7">
      <w:pPr>
        <w:pStyle w:val="BodyText"/>
        <w:rPr>
          <w:rFonts w:ascii="Times New Roman" w:hAnsi="Times New Roman"/>
        </w:rPr>
      </w:pPr>
      <w:r w:rsidRPr="00F72A17">
        <w:rPr>
          <w:rFonts w:ascii="Times New Roman" w:hAnsi="Times New Roman"/>
        </w:rPr>
        <w:t xml:space="preserve">Based on the discussion in section </w:t>
      </w:r>
      <w:r w:rsidRPr="00F72A17">
        <w:rPr>
          <w:rFonts w:ascii="Times New Roman" w:hAnsi="Times New Roman"/>
          <w:highlight w:val="cyan"/>
        </w:rPr>
        <w:fldChar w:fldCharType="begin"/>
      </w:r>
      <w:r w:rsidRPr="00F72A17">
        <w:rPr>
          <w:rFonts w:ascii="Times New Roman" w:hAnsi="Times New Roman"/>
        </w:rPr>
        <w:instrText xml:space="preserve"> REF _Ref178064866 \r \h </w:instrText>
      </w:r>
      <w:r w:rsidR="00F72A17">
        <w:rPr>
          <w:rFonts w:ascii="Times New Roman" w:hAnsi="Times New Roman"/>
          <w:highlight w:val="cyan"/>
        </w:rPr>
        <w:instrText xml:space="preserve"> \* MERGEFORMAT </w:instrText>
      </w:r>
      <w:r w:rsidRPr="00F72A17">
        <w:rPr>
          <w:rFonts w:ascii="Times New Roman" w:hAnsi="Times New Roman"/>
          <w:highlight w:val="cyan"/>
        </w:rPr>
      </w:r>
      <w:r w:rsidRPr="00F72A17">
        <w:rPr>
          <w:rFonts w:ascii="Times New Roman" w:hAnsi="Times New Roman"/>
          <w:highlight w:val="cyan"/>
        </w:rPr>
        <w:fldChar w:fldCharType="separate"/>
      </w:r>
      <w:r w:rsidR="00964B5A" w:rsidRPr="00F72A17">
        <w:rPr>
          <w:rFonts w:ascii="Times New Roman" w:hAnsi="Times New Roman"/>
        </w:rPr>
        <w:t>2</w:t>
      </w:r>
      <w:r w:rsidRPr="00F72A17">
        <w:rPr>
          <w:rFonts w:ascii="Times New Roman" w:hAnsi="Times New Roman"/>
          <w:highlight w:val="cyan"/>
        </w:rPr>
        <w:fldChar w:fldCharType="end"/>
      </w:r>
      <w:r w:rsidR="003E3ABC" w:rsidRPr="00F72A17">
        <w:rPr>
          <w:rFonts w:ascii="Times New Roman" w:hAnsi="Times New Roman"/>
        </w:rPr>
        <w:t xml:space="preserve">, </w:t>
      </w:r>
      <w:r w:rsidR="00F2388F" w:rsidRPr="00F72A17">
        <w:rPr>
          <w:rFonts w:ascii="Times New Roman" w:hAnsi="Times New Roman"/>
        </w:rPr>
        <w:t xml:space="preserve">we </w:t>
      </w:r>
      <w:r w:rsidR="00623AA7">
        <w:rPr>
          <w:rFonts w:ascii="Times New Roman" w:hAnsi="Times New Roman"/>
        </w:rPr>
        <w:t>make the following observations and proposals:</w:t>
      </w:r>
    </w:p>
    <w:p w14:paraId="07350CE7" w14:textId="77777777" w:rsidR="00057E77" w:rsidRDefault="00057E77" w:rsidP="00057E77">
      <w:pPr>
        <w:rPr>
          <w:rFonts w:ascii="Times New Roman" w:hAnsi="Times New Roman"/>
        </w:rPr>
      </w:pPr>
    </w:p>
    <w:p w14:paraId="193CBA5C" w14:textId="77777777" w:rsidR="00057E77" w:rsidRPr="00057E77" w:rsidRDefault="00057E77" w:rsidP="00057E77">
      <w:pPr>
        <w:pStyle w:val="Observation"/>
        <w:numPr>
          <w:ilvl w:val="0"/>
          <w:numId w:val="18"/>
        </w:numPr>
        <w:ind w:left="1710" w:hanging="1710"/>
        <w:rPr>
          <w:rFonts w:ascii="Times New Roman" w:hAnsi="Times New Roman"/>
        </w:rPr>
      </w:pPr>
      <w:r w:rsidRPr="00057E77">
        <w:rPr>
          <w:rFonts w:ascii="Times New Roman" w:hAnsi="Times New Roman"/>
        </w:rPr>
        <w:t>Based on RAN1/RAN2 agreements, an RX UE shall not transmit HARQ ACK/NACK for a TB if the constituting SLRB(s)/LCH(s) is/are configured as HARQ feedback disabled</w:t>
      </w:r>
    </w:p>
    <w:p w14:paraId="49C616FD" w14:textId="77777777" w:rsidR="00EF456C" w:rsidRPr="00243C0B" w:rsidRDefault="00057E77" w:rsidP="008A46E5">
      <w:pPr>
        <w:pStyle w:val="Proposal"/>
        <w:numPr>
          <w:ilvl w:val="0"/>
          <w:numId w:val="19"/>
        </w:numPr>
        <w:tabs>
          <w:tab w:val="clear" w:pos="1304"/>
        </w:tabs>
        <w:spacing w:after="200" w:line="276" w:lineRule="auto"/>
        <w:ind w:left="1710" w:hanging="1710"/>
        <w:rPr>
          <w:rFonts w:ascii="Times New Roman" w:hAnsi="Times New Roman"/>
        </w:rPr>
      </w:pPr>
      <w:r w:rsidRPr="00057E77">
        <w:rPr>
          <w:rFonts w:ascii="Times New Roman" w:hAnsi="Times New Roman"/>
        </w:rPr>
        <w:t xml:space="preserve">RAN2 is proposed to discuss how to resolve the SL HARQ enable/disabled configuration mismatch issue between TX and RX UE (for both unicast and groupcast). </w:t>
      </w:r>
    </w:p>
    <w:bookmarkStart w:id="5" w:name="_In-sequence_SDU_delivery" w:displacedByCustomXml="next"/>
    <w:bookmarkEnd w:id="5" w:displacedByCustomXml="next"/>
    <w:sdt>
      <w:sdtPr>
        <w:rPr>
          <w:rFonts w:asciiTheme="minorHAnsi" w:eastAsiaTheme="minorHAnsi" w:hAnsiTheme="minorHAnsi" w:cs="Times New Roman"/>
          <w:sz w:val="20"/>
          <w:szCs w:val="20"/>
          <w:lang w:val="en-US" w:eastAsia="en-US"/>
        </w:rPr>
        <w:id w:val="1122809831"/>
        <w:docPartObj>
          <w:docPartGallery w:val="Bibliographies"/>
          <w:docPartUnique/>
        </w:docPartObj>
      </w:sdtPr>
      <w:sdtEndPr>
        <w:rPr>
          <w:rFonts w:cstheme="minorBidi"/>
          <w:sz w:val="22"/>
          <w:szCs w:val="22"/>
        </w:rPr>
      </w:sdtEndPr>
      <w:sdtContent>
        <w:p w14:paraId="4F6CD142" w14:textId="77777777" w:rsidR="009F42C4" w:rsidRDefault="009F42C4">
          <w:pPr>
            <w:pStyle w:val="Heading1"/>
          </w:pPr>
          <w:r>
            <w:t>References</w:t>
          </w:r>
        </w:p>
        <w:sdt>
          <w:sdtPr>
            <w:id w:val="-573587230"/>
            <w:bibliography/>
          </w:sdtPr>
          <w:sdtEndPr/>
          <w:sdtContent>
            <w:p w14:paraId="1CA4B9A7" w14:textId="77777777" w:rsidR="009F42C4" w:rsidRDefault="009F42C4">
              <w:pPr>
                <w:rPr>
                  <w:rFonts w:ascii="CG Times (WN)" w:hAnsi="CG Times (WN)"/>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F42C4" w14:paraId="2E20E1E8" w14:textId="77777777">
                <w:trPr>
                  <w:divId w:val="880746612"/>
                  <w:tblCellSpacing w:w="15" w:type="dxa"/>
                </w:trPr>
                <w:tc>
                  <w:tcPr>
                    <w:tcW w:w="50" w:type="pct"/>
                    <w:hideMark/>
                  </w:tcPr>
                  <w:p w14:paraId="76730BFD" w14:textId="77777777" w:rsidR="009F42C4" w:rsidRDefault="009F42C4">
                    <w:pPr>
                      <w:pStyle w:val="Bibliography"/>
                      <w:rPr>
                        <w:noProof/>
                        <w:sz w:val="24"/>
                        <w:szCs w:val="24"/>
                      </w:rPr>
                    </w:pPr>
                    <w:r>
                      <w:rPr>
                        <w:noProof/>
                      </w:rPr>
                      <w:t xml:space="preserve">[1] </w:t>
                    </w:r>
                  </w:p>
                </w:tc>
                <w:tc>
                  <w:tcPr>
                    <w:tcW w:w="0" w:type="auto"/>
                    <w:hideMark/>
                  </w:tcPr>
                  <w:p w14:paraId="369FDE53" w14:textId="77777777" w:rsidR="009F42C4" w:rsidRDefault="009F42C4">
                    <w:pPr>
                      <w:pStyle w:val="Bibliography"/>
                      <w:rPr>
                        <w:noProof/>
                      </w:rPr>
                    </w:pPr>
                    <w:r>
                      <w:rPr>
                        <w:noProof/>
                      </w:rPr>
                      <w:t xml:space="preserve">“RAN2#107bis, Chairman Notes”. </w:t>
                    </w:r>
                  </w:p>
                </w:tc>
              </w:tr>
              <w:tr w:rsidR="009F42C4" w14:paraId="429F7571" w14:textId="77777777">
                <w:trPr>
                  <w:divId w:val="880746612"/>
                  <w:tblCellSpacing w:w="15" w:type="dxa"/>
                </w:trPr>
                <w:tc>
                  <w:tcPr>
                    <w:tcW w:w="50" w:type="pct"/>
                    <w:hideMark/>
                  </w:tcPr>
                  <w:p w14:paraId="3E874D42" w14:textId="77777777" w:rsidR="009F42C4" w:rsidRDefault="009F42C4">
                    <w:pPr>
                      <w:pStyle w:val="Bibliography"/>
                      <w:rPr>
                        <w:noProof/>
                      </w:rPr>
                    </w:pPr>
                    <w:r>
                      <w:rPr>
                        <w:noProof/>
                      </w:rPr>
                      <w:t xml:space="preserve">[2] </w:t>
                    </w:r>
                  </w:p>
                </w:tc>
                <w:tc>
                  <w:tcPr>
                    <w:tcW w:w="0" w:type="auto"/>
                    <w:hideMark/>
                  </w:tcPr>
                  <w:p w14:paraId="67ABBDDB" w14:textId="77777777" w:rsidR="009F42C4" w:rsidRDefault="009F42C4">
                    <w:pPr>
                      <w:pStyle w:val="Bibliography"/>
                      <w:rPr>
                        <w:noProof/>
                      </w:rPr>
                    </w:pPr>
                    <w:r>
                      <w:rPr>
                        <w:noProof/>
                      </w:rPr>
                      <w:t xml:space="preserve">“R2-19xxxxx, Summary of email discussion [107bis#96][V2X] RLC AM mismatch (Huawei)”. </w:t>
                    </w:r>
                  </w:p>
                </w:tc>
              </w:tr>
              <w:tr w:rsidR="009F42C4" w14:paraId="23C1BB2A" w14:textId="77777777">
                <w:trPr>
                  <w:divId w:val="880746612"/>
                  <w:tblCellSpacing w:w="15" w:type="dxa"/>
                </w:trPr>
                <w:tc>
                  <w:tcPr>
                    <w:tcW w:w="50" w:type="pct"/>
                    <w:hideMark/>
                  </w:tcPr>
                  <w:p w14:paraId="7A6945B1" w14:textId="77777777" w:rsidR="009F42C4" w:rsidRDefault="009F42C4">
                    <w:pPr>
                      <w:pStyle w:val="Bibliography"/>
                      <w:rPr>
                        <w:noProof/>
                      </w:rPr>
                    </w:pPr>
                    <w:r>
                      <w:rPr>
                        <w:noProof/>
                      </w:rPr>
                      <w:t xml:space="preserve">[3] </w:t>
                    </w:r>
                  </w:p>
                </w:tc>
                <w:tc>
                  <w:tcPr>
                    <w:tcW w:w="0" w:type="auto"/>
                    <w:hideMark/>
                  </w:tcPr>
                  <w:p w14:paraId="33A388BE" w14:textId="77777777" w:rsidR="009F42C4" w:rsidRDefault="009F42C4">
                    <w:pPr>
                      <w:pStyle w:val="Bibliography"/>
                      <w:rPr>
                        <w:noProof/>
                      </w:rPr>
                    </w:pPr>
                    <w:r>
                      <w:rPr>
                        <w:noProof/>
                      </w:rPr>
                      <w:t xml:space="preserve">“R2-19xxxxx, On left issues for NR SL MAC design, Intel Corporation”. </w:t>
                    </w:r>
                  </w:p>
                </w:tc>
              </w:tr>
            </w:tbl>
            <w:p w14:paraId="5A360170" w14:textId="77777777" w:rsidR="009F42C4" w:rsidRDefault="009F42C4">
              <w:pPr>
                <w:divId w:val="880746612"/>
                <w:rPr>
                  <w:rFonts w:eastAsia="Times New Roman"/>
                  <w:noProof/>
                </w:rPr>
              </w:pPr>
            </w:p>
            <w:p w14:paraId="64E214F4" w14:textId="77777777" w:rsidR="009F42C4" w:rsidRDefault="009F42C4">
              <w:r>
                <w:rPr>
                  <w:b/>
                  <w:bCs/>
                  <w:noProof/>
                </w:rPr>
                <w:fldChar w:fldCharType="end"/>
              </w:r>
            </w:p>
          </w:sdtContent>
        </w:sdt>
      </w:sdtContent>
    </w:sdt>
    <w:p w14:paraId="504ACABA" w14:textId="77777777" w:rsidR="008E7279" w:rsidRPr="008E7279" w:rsidRDefault="008E7279" w:rsidP="00412873">
      <w:pPr>
        <w:pStyle w:val="Reference"/>
      </w:pPr>
    </w:p>
    <w:p w14:paraId="60502599" w14:textId="77777777" w:rsidR="0063366C" w:rsidRPr="00DF6C09" w:rsidRDefault="0063366C" w:rsidP="0063366C">
      <w:pPr>
        <w:pStyle w:val="Reference"/>
      </w:pPr>
    </w:p>
    <w:sectPr w:rsidR="0063366C" w:rsidRPr="00DF6C09">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E6662" w14:textId="77777777" w:rsidR="00092841" w:rsidRDefault="00092841">
      <w:r>
        <w:separator/>
      </w:r>
    </w:p>
  </w:endnote>
  <w:endnote w:type="continuationSeparator" w:id="0">
    <w:p w14:paraId="79CA6AC8" w14:textId="77777777" w:rsidR="00092841" w:rsidRDefault="0009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5D872" w14:textId="77777777" w:rsidR="00EC08EA" w:rsidRDefault="00EC08E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218C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8C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D684E" w14:textId="77777777" w:rsidR="00092841" w:rsidRDefault="00092841">
      <w:r>
        <w:separator/>
      </w:r>
    </w:p>
  </w:footnote>
  <w:footnote w:type="continuationSeparator" w:id="0">
    <w:p w14:paraId="7BD73879" w14:textId="77777777" w:rsidR="00092841" w:rsidRDefault="00092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556"/>
        </w:tabs>
        <w:ind w:left="35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3D70643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2A2B78"/>
    <w:multiLevelType w:val="hybridMultilevel"/>
    <w:tmpl w:val="77FEE640"/>
    <w:lvl w:ilvl="0" w:tplc="04090011">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FE6188"/>
    <w:multiLevelType w:val="hybridMultilevel"/>
    <w:tmpl w:val="0848F22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4D19A4"/>
    <w:multiLevelType w:val="hybridMultilevel"/>
    <w:tmpl w:val="D56298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9"/>
  </w:num>
  <w:num w:numId="10">
    <w:abstractNumId w:val="1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2"/>
  </w:num>
  <w:num w:numId="14">
    <w:abstractNumId w:val="8"/>
  </w:num>
  <w:num w:numId="15">
    <w:abstractNumId w:val="11"/>
  </w:num>
  <w:num w:numId="16">
    <w:abstractNumId w:val="4"/>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3A5B"/>
    <w:rsid w:val="000046E3"/>
    <w:rsid w:val="00005809"/>
    <w:rsid w:val="00006446"/>
    <w:rsid w:val="00006896"/>
    <w:rsid w:val="00007CDC"/>
    <w:rsid w:val="000109FA"/>
    <w:rsid w:val="00011B28"/>
    <w:rsid w:val="0001564A"/>
    <w:rsid w:val="00015D15"/>
    <w:rsid w:val="000203DC"/>
    <w:rsid w:val="0002564D"/>
    <w:rsid w:val="00025ECA"/>
    <w:rsid w:val="000325B8"/>
    <w:rsid w:val="00034C15"/>
    <w:rsid w:val="0003688D"/>
    <w:rsid w:val="00036BA1"/>
    <w:rsid w:val="000422E2"/>
    <w:rsid w:val="00042F22"/>
    <w:rsid w:val="000444EF"/>
    <w:rsid w:val="000460BB"/>
    <w:rsid w:val="00046743"/>
    <w:rsid w:val="00052A07"/>
    <w:rsid w:val="000534E3"/>
    <w:rsid w:val="00054D4A"/>
    <w:rsid w:val="000559BF"/>
    <w:rsid w:val="0005606A"/>
    <w:rsid w:val="00057117"/>
    <w:rsid w:val="00057E77"/>
    <w:rsid w:val="00060EC2"/>
    <w:rsid w:val="000616E7"/>
    <w:rsid w:val="0006487E"/>
    <w:rsid w:val="00065E1A"/>
    <w:rsid w:val="000749B0"/>
    <w:rsid w:val="0007620B"/>
    <w:rsid w:val="00076801"/>
    <w:rsid w:val="00077E5F"/>
    <w:rsid w:val="0008036A"/>
    <w:rsid w:val="00080B1B"/>
    <w:rsid w:val="00081AE6"/>
    <w:rsid w:val="000855EB"/>
    <w:rsid w:val="00085824"/>
    <w:rsid w:val="00085B52"/>
    <w:rsid w:val="000866F2"/>
    <w:rsid w:val="0009009F"/>
    <w:rsid w:val="00090366"/>
    <w:rsid w:val="000909D2"/>
    <w:rsid w:val="00091557"/>
    <w:rsid w:val="000924C1"/>
    <w:rsid w:val="000924F0"/>
    <w:rsid w:val="00092841"/>
    <w:rsid w:val="00093474"/>
    <w:rsid w:val="000934A5"/>
    <w:rsid w:val="0009493B"/>
    <w:rsid w:val="0009510F"/>
    <w:rsid w:val="000A0E2F"/>
    <w:rsid w:val="000A1B7B"/>
    <w:rsid w:val="000A56F2"/>
    <w:rsid w:val="000A5A64"/>
    <w:rsid w:val="000B190F"/>
    <w:rsid w:val="000B1999"/>
    <w:rsid w:val="000B20F8"/>
    <w:rsid w:val="000B2719"/>
    <w:rsid w:val="000B276C"/>
    <w:rsid w:val="000B3A8F"/>
    <w:rsid w:val="000B3B7A"/>
    <w:rsid w:val="000B4AB9"/>
    <w:rsid w:val="000B58C3"/>
    <w:rsid w:val="000B61E9"/>
    <w:rsid w:val="000B66CB"/>
    <w:rsid w:val="000C165A"/>
    <w:rsid w:val="000C2E19"/>
    <w:rsid w:val="000C3BA5"/>
    <w:rsid w:val="000C66FC"/>
    <w:rsid w:val="000D0D07"/>
    <w:rsid w:val="000D3FD1"/>
    <w:rsid w:val="000D4797"/>
    <w:rsid w:val="000E0527"/>
    <w:rsid w:val="000E1E92"/>
    <w:rsid w:val="000E3ECC"/>
    <w:rsid w:val="000F06D6"/>
    <w:rsid w:val="000F0EB1"/>
    <w:rsid w:val="000F1106"/>
    <w:rsid w:val="000F3BE9"/>
    <w:rsid w:val="000F3F6C"/>
    <w:rsid w:val="000F6DF3"/>
    <w:rsid w:val="001005FF"/>
    <w:rsid w:val="00100B27"/>
    <w:rsid w:val="001062FB"/>
    <w:rsid w:val="001063E6"/>
    <w:rsid w:val="00107CB3"/>
    <w:rsid w:val="001110A6"/>
    <w:rsid w:val="001129A9"/>
    <w:rsid w:val="00113CF4"/>
    <w:rsid w:val="00114A7A"/>
    <w:rsid w:val="001153EA"/>
    <w:rsid w:val="00115643"/>
    <w:rsid w:val="00116765"/>
    <w:rsid w:val="00116CD6"/>
    <w:rsid w:val="001218C6"/>
    <w:rsid w:val="001219F5"/>
    <w:rsid w:val="00121A20"/>
    <w:rsid w:val="0012377F"/>
    <w:rsid w:val="00124314"/>
    <w:rsid w:val="00126B4A"/>
    <w:rsid w:val="00132FD0"/>
    <w:rsid w:val="001344C0"/>
    <w:rsid w:val="001346FA"/>
    <w:rsid w:val="00135252"/>
    <w:rsid w:val="00136B2C"/>
    <w:rsid w:val="00137AB5"/>
    <w:rsid w:val="00137F0B"/>
    <w:rsid w:val="00151E23"/>
    <w:rsid w:val="001526E0"/>
    <w:rsid w:val="001551B5"/>
    <w:rsid w:val="001605D8"/>
    <w:rsid w:val="00165545"/>
    <w:rsid w:val="001659C1"/>
    <w:rsid w:val="00165FFB"/>
    <w:rsid w:val="00166588"/>
    <w:rsid w:val="00166BB5"/>
    <w:rsid w:val="001710FA"/>
    <w:rsid w:val="00171148"/>
    <w:rsid w:val="001727D0"/>
    <w:rsid w:val="0017391E"/>
    <w:rsid w:val="00173A8E"/>
    <w:rsid w:val="00176A65"/>
    <w:rsid w:val="00176B01"/>
    <w:rsid w:val="0018143F"/>
    <w:rsid w:val="00183C22"/>
    <w:rsid w:val="00190AC1"/>
    <w:rsid w:val="00192D47"/>
    <w:rsid w:val="0019341A"/>
    <w:rsid w:val="00193C64"/>
    <w:rsid w:val="00194C0C"/>
    <w:rsid w:val="00197DF9"/>
    <w:rsid w:val="00197E05"/>
    <w:rsid w:val="001A0948"/>
    <w:rsid w:val="001A1987"/>
    <w:rsid w:val="001A2489"/>
    <w:rsid w:val="001A2564"/>
    <w:rsid w:val="001A42AD"/>
    <w:rsid w:val="001A6173"/>
    <w:rsid w:val="001A6430"/>
    <w:rsid w:val="001A6CBA"/>
    <w:rsid w:val="001A742E"/>
    <w:rsid w:val="001B05F9"/>
    <w:rsid w:val="001B0B6C"/>
    <w:rsid w:val="001B0D97"/>
    <w:rsid w:val="001B1F66"/>
    <w:rsid w:val="001B3C86"/>
    <w:rsid w:val="001B47A5"/>
    <w:rsid w:val="001B57D4"/>
    <w:rsid w:val="001B5A5D"/>
    <w:rsid w:val="001B6D2D"/>
    <w:rsid w:val="001C1CE5"/>
    <w:rsid w:val="001C3D2A"/>
    <w:rsid w:val="001C5A7F"/>
    <w:rsid w:val="001D07A5"/>
    <w:rsid w:val="001D179D"/>
    <w:rsid w:val="001D185F"/>
    <w:rsid w:val="001D214F"/>
    <w:rsid w:val="001D51BA"/>
    <w:rsid w:val="001D6342"/>
    <w:rsid w:val="001D6D53"/>
    <w:rsid w:val="001E1805"/>
    <w:rsid w:val="001E281A"/>
    <w:rsid w:val="001E58E2"/>
    <w:rsid w:val="001E7AED"/>
    <w:rsid w:val="001F126F"/>
    <w:rsid w:val="001F3916"/>
    <w:rsid w:val="001F54C5"/>
    <w:rsid w:val="001F662C"/>
    <w:rsid w:val="001F7074"/>
    <w:rsid w:val="001F7A7C"/>
    <w:rsid w:val="00200490"/>
    <w:rsid w:val="00201F3A"/>
    <w:rsid w:val="00202E05"/>
    <w:rsid w:val="00203F96"/>
    <w:rsid w:val="002069B2"/>
    <w:rsid w:val="00207FA3"/>
    <w:rsid w:val="00210F3F"/>
    <w:rsid w:val="00211097"/>
    <w:rsid w:val="00214316"/>
    <w:rsid w:val="00214DA8"/>
    <w:rsid w:val="00215423"/>
    <w:rsid w:val="002158FA"/>
    <w:rsid w:val="00220600"/>
    <w:rsid w:val="00220F69"/>
    <w:rsid w:val="002224DB"/>
    <w:rsid w:val="00223FCB"/>
    <w:rsid w:val="002252C3"/>
    <w:rsid w:val="00225C54"/>
    <w:rsid w:val="00230765"/>
    <w:rsid w:val="002319E4"/>
    <w:rsid w:val="00235036"/>
    <w:rsid w:val="00235632"/>
    <w:rsid w:val="00235872"/>
    <w:rsid w:val="00240B1A"/>
    <w:rsid w:val="00241405"/>
    <w:rsid w:val="00241559"/>
    <w:rsid w:val="002435B3"/>
    <w:rsid w:val="00243C0B"/>
    <w:rsid w:val="002458EB"/>
    <w:rsid w:val="002468AB"/>
    <w:rsid w:val="00247504"/>
    <w:rsid w:val="002500C8"/>
    <w:rsid w:val="002532D8"/>
    <w:rsid w:val="00255521"/>
    <w:rsid w:val="00256137"/>
    <w:rsid w:val="00257543"/>
    <w:rsid w:val="002617E7"/>
    <w:rsid w:val="00262C31"/>
    <w:rsid w:val="00264228"/>
    <w:rsid w:val="00264334"/>
    <w:rsid w:val="0026473E"/>
    <w:rsid w:val="0026486C"/>
    <w:rsid w:val="00264F75"/>
    <w:rsid w:val="00266214"/>
    <w:rsid w:val="00267C83"/>
    <w:rsid w:val="002700A1"/>
    <w:rsid w:val="002713BC"/>
    <w:rsid w:val="0027144F"/>
    <w:rsid w:val="00271813"/>
    <w:rsid w:val="00271F3A"/>
    <w:rsid w:val="00273278"/>
    <w:rsid w:val="002737F4"/>
    <w:rsid w:val="00274543"/>
    <w:rsid w:val="00276545"/>
    <w:rsid w:val="002804D3"/>
    <w:rsid w:val="002805F5"/>
    <w:rsid w:val="00280751"/>
    <w:rsid w:val="00280D01"/>
    <w:rsid w:val="0028280A"/>
    <w:rsid w:val="00283D27"/>
    <w:rsid w:val="00286ACD"/>
    <w:rsid w:val="00287838"/>
    <w:rsid w:val="002907B5"/>
    <w:rsid w:val="00290CBE"/>
    <w:rsid w:val="00292EB7"/>
    <w:rsid w:val="00296227"/>
    <w:rsid w:val="002967DA"/>
    <w:rsid w:val="00296F44"/>
    <w:rsid w:val="0029777D"/>
    <w:rsid w:val="00297FB1"/>
    <w:rsid w:val="002A055E"/>
    <w:rsid w:val="002A134C"/>
    <w:rsid w:val="002A1D4E"/>
    <w:rsid w:val="002A2072"/>
    <w:rsid w:val="002A2869"/>
    <w:rsid w:val="002A517B"/>
    <w:rsid w:val="002A630C"/>
    <w:rsid w:val="002B24D6"/>
    <w:rsid w:val="002B333E"/>
    <w:rsid w:val="002C41E6"/>
    <w:rsid w:val="002C47E5"/>
    <w:rsid w:val="002C6140"/>
    <w:rsid w:val="002C7540"/>
    <w:rsid w:val="002D071A"/>
    <w:rsid w:val="002D34B2"/>
    <w:rsid w:val="002D38DF"/>
    <w:rsid w:val="002D7637"/>
    <w:rsid w:val="002E0759"/>
    <w:rsid w:val="002E17F2"/>
    <w:rsid w:val="002E4497"/>
    <w:rsid w:val="002E5A92"/>
    <w:rsid w:val="002E7C4D"/>
    <w:rsid w:val="002E7CAE"/>
    <w:rsid w:val="002F1BE3"/>
    <w:rsid w:val="002F2771"/>
    <w:rsid w:val="002F37A9"/>
    <w:rsid w:val="002F671E"/>
    <w:rsid w:val="00300832"/>
    <w:rsid w:val="00301CE6"/>
    <w:rsid w:val="00301E69"/>
    <w:rsid w:val="0030256B"/>
    <w:rsid w:val="00303236"/>
    <w:rsid w:val="003034C3"/>
    <w:rsid w:val="0030501F"/>
    <w:rsid w:val="003066C7"/>
    <w:rsid w:val="00306B2B"/>
    <w:rsid w:val="00307BA1"/>
    <w:rsid w:val="00307D2A"/>
    <w:rsid w:val="00311702"/>
    <w:rsid w:val="00311E82"/>
    <w:rsid w:val="003130B9"/>
    <w:rsid w:val="00313FD6"/>
    <w:rsid w:val="003143BD"/>
    <w:rsid w:val="003203ED"/>
    <w:rsid w:val="00320F63"/>
    <w:rsid w:val="00321CCD"/>
    <w:rsid w:val="00322C9F"/>
    <w:rsid w:val="00324D23"/>
    <w:rsid w:val="00326BBC"/>
    <w:rsid w:val="00331751"/>
    <w:rsid w:val="003339B1"/>
    <w:rsid w:val="00334579"/>
    <w:rsid w:val="00334DA1"/>
    <w:rsid w:val="00335858"/>
    <w:rsid w:val="00336400"/>
    <w:rsid w:val="00336BDA"/>
    <w:rsid w:val="00342AE2"/>
    <w:rsid w:val="00342BD7"/>
    <w:rsid w:val="0034668E"/>
    <w:rsid w:val="0034687F"/>
    <w:rsid w:val="00346DB5"/>
    <w:rsid w:val="003477B1"/>
    <w:rsid w:val="00354EB9"/>
    <w:rsid w:val="00355487"/>
    <w:rsid w:val="003572EC"/>
    <w:rsid w:val="00357380"/>
    <w:rsid w:val="003602D9"/>
    <w:rsid w:val="003604CE"/>
    <w:rsid w:val="00364911"/>
    <w:rsid w:val="00367397"/>
    <w:rsid w:val="00370E47"/>
    <w:rsid w:val="00371DB1"/>
    <w:rsid w:val="00372591"/>
    <w:rsid w:val="00373D74"/>
    <w:rsid w:val="003742AC"/>
    <w:rsid w:val="00377CE1"/>
    <w:rsid w:val="00385BF0"/>
    <w:rsid w:val="00390339"/>
    <w:rsid w:val="003939FF"/>
    <w:rsid w:val="003A025F"/>
    <w:rsid w:val="003A15EC"/>
    <w:rsid w:val="003A2223"/>
    <w:rsid w:val="003A2294"/>
    <w:rsid w:val="003A2A0F"/>
    <w:rsid w:val="003A37B0"/>
    <w:rsid w:val="003A45A1"/>
    <w:rsid w:val="003A5154"/>
    <w:rsid w:val="003A5B0A"/>
    <w:rsid w:val="003A6BAC"/>
    <w:rsid w:val="003A7EF3"/>
    <w:rsid w:val="003B07A7"/>
    <w:rsid w:val="003B159C"/>
    <w:rsid w:val="003B369F"/>
    <w:rsid w:val="003B36A3"/>
    <w:rsid w:val="003B7FE5"/>
    <w:rsid w:val="003C11C8"/>
    <w:rsid w:val="003C19DA"/>
    <w:rsid w:val="003C1E5C"/>
    <w:rsid w:val="003C2702"/>
    <w:rsid w:val="003C7806"/>
    <w:rsid w:val="003D109F"/>
    <w:rsid w:val="003D2478"/>
    <w:rsid w:val="003D252B"/>
    <w:rsid w:val="003D3C45"/>
    <w:rsid w:val="003D4E39"/>
    <w:rsid w:val="003D5B1F"/>
    <w:rsid w:val="003D5E19"/>
    <w:rsid w:val="003D62C8"/>
    <w:rsid w:val="003D6952"/>
    <w:rsid w:val="003E0A1E"/>
    <w:rsid w:val="003E15FA"/>
    <w:rsid w:val="003E2466"/>
    <w:rsid w:val="003E2EC0"/>
    <w:rsid w:val="003E3ABC"/>
    <w:rsid w:val="003E55E4"/>
    <w:rsid w:val="003E74E3"/>
    <w:rsid w:val="003F05C7"/>
    <w:rsid w:val="003F0FC3"/>
    <w:rsid w:val="003F1455"/>
    <w:rsid w:val="003F2904"/>
    <w:rsid w:val="003F2CD4"/>
    <w:rsid w:val="003F435A"/>
    <w:rsid w:val="003F6BBE"/>
    <w:rsid w:val="004000E8"/>
    <w:rsid w:val="00400664"/>
    <w:rsid w:val="004008DB"/>
    <w:rsid w:val="00402E2B"/>
    <w:rsid w:val="0040512B"/>
    <w:rsid w:val="00405CA5"/>
    <w:rsid w:val="00407CD3"/>
    <w:rsid w:val="00410134"/>
    <w:rsid w:val="00410B72"/>
    <w:rsid w:val="00410F18"/>
    <w:rsid w:val="0041263E"/>
    <w:rsid w:val="00412873"/>
    <w:rsid w:val="00413AAC"/>
    <w:rsid w:val="00413E92"/>
    <w:rsid w:val="00417191"/>
    <w:rsid w:val="00421105"/>
    <w:rsid w:val="00422D45"/>
    <w:rsid w:val="004242F4"/>
    <w:rsid w:val="00425B88"/>
    <w:rsid w:val="00427248"/>
    <w:rsid w:val="00434A60"/>
    <w:rsid w:val="00435E43"/>
    <w:rsid w:val="00436E7B"/>
    <w:rsid w:val="00437447"/>
    <w:rsid w:val="00437D51"/>
    <w:rsid w:val="00441A92"/>
    <w:rsid w:val="00444F56"/>
    <w:rsid w:val="00446488"/>
    <w:rsid w:val="00446D86"/>
    <w:rsid w:val="004517AA"/>
    <w:rsid w:val="00452CAC"/>
    <w:rsid w:val="00454ED7"/>
    <w:rsid w:val="00457565"/>
    <w:rsid w:val="00457B71"/>
    <w:rsid w:val="00462F0B"/>
    <w:rsid w:val="004652FD"/>
    <w:rsid w:val="004669E2"/>
    <w:rsid w:val="00470C31"/>
    <w:rsid w:val="004734D0"/>
    <w:rsid w:val="0047556B"/>
    <w:rsid w:val="00477768"/>
    <w:rsid w:val="00483F9B"/>
    <w:rsid w:val="004874D0"/>
    <w:rsid w:val="00490DE1"/>
    <w:rsid w:val="004914F8"/>
    <w:rsid w:val="00491514"/>
    <w:rsid w:val="00492BC5"/>
    <w:rsid w:val="004964F1"/>
    <w:rsid w:val="00496ABA"/>
    <w:rsid w:val="00497FF1"/>
    <w:rsid w:val="004A14CF"/>
    <w:rsid w:val="004A16BC"/>
    <w:rsid w:val="004A2B94"/>
    <w:rsid w:val="004A6068"/>
    <w:rsid w:val="004B19AF"/>
    <w:rsid w:val="004B5C2F"/>
    <w:rsid w:val="004B6BA6"/>
    <w:rsid w:val="004B7C0C"/>
    <w:rsid w:val="004C3898"/>
    <w:rsid w:val="004C4246"/>
    <w:rsid w:val="004C6FC1"/>
    <w:rsid w:val="004D1E7F"/>
    <w:rsid w:val="004D22F6"/>
    <w:rsid w:val="004D36B1"/>
    <w:rsid w:val="004D3F54"/>
    <w:rsid w:val="004D5660"/>
    <w:rsid w:val="004D7EBD"/>
    <w:rsid w:val="004E053C"/>
    <w:rsid w:val="004E143B"/>
    <w:rsid w:val="004E1A1B"/>
    <w:rsid w:val="004E2680"/>
    <w:rsid w:val="004E28F9"/>
    <w:rsid w:val="004E462E"/>
    <w:rsid w:val="004E4E16"/>
    <w:rsid w:val="004E5166"/>
    <w:rsid w:val="004E56DC"/>
    <w:rsid w:val="004E6538"/>
    <w:rsid w:val="004E76F4"/>
    <w:rsid w:val="004F0B4E"/>
    <w:rsid w:val="004F0B6C"/>
    <w:rsid w:val="004F2078"/>
    <w:rsid w:val="004F4DA3"/>
    <w:rsid w:val="004F749E"/>
    <w:rsid w:val="004F7C46"/>
    <w:rsid w:val="00503E4C"/>
    <w:rsid w:val="00505110"/>
    <w:rsid w:val="00506557"/>
    <w:rsid w:val="0050677A"/>
    <w:rsid w:val="005108D8"/>
    <w:rsid w:val="00510A9B"/>
    <w:rsid w:val="005116F9"/>
    <w:rsid w:val="00511892"/>
    <w:rsid w:val="00511DD1"/>
    <w:rsid w:val="00513267"/>
    <w:rsid w:val="005153A7"/>
    <w:rsid w:val="005219CF"/>
    <w:rsid w:val="00522AB1"/>
    <w:rsid w:val="00530643"/>
    <w:rsid w:val="00534B59"/>
    <w:rsid w:val="00536759"/>
    <w:rsid w:val="00537C62"/>
    <w:rsid w:val="00542BCE"/>
    <w:rsid w:val="0054374A"/>
    <w:rsid w:val="00546970"/>
    <w:rsid w:val="00550BCB"/>
    <w:rsid w:val="00552585"/>
    <w:rsid w:val="00553DB7"/>
    <w:rsid w:val="00554E19"/>
    <w:rsid w:val="00556BFA"/>
    <w:rsid w:val="0056121F"/>
    <w:rsid w:val="0057126F"/>
    <w:rsid w:val="00572505"/>
    <w:rsid w:val="00573912"/>
    <w:rsid w:val="0057400C"/>
    <w:rsid w:val="005744DA"/>
    <w:rsid w:val="0057664C"/>
    <w:rsid w:val="00580A1C"/>
    <w:rsid w:val="00582809"/>
    <w:rsid w:val="00584004"/>
    <w:rsid w:val="005863B0"/>
    <w:rsid w:val="0058798C"/>
    <w:rsid w:val="005900FA"/>
    <w:rsid w:val="0059162F"/>
    <w:rsid w:val="005935A4"/>
    <w:rsid w:val="005948C2"/>
    <w:rsid w:val="00595DCA"/>
    <w:rsid w:val="005975B0"/>
    <w:rsid w:val="0059779B"/>
    <w:rsid w:val="005A011C"/>
    <w:rsid w:val="005A209A"/>
    <w:rsid w:val="005A50CA"/>
    <w:rsid w:val="005A662D"/>
    <w:rsid w:val="005B35D7"/>
    <w:rsid w:val="005B36D7"/>
    <w:rsid w:val="005B392A"/>
    <w:rsid w:val="005B3AA3"/>
    <w:rsid w:val="005B44FC"/>
    <w:rsid w:val="005B50DB"/>
    <w:rsid w:val="005B6F83"/>
    <w:rsid w:val="005C0A0D"/>
    <w:rsid w:val="005C5C7E"/>
    <w:rsid w:val="005C74FB"/>
    <w:rsid w:val="005D1602"/>
    <w:rsid w:val="005D3563"/>
    <w:rsid w:val="005E08E8"/>
    <w:rsid w:val="005E385F"/>
    <w:rsid w:val="005E3BDB"/>
    <w:rsid w:val="005E5B81"/>
    <w:rsid w:val="005E670F"/>
    <w:rsid w:val="005F1077"/>
    <w:rsid w:val="005F1237"/>
    <w:rsid w:val="005F2CB1"/>
    <w:rsid w:val="005F3025"/>
    <w:rsid w:val="005F4CF9"/>
    <w:rsid w:val="005F501E"/>
    <w:rsid w:val="005F618C"/>
    <w:rsid w:val="005F70BD"/>
    <w:rsid w:val="005F7E30"/>
    <w:rsid w:val="0060283C"/>
    <w:rsid w:val="006039AD"/>
    <w:rsid w:val="00604F14"/>
    <w:rsid w:val="00605419"/>
    <w:rsid w:val="00611B83"/>
    <w:rsid w:val="00613257"/>
    <w:rsid w:val="0061342C"/>
    <w:rsid w:val="006146CE"/>
    <w:rsid w:val="00614AF8"/>
    <w:rsid w:val="00620A71"/>
    <w:rsid w:val="00620D80"/>
    <w:rsid w:val="006234A6"/>
    <w:rsid w:val="00623A29"/>
    <w:rsid w:val="00623AA7"/>
    <w:rsid w:val="00630001"/>
    <w:rsid w:val="006311B3"/>
    <w:rsid w:val="0063284C"/>
    <w:rsid w:val="00632BE1"/>
    <w:rsid w:val="0063366C"/>
    <w:rsid w:val="00633F2F"/>
    <w:rsid w:val="00635037"/>
    <w:rsid w:val="00636398"/>
    <w:rsid w:val="006368D3"/>
    <w:rsid w:val="006377EC"/>
    <w:rsid w:val="0064151F"/>
    <w:rsid w:val="00641533"/>
    <w:rsid w:val="00641D12"/>
    <w:rsid w:val="0064208D"/>
    <w:rsid w:val="00643475"/>
    <w:rsid w:val="0064396A"/>
    <w:rsid w:val="0064624E"/>
    <w:rsid w:val="006470FA"/>
    <w:rsid w:val="00650AB9"/>
    <w:rsid w:val="006536C1"/>
    <w:rsid w:val="00655733"/>
    <w:rsid w:val="00655ACD"/>
    <w:rsid w:val="00656A92"/>
    <w:rsid w:val="00656DDE"/>
    <w:rsid w:val="0066011D"/>
    <w:rsid w:val="006607C0"/>
    <w:rsid w:val="00660879"/>
    <w:rsid w:val="006613A6"/>
    <w:rsid w:val="006627A2"/>
    <w:rsid w:val="006634E6"/>
    <w:rsid w:val="006655EE"/>
    <w:rsid w:val="00667843"/>
    <w:rsid w:val="00667EE7"/>
    <w:rsid w:val="00670922"/>
    <w:rsid w:val="00670BE1"/>
    <w:rsid w:val="0067114E"/>
    <w:rsid w:val="00671ACF"/>
    <w:rsid w:val="0067218F"/>
    <w:rsid w:val="00672E5C"/>
    <w:rsid w:val="006741F2"/>
    <w:rsid w:val="00674CC3"/>
    <w:rsid w:val="00675C72"/>
    <w:rsid w:val="00676D66"/>
    <w:rsid w:val="006771F9"/>
    <w:rsid w:val="006776D7"/>
    <w:rsid w:val="006778D8"/>
    <w:rsid w:val="00681003"/>
    <w:rsid w:val="006817C9"/>
    <w:rsid w:val="00683ECE"/>
    <w:rsid w:val="00686928"/>
    <w:rsid w:val="00691D33"/>
    <w:rsid w:val="00695FC2"/>
    <w:rsid w:val="00696949"/>
    <w:rsid w:val="00697052"/>
    <w:rsid w:val="006A46FB"/>
    <w:rsid w:val="006A47A3"/>
    <w:rsid w:val="006A5E28"/>
    <w:rsid w:val="006A697B"/>
    <w:rsid w:val="006A7AFF"/>
    <w:rsid w:val="006B1816"/>
    <w:rsid w:val="006B2099"/>
    <w:rsid w:val="006B50CF"/>
    <w:rsid w:val="006B5412"/>
    <w:rsid w:val="006C03B8"/>
    <w:rsid w:val="006C1DB4"/>
    <w:rsid w:val="006C5EC9"/>
    <w:rsid w:val="006C6059"/>
    <w:rsid w:val="006C6088"/>
    <w:rsid w:val="006C6949"/>
    <w:rsid w:val="006C7522"/>
    <w:rsid w:val="006D04D1"/>
    <w:rsid w:val="006D2962"/>
    <w:rsid w:val="006D3530"/>
    <w:rsid w:val="006D6F08"/>
    <w:rsid w:val="006E062C"/>
    <w:rsid w:val="006E28B7"/>
    <w:rsid w:val="006E3310"/>
    <w:rsid w:val="006E3F65"/>
    <w:rsid w:val="006E4E39"/>
    <w:rsid w:val="006E51F1"/>
    <w:rsid w:val="006E565E"/>
    <w:rsid w:val="006E5F94"/>
    <w:rsid w:val="006E673D"/>
    <w:rsid w:val="006E7D3B"/>
    <w:rsid w:val="006E7E13"/>
    <w:rsid w:val="006F11FE"/>
    <w:rsid w:val="006F1B70"/>
    <w:rsid w:val="006F341D"/>
    <w:rsid w:val="006F3620"/>
    <w:rsid w:val="006F3CDE"/>
    <w:rsid w:val="006F58D4"/>
    <w:rsid w:val="006F5AFE"/>
    <w:rsid w:val="00700A9B"/>
    <w:rsid w:val="0070104C"/>
    <w:rsid w:val="007020A0"/>
    <w:rsid w:val="0070346E"/>
    <w:rsid w:val="00703909"/>
    <w:rsid w:val="00703A9D"/>
    <w:rsid w:val="00703CA3"/>
    <w:rsid w:val="00704EDB"/>
    <w:rsid w:val="00706101"/>
    <w:rsid w:val="00707072"/>
    <w:rsid w:val="00707D61"/>
    <w:rsid w:val="00710CE9"/>
    <w:rsid w:val="00712287"/>
    <w:rsid w:val="0071248D"/>
    <w:rsid w:val="00712772"/>
    <w:rsid w:val="00713AEA"/>
    <w:rsid w:val="00713D85"/>
    <w:rsid w:val="007147BD"/>
    <w:rsid w:val="007148D3"/>
    <w:rsid w:val="00715B9A"/>
    <w:rsid w:val="007164DD"/>
    <w:rsid w:val="00725652"/>
    <w:rsid w:val="00726EA6"/>
    <w:rsid w:val="00727208"/>
    <w:rsid w:val="00727680"/>
    <w:rsid w:val="007313EC"/>
    <w:rsid w:val="007348B1"/>
    <w:rsid w:val="007362A6"/>
    <w:rsid w:val="00736D7D"/>
    <w:rsid w:val="007375F2"/>
    <w:rsid w:val="00737BD3"/>
    <w:rsid w:val="00737C3B"/>
    <w:rsid w:val="00740E58"/>
    <w:rsid w:val="00743630"/>
    <w:rsid w:val="007445A0"/>
    <w:rsid w:val="0074524B"/>
    <w:rsid w:val="00747D8B"/>
    <w:rsid w:val="00747EB8"/>
    <w:rsid w:val="007504C4"/>
    <w:rsid w:val="00751228"/>
    <w:rsid w:val="007571E1"/>
    <w:rsid w:val="007604B2"/>
    <w:rsid w:val="007605F1"/>
    <w:rsid w:val="00760E38"/>
    <w:rsid w:val="00765281"/>
    <w:rsid w:val="00766BAD"/>
    <w:rsid w:val="0077084A"/>
    <w:rsid w:val="00771B71"/>
    <w:rsid w:val="00772F7E"/>
    <w:rsid w:val="00775299"/>
    <w:rsid w:val="007755F2"/>
    <w:rsid w:val="00776416"/>
    <w:rsid w:val="007767E2"/>
    <w:rsid w:val="00776971"/>
    <w:rsid w:val="00777884"/>
    <w:rsid w:val="007803B6"/>
    <w:rsid w:val="0078177E"/>
    <w:rsid w:val="0078304C"/>
    <w:rsid w:val="00783673"/>
    <w:rsid w:val="00783C05"/>
    <w:rsid w:val="00784F09"/>
    <w:rsid w:val="00785490"/>
    <w:rsid w:val="007925EA"/>
    <w:rsid w:val="00793CD8"/>
    <w:rsid w:val="00795C92"/>
    <w:rsid w:val="00796231"/>
    <w:rsid w:val="00796D84"/>
    <w:rsid w:val="007A072E"/>
    <w:rsid w:val="007A1CB3"/>
    <w:rsid w:val="007A306F"/>
    <w:rsid w:val="007A43A6"/>
    <w:rsid w:val="007A58A6"/>
    <w:rsid w:val="007A5D82"/>
    <w:rsid w:val="007B2C41"/>
    <w:rsid w:val="007B3D2D"/>
    <w:rsid w:val="007B50AE"/>
    <w:rsid w:val="007B51DF"/>
    <w:rsid w:val="007B69DC"/>
    <w:rsid w:val="007C05DD"/>
    <w:rsid w:val="007C3AFD"/>
    <w:rsid w:val="007C3D18"/>
    <w:rsid w:val="007C60BF"/>
    <w:rsid w:val="007C6A07"/>
    <w:rsid w:val="007C75A1"/>
    <w:rsid w:val="007C77A5"/>
    <w:rsid w:val="007D0342"/>
    <w:rsid w:val="007D04E5"/>
    <w:rsid w:val="007D11B8"/>
    <w:rsid w:val="007D5901"/>
    <w:rsid w:val="007D7526"/>
    <w:rsid w:val="007E4610"/>
    <w:rsid w:val="007E4715"/>
    <w:rsid w:val="007E505B"/>
    <w:rsid w:val="007E5EFF"/>
    <w:rsid w:val="007E7091"/>
    <w:rsid w:val="007E7F7C"/>
    <w:rsid w:val="007F22C6"/>
    <w:rsid w:val="007F3A3A"/>
    <w:rsid w:val="007F7230"/>
    <w:rsid w:val="008037A3"/>
    <w:rsid w:val="00803FAE"/>
    <w:rsid w:val="00804A62"/>
    <w:rsid w:val="0080605F"/>
    <w:rsid w:val="00806500"/>
    <w:rsid w:val="00806AD0"/>
    <w:rsid w:val="00807786"/>
    <w:rsid w:val="008078FF"/>
    <w:rsid w:val="00807D52"/>
    <w:rsid w:val="00811FCB"/>
    <w:rsid w:val="008122FF"/>
    <w:rsid w:val="00814646"/>
    <w:rsid w:val="008158D6"/>
    <w:rsid w:val="0081599E"/>
    <w:rsid w:val="00817196"/>
    <w:rsid w:val="00820E6D"/>
    <w:rsid w:val="008235DB"/>
    <w:rsid w:val="00824AB4"/>
    <w:rsid w:val="00824CC4"/>
    <w:rsid w:val="00825284"/>
    <w:rsid w:val="00825C42"/>
    <w:rsid w:val="00825D25"/>
    <w:rsid w:val="00827D6F"/>
    <w:rsid w:val="008376AC"/>
    <w:rsid w:val="008412EA"/>
    <w:rsid w:val="008437DF"/>
    <w:rsid w:val="008444E8"/>
    <w:rsid w:val="00844E80"/>
    <w:rsid w:val="00845754"/>
    <w:rsid w:val="00846FE7"/>
    <w:rsid w:val="00853FD9"/>
    <w:rsid w:val="008562F9"/>
    <w:rsid w:val="00856911"/>
    <w:rsid w:val="00857F50"/>
    <w:rsid w:val="00860EF4"/>
    <w:rsid w:val="00861A02"/>
    <w:rsid w:val="0086318D"/>
    <w:rsid w:val="00865BAC"/>
    <w:rsid w:val="00865C41"/>
    <w:rsid w:val="008677FD"/>
    <w:rsid w:val="008706D4"/>
    <w:rsid w:val="00870F8A"/>
    <w:rsid w:val="008719A4"/>
    <w:rsid w:val="00871BA7"/>
    <w:rsid w:val="00871D23"/>
    <w:rsid w:val="00874312"/>
    <w:rsid w:val="0087437C"/>
    <w:rsid w:val="00875CD7"/>
    <w:rsid w:val="008765EF"/>
    <w:rsid w:val="00876B4D"/>
    <w:rsid w:val="0087701B"/>
    <w:rsid w:val="00877F18"/>
    <w:rsid w:val="00880032"/>
    <w:rsid w:val="00885BD5"/>
    <w:rsid w:val="00892F30"/>
    <w:rsid w:val="00894A88"/>
    <w:rsid w:val="00895386"/>
    <w:rsid w:val="00895EAC"/>
    <w:rsid w:val="008972EB"/>
    <w:rsid w:val="008A21FF"/>
    <w:rsid w:val="008A2CE2"/>
    <w:rsid w:val="008A2F6D"/>
    <w:rsid w:val="008A30AC"/>
    <w:rsid w:val="008A44B8"/>
    <w:rsid w:val="008A46E5"/>
    <w:rsid w:val="008A51A8"/>
    <w:rsid w:val="008A54C7"/>
    <w:rsid w:val="008A77D8"/>
    <w:rsid w:val="008B0483"/>
    <w:rsid w:val="008B120C"/>
    <w:rsid w:val="008B3C72"/>
    <w:rsid w:val="008B51A0"/>
    <w:rsid w:val="008B592A"/>
    <w:rsid w:val="008B67FB"/>
    <w:rsid w:val="008B7997"/>
    <w:rsid w:val="008B7B5C"/>
    <w:rsid w:val="008C0B84"/>
    <w:rsid w:val="008C0C99"/>
    <w:rsid w:val="008C1C91"/>
    <w:rsid w:val="008C2017"/>
    <w:rsid w:val="008C278C"/>
    <w:rsid w:val="008C4958"/>
    <w:rsid w:val="008C4BAA"/>
    <w:rsid w:val="008C6AE8"/>
    <w:rsid w:val="008C7573"/>
    <w:rsid w:val="008D1668"/>
    <w:rsid w:val="008D34F1"/>
    <w:rsid w:val="008D39D8"/>
    <w:rsid w:val="008D6D1A"/>
    <w:rsid w:val="008D7784"/>
    <w:rsid w:val="008E065E"/>
    <w:rsid w:val="008E0927"/>
    <w:rsid w:val="008E1909"/>
    <w:rsid w:val="008E1990"/>
    <w:rsid w:val="008E4D7C"/>
    <w:rsid w:val="008E5D7D"/>
    <w:rsid w:val="008E7279"/>
    <w:rsid w:val="008E7C85"/>
    <w:rsid w:val="008F159A"/>
    <w:rsid w:val="008F1EAB"/>
    <w:rsid w:val="008F33DC"/>
    <w:rsid w:val="008F477F"/>
    <w:rsid w:val="00902350"/>
    <w:rsid w:val="0090336B"/>
    <w:rsid w:val="009053AA"/>
    <w:rsid w:val="00906939"/>
    <w:rsid w:val="00910A74"/>
    <w:rsid w:val="00910B7D"/>
    <w:rsid w:val="00911DFB"/>
    <w:rsid w:val="009139D9"/>
    <w:rsid w:val="00914AD8"/>
    <w:rsid w:val="00916079"/>
    <w:rsid w:val="00917CE9"/>
    <w:rsid w:val="00920BF2"/>
    <w:rsid w:val="009210EF"/>
    <w:rsid w:val="00921D86"/>
    <w:rsid w:val="00922010"/>
    <w:rsid w:val="009305EA"/>
    <w:rsid w:val="00931BD9"/>
    <w:rsid w:val="00932336"/>
    <w:rsid w:val="0093233C"/>
    <w:rsid w:val="00935CA7"/>
    <w:rsid w:val="009368F3"/>
    <w:rsid w:val="00941259"/>
    <w:rsid w:val="00941313"/>
    <w:rsid w:val="00941636"/>
    <w:rsid w:val="00943742"/>
    <w:rsid w:val="009438E3"/>
    <w:rsid w:val="00945C05"/>
    <w:rsid w:val="00946945"/>
    <w:rsid w:val="00946DA6"/>
    <w:rsid w:val="00947713"/>
    <w:rsid w:val="00950DE7"/>
    <w:rsid w:val="00951E5C"/>
    <w:rsid w:val="00952C3E"/>
    <w:rsid w:val="00953920"/>
    <w:rsid w:val="00953D47"/>
    <w:rsid w:val="0095681E"/>
    <w:rsid w:val="009572D4"/>
    <w:rsid w:val="00961921"/>
    <w:rsid w:val="00962775"/>
    <w:rsid w:val="0096430A"/>
    <w:rsid w:val="00964B5A"/>
    <w:rsid w:val="0096554B"/>
    <w:rsid w:val="0096584A"/>
    <w:rsid w:val="00966048"/>
    <w:rsid w:val="00967990"/>
    <w:rsid w:val="00971615"/>
    <w:rsid w:val="00971626"/>
    <w:rsid w:val="00971F08"/>
    <w:rsid w:val="0097603D"/>
    <w:rsid w:val="00976949"/>
    <w:rsid w:val="00980477"/>
    <w:rsid w:val="0098262A"/>
    <w:rsid w:val="00985245"/>
    <w:rsid w:val="00985253"/>
    <w:rsid w:val="009853B3"/>
    <w:rsid w:val="00990630"/>
    <w:rsid w:val="00991761"/>
    <w:rsid w:val="00994B72"/>
    <w:rsid w:val="00994DCA"/>
    <w:rsid w:val="009960EC"/>
    <w:rsid w:val="009970DD"/>
    <w:rsid w:val="009A0FBA"/>
    <w:rsid w:val="009A11A5"/>
    <w:rsid w:val="009A1601"/>
    <w:rsid w:val="009A384E"/>
    <w:rsid w:val="009A462D"/>
    <w:rsid w:val="009A5B25"/>
    <w:rsid w:val="009A5CBA"/>
    <w:rsid w:val="009A7541"/>
    <w:rsid w:val="009B1F30"/>
    <w:rsid w:val="009B3AC2"/>
    <w:rsid w:val="009B3F2D"/>
    <w:rsid w:val="009B4DF4"/>
    <w:rsid w:val="009B564E"/>
    <w:rsid w:val="009B7A82"/>
    <w:rsid w:val="009B7E87"/>
    <w:rsid w:val="009C18F2"/>
    <w:rsid w:val="009C3875"/>
    <w:rsid w:val="009C403E"/>
    <w:rsid w:val="009D14F6"/>
    <w:rsid w:val="009D1A07"/>
    <w:rsid w:val="009D4FF0"/>
    <w:rsid w:val="009D703C"/>
    <w:rsid w:val="009D718F"/>
    <w:rsid w:val="009E068F"/>
    <w:rsid w:val="009E14E0"/>
    <w:rsid w:val="009E35DB"/>
    <w:rsid w:val="009E47A3"/>
    <w:rsid w:val="009E612F"/>
    <w:rsid w:val="009E7AEF"/>
    <w:rsid w:val="009F08F3"/>
    <w:rsid w:val="009F09E7"/>
    <w:rsid w:val="009F344F"/>
    <w:rsid w:val="009F42C4"/>
    <w:rsid w:val="009F44CC"/>
    <w:rsid w:val="009F6CE9"/>
    <w:rsid w:val="00A031D8"/>
    <w:rsid w:val="00A03F31"/>
    <w:rsid w:val="00A0401C"/>
    <w:rsid w:val="00A0439B"/>
    <w:rsid w:val="00A048A8"/>
    <w:rsid w:val="00A04F49"/>
    <w:rsid w:val="00A051D2"/>
    <w:rsid w:val="00A05BD3"/>
    <w:rsid w:val="00A109A1"/>
    <w:rsid w:val="00A10EEC"/>
    <w:rsid w:val="00A1284B"/>
    <w:rsid w:val="00A13E54"/>
    <w:rsid w:val="00A15DBE"/>
    <w:rsid w:val="00A17F63"/>
    <w:rsid w:val="00A2193B"/>
    <w:rsid w:val="00A22954"/>
    <w:rsid w:val="00A2351A"/>
    <w:rsid w:val="00A24D26"/>
    <w:rsid w:val="00A264A9"/>
    <w:rsid w:val="00A26B86"/>
    <w:rsid w:val="00A27785"/>
    <w:rsid w:val="00A30187"/>
    <w:rsid w:val="00A3448A"/>
    <w:rsid w:val="00A36297"/>
    <w:rsid w:val="00A37400"/>
    <w:rsid w:val="00A374C6"/>
    <w:rsid w:val="00A41E2B"/>
    <w:rsid w:val="00A440D0"/>
    <w:rsid w:val="00A45B74"/>
    <w:rsid w:val="00A46150"/>
    <w:rsid w:val="00A473B5"/>
    <w:rsid w:val="00A47989"/>
    <w:rsid w:val="00A52E1D"/>
    <w:rsid w:val="00A53A33"/>
    <w:rsid w:val="00A60FAD"/>
    <w:rsid w:val="00A61499"/>
    <w:rsid w:val="00A62469"/>
    <w:rsid w:val="00A62A77"/>
    <w:rsid w:val="00A63483"/>
    <w:rsid w:val="00A657D7"/>
    <w:rsid w:val="00A660AC"/>
    <w:rsid w:val="00A67664"/>
    <w:rsid w:val="00A67E6C"/>
    <w:rsid w:val="00A71B99"/>
    <w:rsid w:val="00A72B53"/>
    <w:rsid w:val="00A739D0"/>
    <w:rsid w:val="00A746B4"/>
    <w:rsid w:val="00A761D4"/>
    <w:rsid w:val="00A76593"/>
    <w:rsid w:val="00A77EC4"/>
    <w:rsid w:val="00A838B0"/>
    <w:rsid w:val="00A84D6B"/>
    <w:rsid w:val="00A8555A"/>
    <w:rsid w:val="00A92879"/>
    <w:rsid w:val="00A92BEC"/>
    <w:rsid w:val="00A93EA4"/>
    <w:rsid w:val="00A9442A"/>
    <w:rsid w:val="00A968A5"/>
    <w:rsid w:val="00AA016F"/>
    <w:rsid w:val="00AA1ED6"/>
    <w:rsid w:val="00AA2872"/>
    <w:rsid w:val="00AA35B9"/>
    <w:rsid w:val="00AA51D6"/>
    <w:rsid w:val="00AA54B6"/>
    <w:rsid w:val="00AB0BC8"/>
    <w:rsid w:val="00AB11CA"/>
    <w:rsid w:val="00AB14D9"/>
    <w:rsid w:val="00AB3F01"/>
    <w:rsid w:val="00AB4AB8"/>
    <w:rsid w:val="00AB655E"/>
    <w:rsid w:val="00AB6AF7"/>
    <w:rsid w:val="00AC007F"/>
    <w:rsid w:val="00AC2ECD"/>
    <w:rsid w:val="00AC3119"/>
    <w:rsid w:val="00AC49FB"/>
    <w:rsid w:val="00AC5A10"/>
    <w:rsid w:val="00AD0642"/>
    <w:rsid w:val="00AD0AA3"/>
    <w:rsid w:val="00AD3F94"/>
    <w:rsid w:val="00AD4229"/>
    <w:rsid w:val="00AD4A5A"/>
    <w:rsid w:val="00AD7610"/>
    <w:rsid w:val="00AE032F"/>
    <w:rsid w:val="00AE23D8"/>
    <w:rsid w:val="00AE27AC"/>
    <w:rsid w:val="00AE40E0"/>
    <w:rsid w:val="00AE4DBA"/>
    <w:rsid w:val="00AE4F07"/>
    <w:rsid w:val="00AE63AB"/>
    <w:rsid w:val="00AF0508"/>
    <w:rsid w:val="00AF10B2"/>
    <w:rsid w:val="00AF1C5D"/>
    <w:rsid w:val="00AF2B22"/>
    <w:rsid w:val="00AF42D7"/>
    <w:rsid w:val="00AF78ED"/>
    <w:rsid w:val="00AF7B02"/>
    <w:rsid w:val="00B006FE"/>
    <w:rsid w:val="00B007CB"/>
    <w:rsid w:val="00B02AA9"/>
    <w:rsid w:val="00B02FA3"/>
    <w:rsid w:val="00B05084"/>
    <w:rsid w:val="00B0758B"/>
    <w:rsid w:val="00B101E0"/>
    <w:rsid w:val="00B1045A"/>
    <w:rsid w:val="00B130C7"/>
    <w:rsid w:val="00B133D4"/>
    <w:rsid w:val="00B157F9"/>
    <w:rsid w:val="00B20256"/>
    <w:rsid w:val="00B20D09"/>
    <w:rsid w:val="00B21270"/>
    <w:rsid w:val="00B248B0"/>
    <w:rsid w:val="00B26318"/>
    <w:rsid w:val="00B2763F"/>
    <w:rsid w:val="00B27AAC"/>
    <w:rsid w:val="00B30929"/>
    <w:rsid w:val="00B342C0"/>
    <w:rsid w:val="00B372AA"/>
    <w:rsid w:val="00B40445"/>
    <w:rsid w:val="00B41888"/>
    <w:rsid w:val="00B45A52"/>
    <w:rsid w:val="00B46175"/>
    <w:rsid w:val="00B4775A"/>
    <w:rsid w:val="00B53425"/>
    <w:rsid w:val="00B6253B"/>
    <w:rsid w:val="00B6329B"/>
    <w:rsid w:val="00B664C7"/>
    <w:rsid w:val="00B66D36"/>
    <w:rsid w:val="00B739F6"/>
    <w:rsid w:val="00B80EF8"/>
    <w:rsid w:val="00B813A1"/>
    <w:rsid w:val="00B81A6C"/>
    <w:rsid w:val="00B85DE5"/>
    <w:rsid w:val="00B860C9"/>
    <w:rsid w:val="00B869D5"/>
    <w:rsid w:val="00B8734A"/>
    <w:rsid w:val="00B90F73"/>
    <w:rsid w:val="00B914B1"/>
    <w:rsid w:val="00B93B59"/>
    <w:rsid w:val="00B9406A"/>
    <w:rsid w:val="00BA1A18"/>
    <w:rsid w:val="00BA2280"/>
    <w:rsid w:val="00BA2A08"/>
    <w:rsid w:val="00BA56D2"/>
    <w:rsid w:val="00BA710F"/>
    <w:rsid w:val="00BA76E0"/>
    <w:rsid w:val="00BB2A25"/>
    <w:rsid w:val="00BB51E9"/>
    <w:rsid w:val="00BC0FDC"/>
    <w:rsid w:val="00BC3053"/>
    <w:rsid w:val="00BC4D2E"/>
    <w:rsid w:val="00BC7A9C"/>
    <w:rsid w:val="00BD23F6"/>
    <w:rsid w:val="00BD3E98"/>
    <w:rsid w:val="00BD4278"/>
    <w:rsid w:val="00BD4466"/>
    <w:rsid w:val="00BD48AC"/>
    <w:rsid w:val="00BD53A8"/>
    <w:rsid w:val="00BD5F1A"/>
    <w:rsid w:val="00BE1234"/>
    <w:rsid w:val="00BE12E2"/>
    <w:rsid w:val="00BE2FA6"/>
    <w:rsid w:val="00BE333F"/>
    <w:rsid w:val="00BE7406"/>
    <w:rsid w:val="00BE7603"/>
    <w:rsid w:val="00BF1596"/>
    <w:rsid w:val="00BF3279"/>
    <w:rsid w:val="00BF3C7F"/>
    <w:rsid w:val="00BF74C7"/>
    <w:rsid w:val="00C015F1"/>
    <w:rsid w:val="00C01F33"/>
    <w:rsid w:val="00C02CC6"/>
    <w:rsid w:val="00C040F7"/>
    <w:rsid w:val="00C044AB"/>
    <w:rsid w:val="00C044DB"/>
    <w:rsid w:val="00C05706"/>
    <w:rsid w:val="00C05DC1"/>
    <w:rsid w:val="00C07377"/>
    <w:rsid w:val="00C10478"/>
    <w:rsid w:val="00C10B09"/>
    <w:rsid w:val="00C12107"/>
    <w:rsid w:val="00C12BBB"/>
    <w:rsid w:val="00C13FDB"/>
    <w:rsid w:val="00C14D4B"/>
    <w:rsid w:val="00C15176"/>
    <w:rsid w:val="00C154BB"/>
    <w:rsid w:val="00C15ABD"/>
    <w:rsid w:val="00C22E4A"/>
    <w:rsid w:val="00C23725"/>
    <w:rsid w:val="00C23C54"/>
    <w:rsid w:val="00C24937"/>
    <w:rsid w:val="00C279B5"/>
    <w:rsid w:val="00C27C45"/>
    <w:rsid w:val="00C3354C"/>
    <w:rsid w:val="00C33DF5"/>
    <w:rsid w:val="00C3719D"/>
    <w:rsid w:val="00C411FC"/>
    <w:rsid w:val="00C41779"/>
    <w:rsid w:val="00C45066"/>
    <w:rsid w:val="00C516E0"/>
    <w:rsid w:val="00C54995"/>
    <w:rsid w:val="00C54D41"/>
    <w:rsid w:val="00C554CF"/>
    <w:rsid w:val="00C573C3"/>
    <w:rsid w:val="00C60783"/>
    <w:rsid w:val="00C61714"/>
    <w:rsid w:val="00C63AE3"/>
    <w:rsid w:val="00C64672"/>
    <w:rsid w:val="00C66B28"/>
    <w:rsid w:val="00C67775"/>
    <w:rsid w:val="00C678F7"/>
    <w:rsid w:val="00C70628"/>
    <w:rsid w:val="00C70697"/>
    <w:rsid w:val="00C70BDE"/>
    <w:rsid w:val="00C72424"/>
    <w:rsid w:val="00C72735"/>
    <w:rsid w:val="00C72EF4"/>
    <w:rsid w:val="00C75D2F"/>
    <w:rsid w:val="00C767BE"/>
    <w:rsid w:val="00C76E3C"/>
    <w:rsid w:val="00C812E7"/>
    <w:rsid w:val="00C81568"/>
    <w:rsid w:val="00C9027A"/>
    <w:rsid w:val="00C9068E"/>
    <w:rsid w:val="00C93C4B"/>
    <w:rsid w:val="00C944AB"/>
    <w:rsid w:val="00C95B40"/>
    <w:rsid w:val="00CA1ED8"/>
    <w:rsid w:val="00CA33F2"/>
    <w:rsid w:val="00CB00AD"/>
    <w:rsid w:val="00CB1F63"/>
    <w:rsid w:val="00CB240F"/>
    <w:rsid w:val="00CB4738"/>
    <w:rsid w:val="00CB64E9"/>
    <w:rsid w:val="00CB7170"/>
    <w:rsid w:val="00CB799E"/>
    <w:rsid w:val="00CC040E"/>
    <w:rsid w:val="00CC111F"/>
    <w:rsid w:val="00CC2011"/>
    <w:rsid w:val="00CC3EA0"/>
    <w:rsid w:val="00CC50AC"/>
    <w:rsid w:val="00CC7B45"/>
    <w:rsid w:val="00CD1188"/>
    <w:rsid w:val="00CD2ED1"/>
    <w:rsid w:val="00CD337B"/>
    <w:rsid w:val="00CE0424"/>
    <w:rsid w:val="00CE2C2F"/>
    <w:rsid w:val="00CE4EBA"/>
    <w:rsid w:val="00CE7561"/>
    <w:rsid w:val="00CF1354"/>
    <w:rsid w:val="00CF3B1F"/>
    <w:rsid w:val="00CF3BF6"/>
    <w:rsid w:val="00CF625B"/>
    <w:rsid w:val="00CF687E"/>
    <w:rsid w:val="00D02520"/>
    <w:rsid w:val="00D02C0E"/>
    <w:rsid w:val="00D0349B"/>
    <w:rsid w:val="00D0742D"/>
    <w:rsid w:val="00D10249"/>
    <w:rsid w:val="00D10AD3"/>
    <w:rsid w:val="00D10D23"/>
    <w:rsid w:val="00D115C3"/>
    <w:rsid w:val="00D11897"/>
    <w:rsid w:val="00D13135"/>
    <w:rsid w:val="00D13E4E"/>
    <w:rsid w:val="00D2232E"/>
    <w:rsid w:val="00D239A7"/>
    <w:rsid w:val="00D23F47"/>
    <w:rsid w:val="00D24C83"/>
    <w:rsid w:val="00D25216"/>
    <w:rsid w:val="00D30ED3"/>
    <w:rsid w:val="00D3323C"/>
    <w:rsid w:val="00D34123"/>
    <w:rsid w:val="00D36E71"/>
    <w:rsid w:val="00D37D87"/>
    <w:rsid w:val="00D40B33"/>
    <w:rsid w:val="00D4318F"/>
    <w:rsid w:val="00D438BF"/>
    <w:rsid w:val="00D43E89"/>
    <w:rsid w:val="00D440F8"/>
    <w:rsid w:val="00D546FF"/>
    <w:rsid w:val="00D55AD5"/>
    <w:rsid w:val="00D576CA"/>
    <w:rsid w:val="00D61AF5"/>
    <w:rsid w:val="00D62C2E"/>
    <w:rsid w:val="00D63714"/>
    <w:rsid w:val="00D652B5"/>
    <w:rsid w:val="00D65796"/>
    <w:rsid w:val="00D66155"/>
    <w:rsid w:val="00D67780"/>
    <w:rsid w:val="00D67E99"/>
    <w:rsid w:val="00D708B0"/>
    <w:rsid w:val="00D77407"/>
    <w:rsid w:val="00D77B1D"/>
    <w:rsid w:val="00D8021F"/>
    <w:rsid w:val="00D80383"/>
    <w:rsid w:val="00D80B6A"/>
    <w:rsid w:val="00D821CE"/>
    <w:rsid w:val="00D823C6"/>
    <w:rsid w:val="00D84F92"/>
    <w:rsid w:val="00D854BE"/>
    <w:rsid w:val="00D85BD2"/>
    <w:rsid w:val="00D86CA3"/>
    <w:rsid w:val="00D871CE"/>
    <w:rsid w:val="00D90275"/>
    <w:rsid w:val="00D9196D"/>
    <w:rsid w:val="00D92982"/>
    <w:rsid w:val="00D9453C"/>
    <w:rsid w:val="00D94D52"/>
    <w:rsid w:val="00D9620F"/>
    <w:rsid w:val="00DA048F"/>
    <w:rsid w:val="00DA1B30"/>
    <w:rsid w:val="00DA305E"/>
    <w:rsid w:val="00DA5417"/>
    <w:rsid w:val="00DA56E8"/>
    <w:rsid w:val="00DB0A9F"/>
    <w:rsid w:val="00DB3185"/>
    <w:rsid w:val="00DB377D"/>
    <w:rsid w:val="00DB5007"/>
    <w:rsid w:val="00DB65D5"/>
    <w:rsid w:val="00DC0F09"/>
    <w:rsid w:val="00DC2D36"/>
    <w:rsid w:val="00DC53EF"/>
    <w:rsid w:val="00DC5A20"/>
    <w:rsid w:val="00DC7B53"/>
    <w:rsid w:val="00DD184D"/>
    <w:rsid w:val="00DD19DB"/>
    <w:rsid w:val="00DE023B"/>
    <w:rsid w:val="00DE3A32"/>
    <w:rsid w:val="00DE5608"/>
    <w:rsid w:val="00DE58D0"/>
    <w:rsid w:val="00DE654F"/>
    <w:rsid w:val="00DF0343"/>
    <w:rsid w:val="00DF0B6E"/>
    <w:rsid w:val="00DF15E0"/>
    <w:rsid w:val="00DF37A0"/>
    <w:rsid w:val="00DF6C09"/>
    <w:rsid w:val="00DF7192"/>
    <w:rsid w:val="00DF7844"/>
    <w:rsid w:val="00E02DD1"/>
    <w:rsid w:val="00E0393B"/>
    <w:rsid w:val="00E055BB"/>
    <w:rsid w:val="00E06CA4"/>
    <w:rsid w:val="00E0710D"/>
    <w:rsid w:val="00E110E7"/>
    <w:rsid w:val="00E113AA"/>
    <w:rsid w:val="00E11B20"/>
    <w:rsid w:val="00E17FA2"/>
    <w:rsid w:val="00E21AC1"/>
    <w:rsid w:val="00E222E7"/>
    <w:rsid w:val="00E22330"/>
    <w:rsid w:val="00E24DEF"/>
    <w:rsid w:val="00E25748"/>
    <w:rsid w:val="00E306A4"/>
    <w:rsid w:val="00E30B5A"/>
    <w:rsid w:val="00E3123D"/>
    <w:rsid w:val="00E31461"/>
    <w:rsid w:val="00E31D43"/>
    <w:rsid w:val="00E31EE3"/>
    <w:rsid w:val="00E32608"/>
    <w:rsid w:val="00E34188"/>
    <w:rsid w:val="00E34B6E"/>
    <w:rsid w:val="00E35559"/>
    <w:rsid w:val="00E3581C"/>
    <w:rsid w:val="00E3723A"/>
    <w:rsid w:val="00E37824"/>
    <w:rsid w:val="00E37860"/>
    <w:rsid w:val="00E434B5"/>
    <w:rsid w:val="00E446F1"/>
    <w:rsid w:val="00E46886"/>
    <w:rsid w:val="00E471D9"/>
    <w:rsid w:val="00E47AEF"/>
    <w:rsid w:val="00E50540"/>
    <w:rsid w:val="00E53B75"/>
    <w:rsid w:val="00E54E3B"/>
    <w:rsid w:val="00E57565"/>
    <w:rsid w:val="00E61D41"/>
    <w:rsid w:val="00E63838"/>
    <w:rsid w:val="00E64434"/>
    <w:rsid w:val="00E66B1F"/>
    <w:rsid w:val="00E67C51"/>
    <w:rsid w:val="00E70446"/>
    <w:rsid w:val="00E72EFC"/>
    <w:rsid w:val="00E7418E"/>
    <w:rsid w:val="00E758EC"/>
    <w:rsid w:val="00E80BFF"/>
    <w:rsid w:val="00E8234C"/>
    <w:rsid w:val="00E83AA9"/>
    <w:rsid w:val="00E85928"/>
    <w:rsid w:val="00E87822"/>
    <w:rsid w:val="00E90395"/>
    <w:rsid w:val="00E90E49"/>
    <w:rsid w:val="00E917F9"/>
    <w:rsid w:val="00E9291C"/>
    <w:rsid w:val="00E93FFE"/>
    <w:rsid w:val="00E94341"/>
    <w:rsid w:val="00E94F8A"/>
    <w:rsid w:val="00E96A1C"/>
    <w:rsid w:val="00E973AD"/>
    <w:rsid w:val="00EA23D1"/>
    <w:rsid w:val="00EA7A41"/>
    <w:rsid w:val="00EB077B"/>
    <w:rsid w:val="00EB4EA2"/>
    <w:rsid w:val="00EB50BE"/>
    <w:rsid w:val="00EB6B34"/>
    <w:rsid w:val="00EB7C05"/>
    <w:rsid w:val="00EC08EA"/>
    <w:rsid w:val="00EC27C6"/>
    <w:rsid w:val="00EC4207"/>
    <w:rsid w:val="00EC5653"/>
    <w:rsid w:val="00EC71CE"/>
    <w:rsid w:val="00ED0393"/>
    <w:rsid w:val="00ED1006"/>
    <w:rsid w:val="00ED5A72"/>
    <w:rsid w:val="00EE436E"/>
    <w:rsid w:val="00EF0D16"/>
    <w:rsid w:val="00EF18FE"/>
    <w:rsid w:val="00EF2322"/>
    <w:rsid w:val="00EF279B"/>
    <w:rsid w:val="00EF456C"/>
    <w:rsid w:val="00EF5787"/>
    <w:rsid w:val="00EF5E75"/>
    <w:rsid w:val="00EF60D0"/>
    <w:rsid w:val="00EF718B"/>
    <w:rsid w:val="00F002A6"/>
    <w:rsid w:val="00F0528D"/>
    <w:rsid w:val="00F06C67"/>
    <w:rsid w:val="00F06DFD"/>
    <w:rsid w:val="00F06F1F"/>
    <w:rsid w:val="00F071D1"/>
    <w:rsid w:val="00F07533"/>
    <w:rsid w:val="00F10629"/>
    <w:rsid w:val="00F13CE9"/>
    <w:rsid w:val="00F15FA5"/>
    <w:rsid w:val="00F16CDF"/>
    <w:rsid w:val="00F209B7"/>
    <w:rsid w:val="00F2376F"/>
    <w:rsid w:val="00F2388F"/>
    <w:rsid w:val="00F243D8"/>
    <w:rsid w:val="00F30099"/>
    <w:rsid w:val="00F30828"/>
    <w:rsid w:val="00F313D6"/>
    <w:rsid w:val="00F34889"/>
    <w:rsid w:val="00F40F0C"/>
    <w:rsid w:val="00F4766C"/>
    <w:rsid w:val="00F479E3"/>
    <w:rsid w:val="00F47D80"/>
    <w:rsid w:val="00F5060E"/>
    <w:rsid w:val="00F507D1"/>
    <w:rsid w:val="00F519CE"/>
    <w:rsid w:val="00F51ADA"/>
    <w:rsid w:val="00F51BBB"/>
    <w:rsid w:val="00F53F71"/>
    <w:rsid w:val="00F54231"/>
    <w:rsid w:val="00F54328"/>
    <w:rsid w:val="00F56007"/>
    <w:rsid w:val="00F607C5"/>
    <w:rsid w:val="00F60DEA"/>
    <w:rsid w:val="00F626AC"/>
    <w:rsid w:val="00F6302A"/>
    <w:rsid w:val="00F638CA"/>
    <w:rsid w:val="00F63EE5"/>
    <w:rsid w:val="00F64C2B"/>
    <w:rsid w:val="00F651BE"/>
    <w:rsid w:val="00F65BEC"/>
    <w:rsid w:val="00F67F53"/>
    <w:rsid w:val="00F703BE"/>
    <w:rsid w:val="00F71F69"/>
    <w:rsid w:val="00F72A17"/>
    <w:rsid w:val="00F72AFA"/>
    <w:rsid w:val="00F72B72"/>
    <w:rsid w:val="00F72B7D"/>
    <w:rsid w:val="00F74BB9"/>
    <w:rsid w:val="00F75496"/>
    <w:rsid w:val="00F75582"/>
    <w:rsid w:val="00F76578"/>
    <w:rsid w:val="00F76EFA"/>
    <w:rsid w:val="00F77ED4"/>
    <w:rsid w:val="00F804BE"/>
    <w:rsid w:val="00F817CE"/>
    <w:rsid w:val="00F82A0A"/>
    <w:rsid w:val="00F8456C"/>
    <w:rsid w:val="00F84B52"/>
    <w:rsid w:val="00F859D8"/>
    <w:rsid w:val="00F866D8"/>
    <w:rsid w:val="00F868F5"/>
    <w:rsid w:val="00F86F2E"/>
    <w:rsid w:val="00F9056A"/>
    <w:rsid w:val="00F90F8D"/>
    <w:rsid w:val="00F9134D"/>
    <w:rsid w:val="00F92782"/>
    <w:rsid w:val="00F93AA9"/>
    <w:rsid w:val="00F96985"/>
    <w:rsid w:val="00F97298"/>
    <w:rsid w:val="00F97838"/>
    <w:rsid w:val="00FA0D3C"/>
    <w:rsid w:val="00FA2BB3"/>
    <w:rsid w:val="00FA446D"/>
    <w:rsid w:val="00FA50EC"/>
    <w:rsid w:val="00FA6713"/>
    <w:rsid w:val="00FA7D76"/>
    <w:rsid w:val="00FB0C79"/>
    <w:rsid w:val="00FB4C80"/>
    <w:rsid w:val="00FB6A6A"/>
    <w:rsid w:val="00FC319A"/>
    <w:rsid w:val="00FC5D41"/>
    <w:rsid w:val="00FC7429"/>
    <w:rsid w:val="00FD07F6"/>
    <w:rsid w:val="00FD1BE3"/>
    <w:rsid w:val="00FD1EC8"/>
    <w:rsid w:val="00FD1F1B"/>
    <w:rsid w:val="00FD2CBC"/>
    <w:rsid w:val="00FD47ED"/>
    <w:rsid w:val="00FD4C23"/>
    <w:rsid w:val="00FD74DB"/>
    <w:rsid w:val="00FD7660"/>
    <w:rsid w:val="00FE0655"/>
    <w:rsid w:val="00FE08D3"/>
    <w:rsid w:val="00FE2365"/>
    <w:rsid w:val="00FE37D7"/>
    <w:rsid w:val="00FE42EE"/>
    <w:rsid w:val="00FE4C7B"/>
    <w:rsid w:val="00FE7336"/>
    <w:rsid w:val="00FE787C"/>
    <w:rsid w:val="00FF0359"/>
    <w:rsid w:val="00FF1906"/>
    <w:rsid w:val="00FF22CD"/>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10512D0A"/>
  <w15:chartTrackingRefBased/>
  <w15:docId w15:val="{59D59CD6-3F39-40C2-903A-65C096A3F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47B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uiPriority w:val="9"/>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10A74"/>
    <w:pPr>
      <w:numPr>
        <w:ilvl w:val="3"/>
      </w:numPr>
      <w:outlineLvl w:val="3"/>
    </w:pPr>
    <w:rPr>
      <w:sz w:val="24"/>
      <w:szCs w:val="24"/>
    </w:rPr>
  </w:style>
  <w:style w:type="paragraph" w:styleId="Heading5">
    <w:name w:val="heading 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rsid w:val="007147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47B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link w:val="CaptionChar"/>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10A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numPr>
        <w:numId w:val="6"/>
      </w:numPr>
    </w:pPr>
  </w:style>
  <w:style w:type="paragraph" w:styleId="ListBullet">
    <w:name w:val="List Bullet"/>
    <w:basedOn w:val="BodyText"/>
    <w:rsid w:val="00910A74"/>
    <w:pPr>
      <w:numPr>
        <w:numId w:val="5"/>
      </w:numPr>
    </w:pPr>
  </w:style>
  <w:style w:type="paragraph" w:styleId="ListBullet3">
    <w:name w:val="List Bullet 3"/>
    <w:basedOn w:val="ListBullet2"/>
    <w:rsid w:val="00910A74"/>
    <w:pPr>
      <w:numPr>
        <w:numId w:val="7"/>
      </w:numPr>
    </w:pPr>
  </w:style>
  <w:style w:type="paragraph" w:customStyle="1" w:styleId="EQ">
    <w:name w:val="EQ"/>
    <w:basedOn w:val="Normal"/>
    <w:next w:val="Normal"/>
    <w:rsid w:val="00910A74"/>
    <w:pPr>
      <w:keepLines/>
      <w:tabs>
        <w:tab w:val="center" w:pos="4536"/>
        <w:tab w:val="right" w:pos="9072"/>
      </w:tabs>
      <w:spacing w:after="180"/>
    </w:pPr>
    <w:rPr>
      <w:noProof/>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rsid w:val="00910A74"/>
    <w:pPr>
      <w:keepLines/>
      <w:spacing w:after="180"/>
      <w:ind w:left="1135" w:hanging="851"/>
    </w:pPr>
    <w:rPr>
      <w:color w:val="FF0000"/>
    </w:rPr>
  </w:style>
  <w:style w:type="paragraph" w:styleId="ListBullet4">
    <w:name w:val="List Bullet 4"/>
    <w:basedOn w:val="ListBullet3"/>
    <w:rsid w:val="00910A74"/>
    <w:pPr>
      <w:numPr>
        <w:numId w:val="8"/>
      </w:numPr>
    </w:pPr>
  </w:style>
  <w:style w:type="paragraph" w:styleId="ListBullet5">
    <w:name w:val="List Bullet 5"/>
    <w:basedOn w:val="ListBullet4"/>
    <w:rsid w:val="00910A74"/>
    <w:pPr>
      <w:numPr>
        <w:numId w:val="4"/>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semiHidden/>
    <w:rsid w:val="00910A74"/>
    <w:rPr>
      <w:sz w:val="16"/>
      <w:szCs w:val="16"/>
    </w:rPr>
  </w:style>
  <w:style w:type="paragraph" w:styleId="CommentText">
    <w:name w:val="annotation text"/>
    <w:basedOn w:val="Normal"/>
    <w:semiHidden/>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910A74"/>
    <w:rPr>
      <w:rFonts w:ascii="Arial" w:hAnsi="Arial" w:cs="Arial"/>
      <w:sz w:val="36"/>
      <w:szCs w:val="36"/>
      <w:lang w:val="en-GB" w:eastAsia="zh-CN"/>
    </w:rPr>
  </w:style>
  <w:style w:type="paragraph" w:customStyle="1" w:styleId="B1">
    <w:name w:val="B1"/>
    <w:basedOn w:val="List"/>
    <w:link w:val="B1Char"/>
    <w:rsid w:val="00910A74"/>
    <w:pPr>
      <w:spacing w:after="180"/>
    </w:pPr>
  </w:style>
  <w:style w:type="paragraph" w:customStyle="1" w:styleId="B2">
    <w:name w:val="B2"/>
    <w:basedOn w:val="List2"/>
    <w:link w:val="B2Char"/>
    <w:rsid w:val="00910A74"/>
    <w:pPr>
      <w:spacing w:after="180"/>
    </w:pPr>
  </w:style>
  <w:style w:type="paragraph" w:customStyle="1" w:styleId="B3">
    <w:name w:val="B3"/>
    <w:basedOn w:val="List3"/>
    <w:rsid w:val="00910A74"/>
    <w:pPr>
      <w:spacing w:after="180"/>
    </w:pPr>
  </w:style>
  <w:style w:type="paragraph" w:customStyle="1" w:styleId="B4">
    <w:name w:val="B4"/>
    <w:basedOn w:val="List4"/>
    <w:rsid w:val="00910A74"/>
    <w:pPr>
      <w:spacing w:after="180"/>
    </w:pPr>
  </w:style>
  <w:style w:type="paragraph" w:customStyle="1" w:styleId="Proposal">
    <w:name w:val="Proposal"/>
    <w:basedOn w:val="Normal"/>
    <w:rsid w:val="00910A74"/>
    <w:pPr>
      <w:numPr>
        <w:numId w:val="3"/>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rsid w:val="00910A74"/>
    <w:pPr>
      <w:spacing w:after="180"/>
    </w:pPr>
  </w:style>
  <w:style w:type="paragraph" w:customStyle="1" w:styleId="EX">
    <w:name w:val="EX"/>
    <w:basedOn w:val="Normal"/>
    <w:rsid w:val="00910A74"/>
    <w:pPr>
      <w:keepLines/>
      <w:spacing w:after="180"/>
      <w:ind w:left="1702" w:hanging="1418"/>
    </w:p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pPr>
    <w:rPr>
      <w:sz w:val="18"/>
    </w:rPr>
  </w:style>
  <w:style w:type="paragraph" w:customStyle="1" w:styleId="TAC">
    <w:name w:val="TAC"/>
    <w:basedOn w:val="TAL"/>
    <w:rsid w:val="00910A74"/>
    <w:pPr>
      <w:jc w:val="center"/>
    </w:pPr>
  </w:style>
  <w:style w:type="paragraph" w:customStyle="1" w:styleId="TAH">
    <w:name w:val="TAH"/>
    <w:basedOn w:val="TAC"/>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rsid w:val="00910A74"/>
    <w:pPr>
      <w:keepNext/>
      <w:keepLines/>
      <w:spacing w:before="60" w:after="180"/>
      <w:jc w:val="center"/>
    </w:pPr>
    <w:rPr>
      <w:b/>
    </w:rPr>
  </w:style>
  <w:style w:type="paragraph" w:customStyle="1" w:styleId="TF">
    <w:name w:val="TF"/>
    <w:basedOn w:val="TH"/>
    <w:link w:val="TFChar"/>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10A74"/>
    <w:pPr>
      <w:framePr w:wrap="notBeside" w:y="16161"/>
    </w:pPr>
  </w:style>
  <w:style w:type="paragraph" w:customStyle="1" w:styleId="FP">
    <w:name w:val="FP"/>
    <w:basedOn w:val="Normal"/>
    <w:rsid w:val="00910A74"/>
    <w:pPr>
      <w:spacing w:after="0"/>
    </w:pPr>
  </w:style>
  <w:style w:type="paragraph" w:customStyle="1" w:styleId="Observation">
    <w:name w:val="Observation"/>
    <w:basedOn w:val="Proposal"/>
    <w:qFormat/>
    <w:rsid w:val="00910A74"/>
    <w:pPr>
      <w:numPr>
        <w:numId w:val="9"/>
      </w:numPr>
    </w:pPr>
  </w:style>
  <w:style w:type="paragraph" w:styleId="TableofFigures">
    <w:name w:val="table of figures"/>
    <w:basedOn w:val="Normal"/>
    <w:next w:val="Normal"/>
    <w:uiPriority w:val="99"/>
    <w:rsid w:val="00910A74"/>
    <w:pPr>
      <w:ind w:left="1418" w:hanging="1418"/>
    </w:pPr>
    <w:rPr>
      <w:b/>
    </w:rPr>
  </w:style>
  <w:style w:type="paragraph" w:customStyle="1" w:styleId="Doc-text2">
    <w:name w:val="Doc-text2"/>
    <w:basedOn w:val="Normal"/>
    <w:link w:val="Doc-text2Char"/>
    <w:qFormat/>
    <w:rsid w:val="00FA446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ListParagraph">
    <w:name w:val="List Paragraph"/>
    <w:aliases w:val="- Bullets,목록 단락,リスト段落,Lista1,?? ??,?????,????,列出段落1,中等深浅网格 1 - 着色 21"/>
    <w:basedOn w:val="Normal"/>
    <w:link w:val="ListParagraphChar"/>
    <w:uiPriority w:val="34"/>
    <w:qFormat/>
    <w:rsid w:val="000B190F"/>
    <w:pPr>
      <w:ind w:left="720"/>
      <w:contextualSpacing/>
    </w:pPr>
  </w:style>
  <w:style w:type="table" w:styleId="TableGrid">
    <w:name w:val="Table Grid"/>
    <w:basedOn w:val="TableNormal"/>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921D86"/>
    <w:pPr>
      <w:keepLines/>
      <w:spacing w:after="180"/>
      <w:ind w:left="1135" w:hanging="851"/>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10"/>
      </w:numPr>
    </w:pPr>
    <w:rPr>
      <w:rFonts w:ascii="Times New Roman" w:eastAsia="MS Mincho" w:hAnsi="Times New Roman"/>
      <w:sz w:val="24"/>
      <w:lang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Normal"/>
    <w:link w:val="LGTdocChar"/>
    <w:rsid w:val="004E053C"/>
    <w:pPr>
      <w:widowControl w:val="0"/>
      <w:snapToGrid w:val="0"/>
      <w:spacing w:afterLines="50" w:after="0" w:line="264" w:lineRule="auto"/>
    </w:pPr>
    <w:rPr>
      <w:rFonts w:ascii="Times New Roman" w:eastAsia="Batang" w:hAnsi="Times New Roman"/>
      <w:kern w:val="2"/>
      <w:szCs w:val="24"/>
    </w:rPr>
  </w:style>
  <w:style w:type="character" w:customStyle="1" w:styleId="LGTdocChar">
    <w:name w:val="LGTdoc_본문 Char"/>
    <w:link w:val="LGTdoc"/>
    <w:rsid w:val="004E053C"/>
    <w:rPr>
      <w:rFonts w:ascii="Times New Roman" w:eastAsia="Batang" w:hAnsi="Times New Roman"/>
      <w:kern w:val="2"/>
      <w:sz w:val="22"/>
      <w:szCs w:val="24"/>
      <w:lang w:val="en-GB" w:eastAsia="ko-KR"/>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C5A20"/>
    <w:rPr>
      <w:rFonts w:ascii="Arial" w:hAnsi="Arial"/>
      <w:lang w:val="en-GB"/>
    </w:rPr>
  </w:style>
  <w:style w:type="character" w:customStyle="1" w:styleId="CaptionChar">
    <w:name w:val="Caption Char"/>
    <w:link w:val="Caption"/>
    <w:uiPriority w:val="35"/>
    <w:qFormat/>
    <w:rsid w:val="00DC5A20"/>
    <w:rPr>
      <w:rFonts w:ascii="Arial" w:hAnsi="Arial"/>
      <w:b/>
      <w:bCs/>
      <w:lang w:val="en-GB"/>
    </w:rPr>
  </w:style>
  <w:style w:type="table" w:styleId="TableProfessional">
    <w:name w:val="Table Professional"/>
    <w:basedOn w:val="TableNormal"/>
    <w:rsid w:val="009F42C4"/>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ibliography">
    <w:name w:val="Bibliography"/>
    <w:basedOn w:val="Normal"/>
    <w:next w:val="Normal"/>
    <w:uiPriority w:val="37"/>
    <w:unhideWhenUsed/>
    <w:rsid w:val="009F42C4"/>
  </w:style>
  <w:style w:type="paragraph" w:customStyle="1" w:styleId="CRCoverPage">
    <w:name w:val="CR Cover Page"/>
    <w:rsid w:val="001D07A5"/>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3086">
      <w:bodyDiv w:val="1"/>
      <w:marLeft w:val="0"/>
      <w:marRight w:val="0"/>
      <w:marTop w:val="0"/>
      <w:marBottom w:val="0"/>
      <w:divBdr>
        <w:top w:val="none" w:sz="0" w:space="0" w:color="auto"/>
        <w:left w:val="none" w:sz="0" w:space="0" w:color="auto"/>
        <w:bottom w:val="none" w:sz="0" w:space="0" w:color="auto"/>
        <w:right w:val="none" w:sz="0" w:space="0" w:color="auto"/>
      </w:divBdr>
    </w:div>
    <w:div w:id="151722970">
      <w:bodyDiv w:val="1"/>
      <w:marLeft w:val="0"/>
      <w:marRight w:val="0"/>
      <w:marTop w:val="0"/>
      <w:marBottom w:val="0"/>
      <w:divBdr>
        <w:top w:val="none" w:sz="0" w:space="0" w:color="auto"/>
        <w:left w:val="none" w:sz="0" w:space="0" w:color="auto"/>
        <w:bottom w:val="none" w:sz="0" w:space="0" w:color="auto"/>
        <w:right w:val="none" w:sz="0" w:space="0" w:color="auto"/>
      </w:divBdr>
    </w:div>
    <w:div w:id="297956741">
      <w:bodyDiv w:val="1"/>
      <w:marLeft w:val="0"/>
      <w:marRight w:val="0"/>
      <w:marTop w:val="0"/>
      <w:marBottom w:val="0"/>
      <w:divBdr>
        <w:top w:val="none" w:sz="0" w:space="0" w:color="auto"/>
        <w:left w:val="none" w:sz="0" w:space="0" w:color="auto"/>
        <w:bottom w:val="none" w:sz="0" w:space="0" w:color="auto"/>
        <w:right w:val="none" w:sz="0" w:space="0" w:color="auto"/>
      </w:divBdr>
    </w:div>
    <w:div w:id="314652382">
      <w:bodyDiv w:val="1"/>
      <w:marLeft w:val="0"/>
      <w:marRight w:val="0"/>
      <w:marTop w:val="0"/>
      <w:marBottom w:val="0"/>
      <w:divBdr>
        <w:top w:val="none" w:sz="0" w:space="0" w:color="auto"/>
        <w:left w:val="none" w:sz="0" w:space="0" w:color="auto"/>
        <w:bottom w:val="none" w:sz="0" w:space="0" w:color="auto"/>
        <w:right w:val="none" w:sz="0" w:space="0" w:color="auto"/>
      </w:divBdr>
    </w:div>
    <w:div w:id="388656455">
      <w:bodyDiv w:val="1"/>
      <w:marLeft w:val="0"/>
      <w:marRight w:val="0"/>
      <w:marTop w:val="0"/>
      <w:marBottom w:val="0"/>
      <w:divBdr>
        <w:top w:val="none" w:sz="0" w:space="0" w:color="auto"/>
        <w:left w:val="none" w:sz="0" w:space="0" w:color="auto"/>
        <w:bottom w:val="none" w:sz="0" w:space="0" w:color="auto"/>
        <w:right w:val="none" w:sz="0" w:space="0" w:color="auto"/>
      </w:divBdr>
    </w:div>
    <w:div w:id="507644842">
      <w:bodyDiv w:val="1"/>
      <w:marLeft w:val="0"/>
      <w:marRight w:val="0"/>
      <w:marTop w:val="0"/>
      <w:marBottom w:val="0"/>
      <w:divBdr>
        <w:top w:val="none" w:sz="0" w:space="0" w:color="auto"/>
        <w:left w:val="none" w:sz="0" w:space="0" w:color="auto"/>
        <w:bottom w:val="none" w:sz="0" w:space="0" w:color="auto"/>
        <w:right w:val="none" w:sz="0" w:space="0" w:color="auto"/>
      </w:divBdr>
    </w:div>
    <w:div w:id="569926091">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732703967">
      <w:bodyDiv w:val="1"/>
      <w:marLeft w:val="0"/>
      <w:marRight w:val="0"/>
      <w:marTop w:val="0"/>
      <w:marBottom w:val="0"/>
      <w:divBdr>
        <w:top w:val="none" w:sz="0" w:space="0" w:color="auto"/>
        <w:left w:val="none" w:sz="0" w:space="0" w:color="auto"/>
        <w:bottom w:val="none" w:sz="0" w:space="0" w:color="auto"/>
        <w:right w:val="none" w:sz="0" w:space="0" w:color="auto"/>
      </w:divBdr>
    </w:div>
    <w:div w:id="853496946">
      <w:bodyDiv w:val="1"/>
      <w:marLeft w:val="0"/>
      <w:marRight w:val="0"/>
      <w:marTop w:val="0"/>
      <w:marBottom w:val="0"/>
      <w:divBdr>
        <w:top w:val="none" w:sz="0" w:space="0" w:color="auto"/>
        <w:left w:val="none" w:sz="0" w:space="0" w:color="auto"/>
        <w:bottom w:val="none" w:sz="0" w:space="0" w:color="auto"/>
        <w:right w:val="none" w:sz="0" w:space="0" w:color="auto"/>
      </w:divBdr>
    </w:div>
    <w:div w:id="880746612">
      <w:bodyDiv w:val="1"/>
      <w:marLeft w:val="0"/>
      <w:marRight w:val="0"/>
      <w:marTop w:val="0"/>
      <w:marBottom w:val="0"/>
      <w:divBdr>
        <w:top w:val="none" w:sz="0" w:space="0" w:color="auto"/>
        <w:left w:val="none" w:sz="0" w:space="0" w:color="auto"/>
        <w:bottom w:val="none" w:sz="0" w:space="0" w:color="auto"/>
        <w:right w:val="none" w:sz="0" w:space="0" w:color="auto"/>
      </w:divBdr>
    </w:div>
    <w:div w:id="929044281">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252008973">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03805310">
      <w:bodyDiv w:val="1"/>
      <w:marLeft w:val="0"/>
      <w:marRight w:val="0"/>
      <w:marTop w:val="0"/>
      <w:marBottom w:val="0"/>
      <w:divBdr>
        <w:top w:val="none" w:sz="0" w:space="0" w:color="auto"/>
        <w:left w:val="none" w:sz="0" w:space="0" w:color="auto"/>
        <w:bottom w:val="none" w:sz="0" w:space="0" w:color="auto"/>
        <w:right w:val="none" w:sz="0" w:space="0" w:color="auto"/>
      </w:divBdr>
    </w:div>
    <w:div w:id="1337149712">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578589828">
      <w:bodyDiv w:val="1"/>
      <w:marLeft w:val="0"/>
      <w:marRight w:val="0"/>
      <w:marTop w:val="0"/>
      <w:marBottom w:val="0"/>
      <w:divBdr>
        <w:top w:val="none" w:sz="0" w:space="0" w:color="auto"/>
        <w:left w:val="none" w:sz="0" w:space="0" w:color="auto"/>
        <w:bottom w:val="none" w:sz="0" w:space="0" w:color="auto"/>
        <w:right w:val="none" w:sz="0" w:space="0" w:color="auto"/>
      </w:divBdr>
    </w:div>
    <w:div w:id="1711953403">
      <w:bodyDiv w:val="1"/>
      <w:marLeft w:val="0"/>
      <w:marRight w:val="0"/>
      <w:marTop w:val="0"/>
      <w:marBottom w:val="0"/>
      <w:divBdr>
        <w:top w:val="none" w:sz="0" w:space="0" w:color="auto"/>
        <w:left w:val="none" w:sz="0" w:space="0" w:color="auto"/>
        <w:bottom w:val="none" w:sz="0" w:space="0" w:color="auto"/>
        <w:right w:val="none" w:sz="0" w:space="0" w:color="auto"/>
      </w:divBdr>
    </w:div>
    <w:div w:id="1771781216">
      <w:bodyDiv w:val="1"/>
      <w:marLeft w:val="0"/>
      <w:marRight w:val="0"/>
      <w:marTop w:val="0"/>
      <w:marBottom w:val="0"/>
      <w:divBdr>
        <w:top w:val="none" w:sz="0" w:space="0" w:color="auto"/>
        <w:left w:val="none" w:sz="0" w:space="0" w:color="auto"/>
        <w:bottom w:val="none" w:sz="0" w:space="0" w:color="auto"/>
        <w:right w:val="none" w:sz="0" w:space="0" w:color="auto"/>
      </w:divBdr>
    </w:div>
    <w:div w:id="1844976964">
      <w:bodyDiv w:val="1"/>
      <w:marLeft w:val="0"/>
      <w:marRight w:val="0"/>
      <w:marTop w:val="0"/>
      <w:marBottom w:val="0"/>
      <w:divBdr>
        <w:top w:val="none" w:sz="0" w:space="0" w:color="auto"/>
        <w:left w:val="none" w:sz="0" w:space="0" w:color="auto"/>
        <w:bottom w:val="none" w:sz="0" w:space="0" w:color="auto"/>
        <w:right w:val="none" w:sz="0" w:space="0" w:color="auto"/>
      </w:divBdr>
    </w:div>
    <w:div w:id="1895702761">
      <w:bodyDiv w:val="1"/>
      <w:marLeft w:val="0"/>
      <w:marRight w:val="0"/>
      <w:marTop w:val="0"/>
      <w:marBottom w:val="0"/>
      <w:divBdr>
        <w:top w:val="none" w:sz="0" w:space="0" w:color="auto"/>
        <w:left w:val="none" w:sz="0" w:space="0" w:color="auto"/>
        <w:bottom w:val="none" w:sz="0" w:space="0" w:color="auto"/>
        <w:right w:val="none" w:sz="0" w:space="0" w:color="auto"/>
      </w:divBdr>
    </w:div>
    <w:div w:id="1918905745">
      <w:bodyDiv w:val="1"/>
      <w:marLeft w:val="0"/>
      <w:marRight w:val="0"/>
      <w:marTop w:val="0"/>
      <w:marBottom w:val="0"/>
      <w:divBdr>
        <w:top w:val="none" w:sz="0" w:space="0" w:color="auto"/>
        <w:left w:val="none" w:sz="0" w:space="0" w:color="auto"/>
        <w:bottom w:val="none" w:sz="0" w:space="0" w:color="auto"/>
        <w:right w:val="none" w:sz="0" w:space="0" w:color="auto"/>
      </w:divBdr>
    </w:div>
    <w:div w:id="1930307100">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60938557">
      <w:bodyDiv w:val="1"/>
      <w:marLeft w:val="0"/>
      <w:marRight w:val="0"/>
      <w:marTop w:val="0"/>
      <w:marBottom w:val="0"/>
      <w:divBdr>
        <w:top w:val="none" w:sz="0" w:space="0" w:color="auto"/>
        <w:left w:val="none" w:sz="0" w:space="0" w:color="auto"/>
        <w:bottom w:val="none" w:sz="0" w:space="0" w:color="auto"/>
        <w:right w:val="none" w:sz="0" w:space="0" w:color="auto"/>
      </w:divBdr>
    </w:div>
    <w:div w:id="207804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RAN2107bis</b:Tag>
    <b:SourceType>ConferenceProceedings</b:SourceType>
    <b:Guid>{AB718898-B7C1-40BF-A0DF-89937806088C}</b:Guid>
    <b:Title>RAN2#107bis, Chairman Notes</b:Title>
    <b:RefOrder>1</b:RefOrder>
  </b:Source>
  <b:Source>
    <b:Tag>rlcammismatch</b:Tag>
    <b:SourceType>ConferenceProceedings</b:SourceType>
    <b:Guid>{4781027F-7979-486F-866C-A6D01CE6DD0D}</b:Guid>
    <b:Title>R2-19xxxxx, Summary of email discussion [107bis#96][V2X] RLC AM mismatch (Huawei)</b:Title>
    <b:RefOrder>2</b:RefOrder>
  </b:Source>
  <b:Source>
    <b:Tag>intelMACdesign</b:Tag>
    <b:SourceType>ConferenceProceedings</b:SourceType>
    <b:Guid>{CBCD3D0B-C423-4207-AB4D-368EADB6E5D6}</b:Guid>
    <b:Title>R2-19xxxxx, On left issues for NR SL MAC design, Intel Corporation</b:Title>
    <b:RefOrder>3</b:RefOrder>
  </b:Source>
</b:Sources>
</file>

<file path=customXml/itemProps1.xml><?xml version="1.0" encoding="utf-8"?>
<ds:datastoreItem xmlns:ds="http://schemas.openxmlformats.org/officeDocument/2006/customXml" ds:itemID="{9E8059F7-411A-42E7-B169-4982F4A3C71A}">
  <ds:schemaRefs>
    <ds:schemaRef ds:uri="http://schemas.microsoft.com/sharepoint/v3/contenttype/forms"/>
  </ds:schemaRefs>
</ds:datastoreItem>
</file>

<file path=customXml/itemProps2.xml><?xml version="1.0" encoding="utf-8"?>
<ds:datastoreItem xmlns:ds="http://schemas.openxmlformats.org/officeDocument/2006/customXml" ds:itemID="{A079EFE2-3B38-4B7B-B611-43DDE6715448}">
  <ds:schemaRefs>
    <ds:schemaRef ds:uri="042397af-7977-45ef-9118-11c18c8623b6"/>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80530660-24fd-4391-a7a1-d653900fee43"/>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6F85B500-0F0F-44B8-8C42-73619E99B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F97BCF-0EB3-46B0-9116-4BD80EE4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1089</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ansab.ali@intel.com</dc:creator>
  <cp:keywords/>
  <cp:lastModifiedBy>Intel-AA</cp:lastModifiedBy>
  <cp:revision>12</cp:revision>
  <cp:lastPrinted>2008-01-31T16:09:00Z</cp:lastPrinted>
  <dcterms:created xsi:type="dcterms:W3CDTF">2019-11-05T00:40:00Z</dcterms:created>
  <dcterms:modified xsi:type="dcterms:W3CDTF">2019-11-08T02:00:00Z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0x010100C3355BB4B7850E44A83DAD8AF6CF14B0</vt:lpwstr>
  </property>
</Properties>
</file>