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6C4B677" w:rsidR="00A209D6" w:rsidRPr="00161768" w:rsidRDefault="00A209D6">
      <w:pPr>
        <w:pStyle w:val="Header"/>
        <w:tabs>
          <w:tab w:val="right" w:pos="9639"/>
        </w:tabs>
        <w:rPr>
          <w:i/>
          <w:iCs/>
          <w:noProof w:val="0"/>
          <w:sz w:val="24"/>
          <w:szCs w:val="24"/>
        </w:rPr>
      </w:pPr>
      <w:r w:rsidRPr="00A731AE">
        <w:rPr>
          <w:noProof w:val="0"/>
          <w:sz w:val="24"/>
          <w:szCs w:val="24"/>
        </w:rPr>
        <w:t>3GPP TSG-RAN WG2 Meeting #10</w:t>
      </w:r>
      <w:r w:rsidR="006B03AB" w:rsidRPr="00A731AE">
        <w:rPr>
          <w:noProof w:val="0"/>
          <w:sz w:val="24"/>
          <w:szCs w:val="24"/>
        </w:rPr>
        <w:t>7</w:t>
      </w:r>
      <w:r w:rsidRPr="00FA5539">
        <w:rPr>
          <w:bCs/>
          <w:noProof w:val="0"/>
          <w:sz w:val="24"/>
          <w:szCs w:val="24"/>
        </w:rPr>
        <w:tab/>
      </w:r>
      <w:r w:rsidRPr="00A731AE">
        <w:rPr>
          <w:noProof w:val="0"/>
          <w:sz w:val="24"/>
          <w:szCs w:val="24"/>
        </w:rPr>
        <w:t>R2-19</w:t>
      </w:r>
      <w:r w:rsidR="003A5DF4">
        <w:rPr>
          <w:noProof w:val="0"/>
          <w:sz w:val="24"/>
          <w:szCs w:val="24"/>
        </w:rPr>
        <w:t>11289</w:t>
      </w:r>
      <w:bookmarkStart w:id="0" w:name="_GoBack"/>
      <w:bookmarkEnd w:id="0"/>
    </w:p>
    <w:p w14:paraId="11776FA6" w14:textId="6734CAFC" w:rsidR="00A209D6" w:rsidRPr="00FA5539" w:rsidRDefault="00F036E9" w:rsidP="00A209D6">
      <w:pPr>
        <w:pStyle w:val="Header"/>
        <w:tabs>
          <w:tab w:val="right" w:pos="9639"/>
        </w:tabs>
        <w:rPr>
          <w:sz w:val="24"/>
          <w:szCs w:val="24"/>
          <w:lang w:eastAsia="zh-CN"/>
        </w:rPr>
      </w:pPr>
      <w:r w:rsidRPr="00FA5539">
        <w:rPr>
          <w:sz w:val="24"/>
          <w:szCs w:val="24"/>
          <w:lang w:eastAsia="zh-CN"/>
        </w:rPr>
        <w:t>Prague,  Czech Republic, 26 – 30 August 2019</w:t>
      </w:r>
      <w:r w:rsidR="00A209D6" w:rsidRPr="00FA5539">
        <w:rPr>
          <w:sz w:val="24"/>
          <w:szCs w:val="24"/>
          <w:lang w:eastAsia="zh-CN"/>
        </w:rPr>
        <w:tab/>
      </w:r>
    </w:p>
    <w:p w14:paraId="2E02E5F5" w14:textId="77777777" w:rsidR="00A209D6" w:rsidRPr="00FA5539" w:rsidRDefault="00A209D6" w:rsidP="00A209D6">
      <w:pPr>
        <w:pStyle w:val="Header"/>
        <w:rPr>
          <w:bCs/>
          <w:noProof w:val="0"/>
          <w:sz w:val="24"/>
        </w:rPr>
      </w:pPr>
    </w:p>
    <w:p w14:paraId="403CB9C0" w14:textId="77777777" w:rsidR="00A209D6" w:rsidRPr="00FA5539" w:rsidRDefault="00A209D6" w:rsidP="00A209D6">
      <w:pPr>
        <w:pStyle w:val="Header"/>
        <w:rPr>
          <w:bCs/>
          <w:noProof w:val="0"/>
          <w:sz w:val="24"/>
        </w:rPr>
      </w:pPr>
    </w:p>
    <w:p w14:paraId="74AEDB1B" w14:textId="0CF95345" w:rsidR="00A209D6" w:rsidRPr="009B718E" w:rsidRDefault="00A209D6" w:rsidP="00A209D6">
      <w:pPr>
        <w:pStyle w:val="CRCoverPage"/>
        <w:tabs>
          <w:tab w:val="left" w:pos="1985"/>
        </w:tabs>
        <w:rPr>
          <w:rFonts w:eastAsia="宋体" w:cs="Arial"/>
          <w:b/>
          <w:bCs/>
          <w:sz w:val="24"/>
          <w:lang w:eastAsia="zh-CN"/>
        </w:rPr>
      </w:pPr>
      <w:r w:rsidRPr="00FA5539">
        <w:rPr>
          <w:rFonts w:cs="Arial"/>
          <w:b/>
          <w:bCs/>
          <w:sz w:val="24"/>
        </w:rPr>
        <w:t>Agenda item:</w:t>
      </w:r>
      <w:r w:rsidRPr="00FA5539">
        <w:rPr>
          <w:rFonts w:cs="Arial"/>
          <w:b/>
          <w:bCs/>
          <w:sz w:val="24"/>
        </w:rPr>
        <w:tab/>
      </w:r>
      <w:r w:rsidR="001C7F38" w:rsidRPr="009B718E">
        <w:rPr>
          <w:rFonts w:eastAsia="宋体" w:cs="Arial"/>
          <w:b/>
          <w:bCs/>
          <w:sz w:val="24"/>
        </w:rPr>
        <w:t>11.6.4</w:t>
      </w:r>
      <w:r w:rsidR="001C7F38">
        <w:rPr>
          <w:rFonts w:cs="Arial"/>
          <w:b/>
          <w:bCs/>
          <w:sz w:val="24"/>
          <w:highlight w:val="yellow"/>
          <w:lang w:eastAsia="ja-JP"/>
        </w:rPr>
        <w:t xml:space="preserve"> </w:t>
      </w:r>
    </w:p>
    <w:p w14:paraId="73188B46" w14:textId="77777777" w:rsidR="00A209D6" w:rsidRPr="00FA5539" w:rsidRDefault="00A209D6" w:rsidP="00A209D6">
      <w:pPr>
        <w:tabs>
          <w:tab w:val="left" w:pos="1985"/>
        </w:tabs>
        <w:ind w:left="1985" w:hanging="1985"/>
        <w:rPr>
          <w:rFonts w:ascii="Arial" w:hAnsi="Arial" w:cs="Arial"/>
          <w:b/>
          <w:bCs/>
          <w:sz w:val="24"/>
        </w:rPr>
      </w:pPr>
      <w:r w:rsidRPr="00FA5539">
        <w:rPr>
          <w:rFonts w:ascii="Arial" w:hAnsi="Arial" w:cs="Arial"/>
          <w:b/>
          <w:bCs/>
          <w:sz w:val="24"/>
        </w:rPr>
        <w:t>Source:</w:t>
      </w:r>
      <w:r w:rsidRPr="00FA5539">
        <w:rPr>
          <w:rFonts w:ascii="Arial" w:hAnsi="Arial" w:cs="Arial"/>
          <w:b/>
          <w:bCs/>
          <w:sz w:val="24"/>
        </w:rPr>
        <w:tab/>
        <w:t>Nokia, Nokia Shanghai Bell</w:t>
      </w:r>
    </w:p>
    <w:p w14:paraId="0FA3EF00" w14:textId="53FC3D61" w:rsidR="00A209D6" w:rsidRPr="00FA5539" w:rsidRDefault="00A209D6" w:rsidP="00A209D6">
      <w:pPr>
        <w:ind w:left="1985" w:hanging="1985"/>
        <w:rPr>
          <w:rFonts w:ascii="Arial" w:hAnsi="Arial" w:cs="Arial"/>
          <w:b/>
          <w:bCs/>
          <w:sz w:val="24"/>
        </w:rPr>
      </w:pPr>
      <w:r w:rsidRPr="00FA5539">
        <w:rPr>
          <w:rFonts w:ascii="Arial" w:hAnsi="Arial" w:cs="Arial"/>
          <w:b/>
          <w:bCs/>
          <w:sz w:val="24"/>
        </w:rPr>
        <w:t>Title:</w:t>
      </w:r>
      <w:r w:rsidRPr="00FA5539">
        <w:rPr>
          <w:rFonts w:ascii="Arial" w:hAnsi="Arial" w:cs="Arial"/>
          <w:b/>
          <w:bCs/>
          <w:sz w:val="24"/>
        </w:rPr>
        <w:tab/>
      </w:r>
      <w:r w:rsidR="00B31EBE">
        <w:rPr>
          <w:rFonts w:ascii="Arial" w:hAnsi="Arial" w:cs="Arial"/>
          <w:b/>
          <w:bCs/>
          <w:sz w:val="24"/>
        </w:rPr>
        <w:t xml:space="preserve">Discussion on </w:t>
      </w:r>
      <w:r w:rsidR="000A7815" w:rsidRPr="000A7815">
        <w:rPr>
          <w:rFonts w:ascii="Arial" w:hAnsi="Arial" w:cs="Arial"/>
          <w:b/>
          <w:bCs/>
          <w:sz w:val="24"/>
        </w:rPr>
        <w:t>Satellite beams and their mapping to NR cells</w:t>
      </w:r>
    </w:p>
    <w:p w14:paraId="1F147C23" w14:textId="1D88CFC6" w:rsidR="00A209D6" w:rsidRPr="00FA5539" w:rsidRDefault="00A209D6" w:rsidP="006B03AB">
      <w:pPr>
        <w:ind w:left="1985" w:hanging="1985"/>
        <w:rPr>
          <w:rFonts w:ascii="Arial" w:hAnsi="Arial" w:cs="Arial"/>
          <w:b/>
          <w:bCs/>
          <w:sz w:val="24"/>
        </w:rPr>
      </w:pPr>
      <w:r w:rsidRPr="00FA5539">
        <w:rPr>
          <w:rFonts w:ascii="Arial" w:hAnsi="Arial" w:cs="Arial"/>
          <w:b/>
          <w:bCs/>
          <w:sz w:val="24"/>
        </w:rPr>
        <w:t>WID/SID:</w:t>
      </w:r>
      <w:r w:rsidRPr="00FA5539">
        <w:rPr>
          <w:rFonts w:ascii="Arial" w:hAnsi="Arial" w:cs="Arial"/>
          <w:b/>
          <w:bCs/>
          <w:sz w:val="24"/>
        </w:rPr>
        <w:tab/>
      </w:r>
      <w:r w:rsidR="006B03AB" w:rsidRPr="00FA5539">
        <w:rPr>
          <w:rFonts w:ascii="Arial" w:hAnsi="Arial" w:cs="Arial"/>
          <w:b/>
          <w:bCs/>
          <w:sz w:val="24"/>
        </w:rPr>
        <w:t>FS_NR_NTN_solutions - Release 16</w:t>
      </w:r>
    </w:p>
    <w:p w14:paraId="6FEB19D6" w14:textId="77777777" w:rsidR="00A209D6" w:rsidRPr="00FA5539" w:rsidRDefault="00A209D6" w:rsidP="00A209D6">
      <w:pPr>
        <w:tabs>
          <w:tab w:val="left" w:pos="1985"/>
        </w:tabs>
        <w:rPr>
          <w:rFonts w:ascii="Arial" w:hAnsi="Arial" w:cs="Arial"/>
          <w:b/>
          <w:bCs/>
          <w:sz w:val="24"/>
        </w:rPr>
      </w:pPr>
      <w:r w:rsidRPr="00FA5539">
        <w:rPr>
          <w:rFonts w:ascii="Arial" w:hAnsi="Arial" w:cs="Arial"/>
          <w:b/>
          <w:bCs/>
          <w:sz w:val="24"/>
        </w:rPr>
        <w:t>Document for:</w:t>
      </w:r>
      <w:r w:rsidRPr="00FA5539">
        <w:rPr>
          <w:rFonts w:ascii="Arial" w:hAnsi="Arial" w:cs="Arial"/>
          <w:b/>
          <w:bCs/>
          <w:sz w:val="24"/>
        </w:rPr>
        <w:tab/>
        <w:t>Discussion and Decision</w:t>
      </w:r>
    </w:p>
    <w:p w14:paraId="294B1FC1" w14:textId="77777777" w:rsidR="00A209D6" w:rsidRPr="00FA5539" w:rsidRDefault="00A209D6" w:rsidP="00A209D6">
      <w:pPr>
        <w:pStyle w:val="Heading1"/>
      </w:pPr>
      <w:r w:rsidRPr="00FA5539">
        <w:t>1</w:t>
      </w:r>
      <w:r w:rsidRPr="00FA5539">
        <w:tab/>
        <w:t>Introduction</w:t>
      </w:r>
    </w:p>
    <w:p w14:paraId="3445B7C8" w14:textId="77777777" w:rsidR="00FA6E7D" w:rsidRDefault="00FA6E7D" w:rsidP="00FA6E7D">
      <w:r w:rsidRPr="007D73DA">
        <w:t xml:space="preserve">The </w:t>
      </w:r>
      <w:r>
        <w:t xml:space="preserve">study item </w:t>
      </w:r>
      <w:r w:rsidRPr="007D73DA">
        <w:t>on solutions evaluation for NR to support Non-Terrestrial network has been approved in RAN #80 [1].</w:t>
      </w:r>
    </w:p>
    <w:p w14:paraId="31EC6E66" w14:textId="34956CBD" w:rsidR="007F2E08" w:rsidRPr="00FA5539" w:rsidRDefault="00FA6E7D" w:rsidP="00F45243">
      <w:r>
        <w:t xml:space="preserve">This paper is to discuss </w:t>
      </w:r>
      <w:r w:rsidRPr="009B718E">
        <w:t>Satellite beams and their mapping to NR cells</w:t>
      </w:r>
      <w:r>
        <w:t xml:space="preserve"> in NTN. </w:t>
      </w:r>
    </w:p>
    <w:p w14:paraId="1A392D49" w14:textId="1D9CC56E" w:rsidR="00616D9B" w:rsidRPr="00FA5539" w:rsidRDefault="00A209D6" w:rsidP="00616D9B">
      <w:pPr>
        <w:pStyle w:val="Heading1"/>
      </w:pPr>
      <w:r w:rsidRPr="00FA5539">
        <w:t>2</w:t>
      </w:r>
      <w:r w:rsidRPr="00FA5539">
        <w:tab/>
      </w:r>
      <w:r w:rsidR="00F45243" w:rsidRPr="00FA5539">
        <w:t>Satellite beam</w:t>
      </w:r>
      <w:r w:rsidR="00D62430" w:rsidRPr="00FA5539">
        <w:t>s and their</w:t>
      </w:r>
      <w:r w:rsidR="00F45243" w:rsidRPr="00FA5539">
        <w:t xml:space="preserve"> </w:t>
      </w:r>
      <w:r w:rsidR="00EA171B" w:rsidRPr="00FA5539">
        <w:t>mapping</w:t>
      </w:r>
      <w:r w:rsidR="00F45243" w:rsidRPr="00FA5539">
        <w:t xml:space="preserve"> </w:t>
      </w:r>
      <w:r w:rsidR="00EA171B" w:rsidRPr="00FA5539">
        <w:t xml:space="preserve">to </w:t>
      </w:r>
      <w:r w:rsidR="00F45243" w:rsidRPr="00FA5539">
        <w:t>NR cells</w:t>
      </w:r>
    </w:p>
    <w:p w14:paraId="472FE132" w14:textId="423A6E41" w:rsidR="00616D9B" w:rsidRPr="00FA5539" w:rsidRDefault="00616D9B" w:rsidP="00616D9B">
      <w:pPr>
        <w:pStyle w:val="Heading2"/>
      </w:pPr>
      <w:r w:rsidRPr="00FA5539">
        <w:t>2.1 One satellite beam for one NR cell</w:t>
      </w:r>
    </w:p>
    <w:p w14:paraId="79CA4A50" w14:textId="3F19CD7C" w:rsidR="00FB65AF" w:rsidRDefault="00FA5539" w:rsidP="00AF65D7">
      <w:r w:rsidRPr="00FA5539">
        <w:t xml:space="preserve">According </w:t>
      </w:r>
      <w:r w:rsidRPr="00B06AA4">
        <w:t xml:space="preserve">to </w:t>
      </w:r>
      <w:hyperlink r:id="rId12" w:history="1">
        <w:r w:rsidR="00B06AA4" w:rsidRPr="00B06AA4">
          <w:rPr>
            <w:rStyle w:val="Hyperlink"/>
          </w:rPr>
          <w:t>TR38.821</w:t>
        </w:r>
      </w:hyperlink>
      <w:r w:rsidR="00B06AA4" w:rsidRPr="00B06AA4">
        <w:t xml:space="preserve">, </w:t>
      </w:r>
      <w:r w:rsidRPr="00FA5539">
        <w:t xml:space="preserve">Figure 7.3.1-1 Option b), each satellite beam is mapped to one NR cell (PCI) and each NR cell </w:t>
      </w:r>
      <w:r w:rsidR="00C05337">
        <w:t xml:space="preserve">can provide </w:t>
      </w:r>
      <w:r w:rsidRPr="00FA5539">
        <w:t xml:space="preserve">only </w:t>
      </w:r>
      <w:r w:rsidR="00C05337">
        <w:t xml:space="preserve">one </w:t>
      </w:r>
      <w:r w:rsidRPr="00FA5539">
        <w:t xml:space="preserve">NR beam (SSB). </w:t>
      </w:r>
      <w:r w:rsidR="00FB65AF">
        <w:t>It is reasonable to assume that in this scenario there will not be any Release 15/16 NR beams (</w:t>
      </w:r>
      <w:r w:rsidR="00C67B96">
        <w:t xml:space="preserve">time multiplexed </w:t>
      </w:r>
      <w:r w:rsidR="00FB65AF">
        <w:t>SSB) provided, as this would imply beam-forming capabilities within on</w:t>
      </w:r>
      <w:r w:rsidR="00C67B96">
        <w:t>e</w:t>
      </w:r>
      <w:r w:rsidR="00FB65AF">
        <w:t xml:space="preserve"> satellite beam. </w:t>
      </w:r>
      <w:r w:rsidR="00C05337" w:rsidRPr="00FA5539">
        <w:t>This is illustrated in Figure 1</w:t>
      </w:r>
      <w:r w:rsidR="00C05337">
        <w:t>.</w:t>
      </w:r>
    </w:p>
    <w:p w14:paraId="0090D632" w14:textId="5BECF1DA" w:rsidR="00AF65D7" w:rsidRPr="00FA5539" w:rsidRDefault="00FA5539" w:rsidP="00AF65D7">
      <w:r>
        <w:t xml:space="preserve">The maximum diameter size of the satellite beams </w:t>
      </w:r>
      <w:r w:rsidR="0059295D">
        <w:t xml:space="preserve">at nadir </w:t>
      </w:r>
      <w:r>
        <w:t xml:space="preserve">is listed in </w:t>
      </w:r>
      <w:hyperlink r:id="rId13" w:history="1">
        <w:r w:rsidR="00B06AA4" w:rsidRPr="009857CE">
          <w:rPr>
            <w:rStyle w:val="Hyperlink"/>
          </w:rPr>
          <w:t>TR38.821</w:t>
        </w:r>
      </w:hyperlink>
      <w:r w:rsidR="00B06AA4" w:rsidRPr="00B06AA4">
        <w:t xml:space="preserve">, </w:t>
      </w:r>
      <w:r w:rsidRPr="00B06AA4">
        <w:t xml:space="preserve">Table </w:t>
      </w:r>
      <w:r w:rsidR="003E2C0B" w:rsidRPr="00B06AA4">
        <w:t>4.2-2</w:t>
      </w:r>
      <w:r w:rsidR="003E2C0B">
        <w:t xml:space="preserve"> </w:t>
      </w:r>
      <w:r>
        <w:t xml:space="preserve">and is assumed to be 500km for GEO and 200km for LEO scenarios. </w:t>
      </w:r>
      <w:r w:rsidR="00AD0FA7">
        <w:t>If the maximum diameter size of the satellite beams is assumed to be 500km for GEO and 200km for LEO</w:t>
      </w:r>
      <w:r w:rsidR="000725A5">
        <w:t xml:space="preserve"> as well</w:t>
      </w:r>
      <w:r w:rsidR="00AD0FA7">
        <w:t>, then t</w:t>
      </w:r>
      <w:r w:rsidR="0059295D">
        <w:t>he corresponding</w:t>
      </w:r>
      <w:r w:rsidR="00297A82">
        <w:t xml:space="preserve"> maximum differential delays within </w:t>
      </w:r>
      <w:r w:rsidR="00FB65AF">
        <w:t>one</w:t>
      </w:r>
      <w:r w:rsidR="00297A82">
        <w:t xml:space="preserve"> satellite beam are 1.6ms for GEO and 0.65ms for LEO scenarios.</w:t>
      </w:r>
      <w:r w:rsidR="00FB65AF">
        <w:t xml:space="preserve"> In the case of the mapping illustrated in Figure 1, these maximum delay values also correspond to the maximum delays </w:t>
      </w:r>
      <w:r w:rsidR="009C35DE">
        <w:t xml:space="preserve">required </w:t>
      </w:r>
      <w:r w:rsidR="00FB65AF">
        <w:t xml:space="preserve">to be handled </w:t>
      </w:r>
      <w:r w:rsidR="009C35DE">
        <w:t xml:space="preserve">by the radio access and mobility mechanisms </w:t>
      </w:r>
      <w:r w:rsidR="00FB65AF">
        <w:t xml:space="preserve">in one NR </w:t>
      </w:r>
      <w:r w:rsidR="00FB65AF" w:rsidRPr="00B06AA4">
        <w:t>cell</w:t>
      </w:r>
      <w:r w:rsidR="003E2C0B" w:rsidRPr="00B06AA4">
        <w:t>.</w:t>
      </w:r>
      <w:r w:rsidR="00AD7D68" w:rsidRPr="00B06AA4">
        <w:t xml:space="preserve"> Similar considerations apply to the maximum Doppler shift and Doppler shift variations values listed in TR38.821, Table 4.2-2.</w:t>
      </w:r>
    </w:p>
    <w:p w14:paraId="56A49A57" w14:textId="3E6AA2E7" w:rsidR="00616D9B" w:rsidRPr="00FA5539" w:rsidRDefault="00616D9B" w:rsidP="00616D9B"/>
    <w:p w14:paraId="4F17917E" w14:textId="77777777" w:rsidR="00E42436" w:rsidRPr="00FA5539" w:rsidRDefault="00E42436" w:rsidP="00E42436">
      <w:pPr>
        <w:pStyle w:val="TH"/>
      </w:pPr>
      <w:r w:rsidRPr="00FA5539">
        <w:rPr>
          <w:noProof/>
        </w:rPr>
        <w:drawing>
          <wp:inline distT="0" distB="0" distL="0" distR="0" wp14:anchorId="5862F312" wp14:editId="6713DCAB">
            <wp:extent cx="6325931" cy="25196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41289" cy="2525797"/>
                    </a:xfrm>
                    <a:prstGeom prst="rect">
                      <a:avLst/>
                    </a:prstGeom>
                    <a:noFill/>
                  </pic:spPr>
                </pic:pic>
              </a:graphicData>
            </a:graphic>
          </wp:inline>
        </w:drawing>
      </w:r>
    </w:p>
    <w:p w14:paraId="56355DF9" w14:textId="5283BE96" w:rsidR="00E42436" w:rsidRPr="00FA5539" w:rsidRDefault="00E42436" w:rsidP="00E42436">
      <w:pPr>
        <w:pStyle w:val="TF"/>
      </w:pPr>
      <w:r w:rsidRPr="00FA5539">
        <w:t>Figure 1: Illustration of the option with one satellite beam mapping to one NR cell</w:t>
      </w:r>
      <w:r w:rsidR="00033124">
        <w:t xml:space="preserve"> </w:t>
      </w:r>
      <w:r w:rsidR="00656120">
        <w:t xml:space="preserve">with </w:t>
      </w:r>
      <w:r w:rsidR="00033124">
        <w:t>one NR beam</w:t>
      </w:r>
    </w:p>
    <w:p w14:paraId="1BF84984" w14:textId="77777777" w:rsidR="00E42436" w:rsidRPr="00FA5539" w:rsidRDefault="00E42436" w:rsidP="00616D9B"/>
    <w:p w14:paraId="47865E7D" w14:textId="189EAA1C" w:rsidR="00616D9B" w:rsidRPr="00FA5539" w:rsidRDefault="00616D9B" w:rsidP="00616D9B">
      <w:pPr>
        <w:pStyle w:val="Heading2"/>
      </w:pPr>
      <w:r w:rsidRPr="00FA5539">
        <w:t>2.2 Several satellite beams for one NR cell</w:t>
      </w:r>
    </w:p>
    <w:p w14:paraId="5BDD8ACF" w14:textId="5FFCFE71" w:rsidR="00C05337" w:rsidRDefault="00C05337" w:rsidP="00C05337">
      <w:r w:rsidRPr="00FA5539">
        <w:t xml:space="preserve">According to </w:t>
      </w:r>
      <w:hyperlink r:id="rId15" w:history="1">
        <w:r w:rsidRPr="009857CE">
          <w:rPr>
            <w:rStyle w:val="Hyperlink"/>
          </w:rPr>
          <w:t>TR38.821</w:t>
        </w:r>
      </w:hyperlink>
      <w:r w:rsidR="0070539D">
        <w:rPr>
          <w:rStyle w:val="Hyperlink"/>
        </w:rPr>
        <w:t>[1]</w:t>
      </w:r>
      <w:r w:rsidRPr="00FA5539">
        <w:t xml:space="preserve">, Figure 7.3.1-1, </w:t>
      </w:r>
      <w:r w:rsidR="00724B47">
        <w:t>one or more</w:t>
      </w:r>
      <w:r w:rsidR="00724B47" w:rsidRPr="00FA5539">
        <w:t xml:space="preserve"> </w:t>
      </w:r>
      <w:r w:rsidRPr="00FA5539">
        <w:t>satellite beam</w:t>
      </w:r>
      <w:r>
        <w:t>s</w:t>
      </w:r>
      <w:r w:rsidRPr="00FA5539">
        <w:t xml:space="preserve"> </w:t>
      </w:r>
      <w:r>
        <w:t>are</w:t>
      </w:r>
      <w:r w:rsidRPr="00FA5539">
        <w:t xml:space="preserve"> mapped to one NR cell (PCI) and each NR cell </w:t>
      </w:r>
      <w:r>
        <w:t>can provide one or more</w:t>
      </w:r>
      <w:r w:rsidRPr="00FA5539">
        <w:t xml:space="preserve"> NR beam</w:t>
      </w:r>
      <w:r w:rsidR="00D83D11">
        <w:rPr>
          <w:rFonts w:ascii="宋体" w:hAnsi="宋体" w:cs="宋体"/>
          <w:lang w:eastAsia="zh-CN"/>
        </w:rPr>
        <w:t>(s)</w:t>
      </w:r>
      <w:r w:rsidRPr="00FA5539">
        <w:t xml:space="preserve"> (SSB). Figure </w:t>
      </w:r>
      <w:r>
        <w:t>2</w:t>
      </w:r>
      <w:r w:rsidR="00724B47">
        <w:t xml:space="preserve"> illustrates the case where 2 satellite beams are mapped to the one NR cell, and each NR cell provides only on</w:t>
      </w:r>
      <w:r w:rsidR="466C6EFF">
        <w:t>e</w:t>
      </w:r>
      <w:r w:rsidR="00724B47">
        <w:t xml:space="preserve"> NR beam</w:t>
      </w:r>
      <w:r>
        <w:t>.</w:t>
      </w:r>
    </w:p>
    <w:p w14:paraId="1EAEFB2E" w14:textId="6BB10E67" w:rsidR="00F45243" w:rsidRPr="00FA5539" w:rsidRDefault="00FD6874" w:rsidP="00A209D6">
      <w:r>
        <w:t xml:space="preserve">The maximum </w:t>
      </w:r>
      <w:r w:rsidR="009C35DE">
        <w:t xml:space="preserve">diameter size of the satellite beams at nadir and corresponding maximum </w:t>
      </w:r>
      <w:r>
        <w:t>differential delays</w:t>
      </w:r>
      <w:r w:rsidR="00581AFD">
        <w:t xml:space="preserve"> with the assumption of same maximum beam diameter size within satellite footprint coverage</w:t>
      </w:r>
      <w:r w:rsidR="009C35DE">
        <w:t xml:space="preserve"> listed in </w:t>
      </w:r>
      <w:hyperlink r:id="rId16" w:history="1">
        <w:r w:rsidR="009857CE" w:rsidRPr="009857CE">
          <w:rPr>
            <w:rStyle w:val="Hyperlink"/>
          </w:rPr>
          <w:t>TR38.821</w:t>
        </w:r>
      </w:hyperlink>
      <w:r w:rsidR="0070539D">
        <w:rPr>
          <w:rStyle w:val="Hyperlink"/>
        </w:rPr>
        <w:t>[1]</w:t>
      </w:r>
      <w:r w:rsidR="00161768">
        <w:t xml:space="preserve"> </w:t>
      </w:r>
      <w:r w:rsidR="009C35DE" w:rsidRPr="009857CE">
        <w:t xml:space="preserve">Table </w:t>
      </w:r>
      <w:r w:rsidR="003E2C0B" w:rsidRPr="009857CE">
        <w:t>4.2-2</w:t>
      </w:r>
      <w:r w:rsidR="003E2C0B">
        <w:t xml:space="preserve"> </w:t>
      </w:r>
      <w:r w:rsidR="009C35DE">
        <w:t>apply also in this deployment scenario. Therefore, the requirement o</w:t>
      </w:r>
      <w:r w:rsidR="000F53CF">
        <w:t>n</w:t>
      </w:r>
      <w:r w:rsidR="009C35DE">
        <w:t xml:space="preserve"> the maximum differential delay values </w:t>
      </w:r>
      <w:r w:rsidR="00AD7D68">
        <w:t xml:space="preserve">(or maximum Doppler shift, or maximum Doppler shift variation) </w:t>
      </w:r>
      <w:r w:rsidR="009C35DE">
        <w:t xml:space="preserve">to be accommodated in one NR cell, imposes restriction to the size of the satellite beams mapped to the same NR cell. For the example in Figure 2, for a GEO scenario, the satellite beams would have to be maximum 250km in diameter, in order to fulfil the requirement on the </w:t>
      </w:r>
      <w:r w:rsidR="000F53CF">
        <w:t xml:space="preserve">1.6ms </w:t>
      </w:r>
      <w:r w:rsidR="009C35DE">
        <w:t>maximum differential delay supported</w:t>
      </w:r>
      <w:r w:rsidR="000F53CF">
        <w:t xml:space="preserve"> in one NR cell (PCI)</w:t>
      </w:r>
      <w:r w:rsidR="009C35DE">
        <w:t>.</w:t>
      </w:r>
      <w:r w:rsidR="00442865">
        <w:t xml:space="preserve"> In case of LEO scenarios, similar restrictions on the satellite beams size apply when multiple satellite beams are mapped to the one NR cell. However, when the maximum differential delay of 1.6ms is supported also in LEO scenarios, and not only in GEO scenarios, then the number of LEO satellite beams</w:t>
      </w:r>
      <w:r w:rsidR="001765CB">
        <w:t>,</w:t>
      </w:r>
      <w:r w:rsidR="00442865">
        <w:t xml:space="preserve"> </w:t>
      </w:r>
      <w:r w:rsidR="001765CB">
        <w:t>with maximum diameter of 200km, mapped to</w:t>
      </w:r>
      <w:r w:rsidR="00442865">
        <w:t xml:space="preserve"> one NR cell can be increased </w:t>
      </w:r>
      <w:r w:rsidR="001765CB">
        <w:t xml:space="preserve">to </w:t>
      </w:r>
      <w:r w:rsidR="00442865">
        <w:t>approximately 3.</w:t>
      </w:r>
      <w:r w:rsidR="00471CE6">
        <w:t xml:space="preserve"> Naturally, when smaller satellite beam sizes are deployed</w:t>
      </w:r>
      <w:r w:rsidR="0036750E">
        <w:t xml:space="preserve"> (e.g. 50km diameter)</w:t>
      </w:r>
      <w:r w:rsidR="00471CE6">
        <w:t xml:space="preserve"> the number of satellite beams in one NR cell can be increased proportionally</w:t>
      </w:r>
      <w:r w:rsidR="0036750E">
        <w:t xml:space="preserve"> (e.g. to 12)</w:t>
      </w:r>
      <w:r w:rsidR="00471CE6">
        <w:t>.</w:t>
      </w:r>
    </w:p>
    <w:p w14:paraId="351EB094" w14:textId="1D7D76DB" w:rsidR="00F45243" w:rsidRDefault="00F45243" w:rsidP="00F45243">
      <w:r w:rsidRPr="00FA5539">
        <w:rPr>
          <w:b/>
        </w:rPr>
        <w:t xml:space="preserve">Observation </w:t>
      </w:r>
      <w:r w:rsidR="002F33BE">
        <w:rPr>
          <w:b/>
        </w:rPr>
        <w:t>1</w:t>
      </w:r>
      <w:r w:rsidRPr="00FA5539">
        <w:rPr>
          <w:b/>
        </w:rPr>
        <w:t>:</w:t>
      </w:r>
      <w:r w:rsidRPr="00FA5539">
        <w:t xml:space="preserve"> </w:t>
      </w:r>
      <w:r w:rsidR="00510ECC" w:rsidRPr="00324EAA">
        <w:rPr>
          <w:b/>
        </w:rPr>
        <w:t xml:space="preserve">The maximum differential delays to be supported in one NR cell of 1.6ms for GEO and 0.65ms for LEO scenarios limit the number and diameter size of the satellite beams which are mapped to the one NR cell </w:t>
      </w:r>
      <w:r w:rsidR="00442865" w:rsidRPr="00324EAA">
        <w:rPr>
          <w:b/>
        </w:rPr>
        <w:t>(</w:t>
      </w:r>
      <w:r w:rsidR="00510ECC" w:rsidRPr="00324EAA">
        <w:rPr>
          <w:b/>
        </w:rPr>
        <w:t>PCI</w:t>
      </w:r>
      <w:r w:rsidR="00442865" w:rsidRPr="00324EAA">
        <w:rPr>
          <w:b/>
        </w:rPr>
        <w:t>).</w:t>
      </w:r>
    </w:p>
    <w:p w14:paraId="7145753D" w14:textId="6A2D45FB" w:rsidR="001765CB" w:rsidRPr="00FA5539" w:rsidRDefault="001765CB" w:rsidP="00F45243">
      <w:r w:rsidRPr="00FA5539">
        <w:rPr>
          <w:b/>
        </w:rPr>
        <w:t xml:space="preserve">Observation </w:t>
      </w:r>
      <w:r>
        <w:rPr>
          <w:b/>
        </w:rPr>
        <w:t>2</w:t>
      </w:r>
      <w:r w:rsidRPr="00FA5539">
        <w:rPr>
          <w:b/>
        </w:rPr>
        <w:t>:</w:t>
      </w:r>
      <w:r>
        <w:rPr>
          <w:b/>
        </w:rPr>
        <w:t xml:space="preserve"> </w:t>
      </w:r>
      <w:r w:rsidRPr="00324EAA">
        <w:rPr>
          <w:b/>
        </w:rPr>
        <w:t xml:space="preserve">The maximum differential delays to be supported in one NR cell of 1.6ms can also be applied to LEO scenarios and </w:t>
      </w:r>
      <w:r w:rsidR="00565EB7" w:rsidRPr="00324EAA">
        <w:rPr>
          <w:b/>
        </w:rPr>
        <w:t xml:space="preserve">this </w:t>
      </w:r>
      <w:r w:rsidRPr="00324EAA">
        <w:rPr>
          <w:b/>
        </w:rPr>
        <w:t>allows the mapping of up to 3 LEO satellite beams with maximum diameter of 200km, to one NR cell.</w:t>
      </w:r>
    </w:p>
    <w:p w14:paraId="7E3064C0" w14:textId="4EA30927" w:rsidR="00A209D6" w:rsidRPr="00FA5539" w:rsidRDefault="00A209D6" w:rsidP="00A209D6">
      <w:r w:rsidRPr="00FA5539">
        <w:t xml:space="preserve">  </w:t>
      </w:r>
    </w:p>
    <w:p w14:paraId="6DCFAE7A" w14:textId="4A18F217" w:rsidR="00EA171B" w:rsidRPr="00FA5539" w:rsidRDefault="001E094E" w:rsidP="00F45243">
      <w:pPr>
        <w:pStyle w:val="TH"/>
      </w:pPr>
      <w:r w:rsidRPr="00FA5539">
        <w:rPr>
          <w:noProof/>
        </w:rPr>
        <w:drawing>
          <wp:inline distT="0" distB="0" distL="0" distR="0" wp14:anchorId="4E916FD1" wp14:editId="472BAACB">
            <wp:extent cx="5624078" cy="220830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46232" cy="2217008"/>
                    </a:xfrm>
                    <a:prstGeom prst="rect">
                      <a:avLst/>
                    </a:prstGeom>
                    <a:noFill/>
                  </pic:spPr>
                </pic:pic>
              </a:graphicData>
            </a:graphic>
          </wp:inline>
        </w:drawing>
      </w:r>
    </w:p>
    <w:p w14:paraId="298D158F" w14:textId="5FE35710" w:rsidR="00F45243" w:rsidRDefault="00F45243" w:rsidP="00F45243">
      <w:pPr>
        <w:pStyle w:val="TF"/>
      </w:pPr>
      <w:r w:rsidRPr="00FA5539">
        <w:t xml:space="preserve">Figure </w:t>
      </w:r>
      <w:r w:rsidR="0018113F" w:rsidRPr="00FA5539">
        <w:t>2</w:t>
      </w:r>
      <w:r w:rsidRPr="00FA5539">
        <w:t xml:space="preserve">: </w:t>
      </w:r>
      <w:r w:rsidR="00EA171B" w:rsidRPr="00FA5539">
        <w:t xml:space="preserve">Illustration of </w:t>
      </w:r>
      <w:r w:rsidR="001E094E" w:rsidRPr="00FA5539">
        <w:t>the</w:t>
      </w:r>
      <w:r w:rsidR="00EA171B" w:rsidRPr="00FA5539">
        <w:t xml:space="preserve"> option </w:t>
      </w:r>
      <w:r w:rsidR="001E094E" w:rsidRPr="00FA5539">
        <w:t>with</w:t>
      </w:r>
      <w:r w:rsidR="00EA171B" w:rsidRPr="00FA5539">
        <w:t xml:space="preserve"> </w:t>
      </w:r>
      <w:r w:rsidR="001E094E" w:rsidRPr="00FA5539">
        <w:t xml:space="preserve">2 </w:t>
      </w:r>
      <w:r w:rsidR="00EA171B" w:rsidRPr="00FA5539">
        <w:t>satellite beam</w:t>
      </w:r>
      <w:r w:rsidR="00591352" w:rsidRPr="00FA5539">
        <w:t>s</w:t>
      </w:r>
      <w:r w:rsidR="00EA171B" w:rsidRPr="00FA5539">
        <w:t xml:space="preserve"> mapp</w:t>
      </w:r>
      <w:r w:rsidR="001E094E" w:rsidRPr="00FA5539">
        <w:t>ed</w:t>
      </w:r>
      <w:r w:rsidR="00EA171B" w:rsidRPr="00FA5539">
        <w:t xml:space="preserve"> to </w:t>
      </w:r>
      <w:r w:rsidR="001E094E" w:rsidRPr="00FA5539">
        <w:t xml:space="preserve">one </w:t>
      </w:r>
      <w:r w:rsidR="00EA171B" w:rsidRPr="00FA5539">
        <w:t>NR cell</w:t>
      </w:r>
      <w:r w:rsidR="001E1ABF">
        <w:t xml:space="preserve"> with one NR beam</w:t>
      </w:r>
    </w:p>
    <w:p w14:paraId="478BE531" w14:textId="77777777" w:rsidR="00616D9B" w:rsidRPr="00FA5539" w:rsidRDefault="00616D9B" w:rsidP="00F45243">
      <w:pPr>
        <w:pStyle w:val="TF"/>
      </w:pPr>
    </w:p>
    <w:p w14:paraId="3E516625" w14:textId="08482D25" w:rsidR="00616D9B" w:rsidRPr="00FA5539" w:rsidRDefault="00616D9B" w:rsidP="00616D9B">
      <w:pPr>
        <w:pStyle w:val="Heading2"/>
      </w:pPr>
      <w:r w:rsidRPr="00FA5539">
        <w:t xml:space="preserve">2.3 </w:t>
      </w:r>
      <w:r w:rsidR="001B18DF">
        <w:t xml:space="preserve">NTN </w:t>
      </w:r>
      <w:r w:rsidRPr="00FA5539">
        <w:t xml:space="preserve">NR cell with </w:t>
      </w:r>
      <w:r w:rsidR="001B18DF">
        <w:t xml:space="preserve">several </w:t>
      </w:r>
      <w:r w:rsidRPr="00FA5539">
        <w:t>NR beams</w:t>
      </w:r>
    </w:p>
    <w:p w14:paraId="53113CD2" w14:textId="13F701F2" w:rsidR="00AF65D7" w:rsidRPr="00FA5539" w:rsidRDefault="00565EB7" w:rsidP="00AF65D7">
      <w:r>
        <w:t>The</w:t>
      </w:r>
      <w:r w:rsidR="00BF4294">
        <w:t xml:space="preserve"> most typical scenarios assumed </w:t>
      </w:r>
      <w:r w:rsidR="00B42326">
        <w:t xml:space="preserve">so far </w:t>
      </w:r>
      <w:r w:rsidR="00BF4294">
        <w:t>in NTN are when one or more satellite beams are mapped to the one NR cell</w:t>
      </w:r>
      <w:r>
        <w:t xml:space="preserve"> (see Section 2.2)</w:t>
      </w:r>
      <w:r w:rsidR="00BF4294">
        <w:t>. It was left as implementation option on how the NR beams within one NR cell are configured. However, in case of NTN deployments, the 3GPP Release 15/16 NR beams might not be possible to configure due the practical limitations on the satellite beams (feeder or antenna arrays size, etc). Thus, one obvious option is to use each satellite beam as one NR beam</w:t>
      </w:r>
      <w:r w:rsidR="003952F7">
        <w:t xml:space="preserve">, illustrated in </w:t>
      </w:r>
      <w:r w:rsidR="00BF4294">
        <w:t>Figure 3. In the context of 3GPP Release 15/16</w:t>
      </w:r>
      <w:r w:rsidR="00C538DF">
        <w:t>, the</w:t>
      </w:r>
      <w:r w:rsidR="00BF4294">
        <w:t xml:space="preserve"> NR beams signalling specifications impl</w:t>
      </w:r>
      <w:r w:rsidR="00C538DF">
        <w:t>y</w:t>
      </w:r>
      <w:r w:rsidR="00BF4294">
        <w:t xml:space="preserve"> that the satellite beams will be sw</w:t>
      </w:r>
      <w:r w:rsidR="00A731AE">
        <w:t>ept</w:t>
      </w:r>
      <w:r w:rsidR="00BF4294">
        <w:t xml:space="preserve"> (time multiplexed) </w:t>
      </w:r>
      <w:r w:rsidR="00C538DF">
        <w:t xml:space="preserve">thus </w:t>
      </w:r>
      <w:r w:rsidR="00BF4294">
        <w:t xml:space="preserve">there will not be simultaneously available coverage from all satellite beams within one NR cell. This has implications on the </w:t>
      </w:r>
      <w:r w:rsidR="00A731AE">
        <w:t xml:space="preserve">radio </w:t>
      </w:r>
      <w:r w:rsidR="00BF4294">
        <w:t>access and mobility mechanisms, because unlike in terrestrial networks, the beams have rather large coverage area on Earth and the UEs typically will not be able to detect more than one beam at the time</w:t>
      </w:r>
      <w:r w:rsidR="00A731AE">
        <w:t xml:space="preserve"> (beam sweeping)</w:t>
      </w:r>
      <w:r w:rsidR="00BF4294">
        <w:t>.</w:t>
      </w:r>
      <w:r w:rsidR="00C538DF">
        <w:t xml:space="preserve"> For example, assuming a 50km </w:t>
      </w:r>
      <w:r w:rsidR="00C538DF">
        <w:lastRenderedPageBreak/>
        <w:t>diameter satellite beam diameter, each providing one NR beam, and 12 satellite beams in the one NR cell, only approximately 8% of the total NTN NR cell coverage area would be served at the time</w:t>
      </w:r>
      <w:r w:rsidR="00443A2D">
        <w:t xml:space="preserve"> (</w:t>
      </w:r>
      <w:r w:rsidR="00C538DF">
        <w:t>one NR beam</w:t>
      </w:r>
      <w:r w:rsidR="00443A2D">
        <w:t xml:space="preserve"> </w:t>
      </w:r>
      <w:r w:rsidR="005500CA">
        <w:t xml:space="preserve">active </w:t>
      </w:r>
      <w:r w:rsidR="00443A2D">
        <w:t>at the time)</w:t>
      </w:r>
      <w:r w:rsidR="00C538DF">
        <w:t>.</w:t>
      </w:r>
    </w:p>
    <w:p w14:paraId="57573308" w14:textId="77777777" w:rsidR="00AF65D7" w:rsidRPr="00FA5539" w:rsidRDefault="00AF65D7" w:rsidP="00AF65D7"/>
    <w:p w14:paraId="474DA594" w14:textId="1965DF97" w:rsidR="00AF65D7" w:rsidRDefault="00AF65D7" w:rsidP="00AF65D7">
      <w:r w:rsidRPr="00FA5539">
        <w:rPr>
          <w:b/>
        </w:rPr>
        <w:t xml:space="preserve">Observation </w:t>
      </w:r>
      <w:r w:rsidR="008A4591">
        <w:rPr>
          <w:b/>
        </w:rPr>
        <w:t>3</w:t>
      </w:r>
      <w:r w:rsidRPr="00FA5539">
        <w:rPr>
          <w:b/>
        </w:rPr>
        <w:t>:</w:t>
      </w:r>
      <w:r w:rsidRPr="00FA5539">
        <w:t xml:space="preserve"> </w:t>
      </w:r>
      <w:r w:rsidR="00186B33" w:rsidRPr="00324EAA">
        <w:rPr>
          <w:b/>
        </w:rPr>
        <w:t>The configuration of NR beams within one NR cell is</w:t>
      </w:r>
      <w:r w:rsidR="00D32BD1" w:rsidRPr="00324EAA">
        <w:rPr>
          <w:b/>
        </w:rPr>
        <w:t xml:space="preserve"> an</w:t>
      </w:r>
      <w:r w:rsidR="00186B33" w:rsidRPr="00324EAA">
        <w:rPr>
          <w:b/>
        </w:rPr>
        <w:t xml:space="preserve"> implementation specific aspect. </w:t>
      </w:r>
      <w:r w:rsidR="00D32BD1" w:rsidRPr="00324EAA">
        <w:rPr>
          <w:b/>
        </w:rPr>
        <w:t>I</w:t>
      </w:r>
      <w:r w:rsidR="00186B33" w:rsidRPr="00324EAA">
        <w:rPr>
          <w:b/>
        </w:rPr>
        <w:t xml:space="preserve">n case of NTN scenarios, due to the large radio coverage area of the </w:t>
      </w:r>
      <w:r w:rsidR="00D32BD1" w:rsidRPr="00324EAA">
        <w:rPr>
          <w:b/>
        </w:rPr>
        <w:t>satellite beams</w:t>
      </w:r>
      <w:r w:rsidR="00186B33" w:rsidRPr="00324EAA">
        <w:rPr>
          <w:b/>
        </w:rPr>
        <w:t xml:space="preserve">, the configuration </w:t>
      </w:r>
      <w:r w:rsidR="00D32BD1" w:rsidRPr="00324EAA">
        <w:rPr>
          <w:b/>
        </w:rPr>
        <w:t>where each satellite beam provides one</w:t>
      </w:r>
      <w:r w:rsidR="00186B33" w:rsidRPr="00324EAA">
        <w:rPr>
          <w:b/>
        </w:rPr>
        <w:t xml:space="preserve"> NR beam impacts the performance of access and mobility mechanisms.</w:t>
      </w:r>
    </w:p>
    <w:p w14:paraId="0878EA59" w14:textId="474BAC51" w:rsidR="003952F7" w:rsidRDefault="003952F7" w:rsidP="00AF65D7"/>
    <w:p w14:paraId="56D103D8" w14:textId="77777777" w:rsidR="003952F7" w:rsidRPr="00FA5539" w:rsidRDefault="003952F7" w:rsidP="003952F7">
      <w:pPr>
        <w:pStyle w:val="TF"/>
      </w:pPr>
      <w:r>
        <w:rPr>
          <w:noProof/>
        </w:rPr>
        <w:drawing>
          <wp:inline distT="0" distB="0" distL="0" distR="0" wp14:anchorId="6B92088B" wp14:editId="5C5EB3EE">
            <wp:extent cx="6102350" cy="234236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1452" cy="2345860"/>
                    </a:xfrm>
                    <a:prstGeom prst="rect">
                      <a:avLst/>
                    </a:prstGeom>
                    <a:noFill/>
                  </pic:spPr>
                </pic:pic>
              </a:graphicData>
            </a:graphic>
          </wp:inline>
        </w:drawing>
      </w:r>
    </w:p>
    <w:p w14:paraId="2B8D6CC2" w14:textId="77777777" w:rsidR="003952F7" w:rsidRPr="00FA5539" w:rsidRDefault="003952F7" w:rsidP="003952F7">
      <w:pPr>
        <w:pStyle w:val="TF"/>
      </w:pPr>
      <w:r w:rsidRPr="00FA5539">
        <w:t xml:space="preserve">Figure </w:t>
      </w:r>
      <w:r>
        <w:t>3</w:t>
      </w:r>
      <w:r w:rsidRPr="00FA5539">
        <w:t>: Illustration of the option with 2 satellite beams mapped to one NR cell</w:t>
      </w:r>
      <w:r>
        <w:t xml:space="preserve"> with each satellite beam mapped to one NR beam</w:t>
      </w:r>
    </w:p>
    <w:p w14:paraId="3DABA0A9" w14:textId="3038AA8C" w:rsidR="00B86F20" w:rsidRDefault="00B86F20" w:rsidP="00AF65D7">
      <w:pPr>
        <w:rPr>
          <w:b/>
        </w:rPr>
      </w:pPr>
    </w:p>
    <w:p w14:paraId="31E19A8D" w14:textId="6D16DCBB" w:rsidR="00F91CCA" w:rsidRDefault="00161768" w:rsidP="00AF65D7">
      <w:pPr>
        <w:rPr>
          <w:b/>
        </w:rPr>
      </w:pPr>
      <w:r w:rsidRPr="00161768">
        <w:rPr>
          <w:b/>
        </w:rPr>
        <w:t>Proposal 1:</w:t>
      </w:r>
      <w:r>
        <w:rPr>
          <w:b/>
        </w:rPr>
        <w:t xml:space="preserve"> </w:t>
      </w:r>
      <w:r w:rsidR="00200B03">
        <w:rPr>
          <w:b/>
        </w:rPr>
        <w:t>RAN2 to confirm the understanding in the above observations and</w:t>
      </w:r>
      <w:r w:rsidR="00F91CCA">
        <w:rPr>
          <w:b/>
        </w:rPr>
        <w:t xml:space="preserve"> consider including the following </w:t>
      </w:r>
      <w:r w:rsidR="00B31EBE">
        <w:rPr>
          <w:b/>
        </w:rPr>
        <w:t>Text Proposal</w:t>
      </w:r>
      <w:r w:rsidR="00F91CCA">
        <w:rPr>
          <w:b/>
        </w:rPr>
        <w:t xml:space="preserve"> in the TR 38.821</w:t>
      </w:r>
      <w:r w:rsidR="002D3DBB">
        <w:rPr>
          <w:b/>
        </w:rPr>
        <w:t xml:space="preserve"> Section </w:t>
      </w:r>
      <w:r w:rsidR="00E37CF7">
        <w:rPr>
          <w:b/>
        </w:rPr>
        <w:t>7.3</w:t>
      </w:r>
      <w:r w:rsidR="00F91CCA">
        <w:rPr>
          <w:b/>
        </w:rPr>
        <w:t>.</w:t>
      </w:r>
    </w:p>
    <w:p w14:paraId="652A374B" w14:textId="77777777" w:rsidR="00F45243" w:rsidRPr="00FA5539" w:rsidRDefault="00F45243" w:rsidP="00A209D6"/>
    <w:p w14:paraId="766D6D29" w14:textId="3E3E6686" w:rsidR="00A209D6" w:rsidRPr="00FA5539" w:rsidRDefault="00A209D6" w:rsidP="00A209D6">
      <w:pPr>
        <w:pStyle w:val="Heading1"/>
      </w:pPr>
      <w:r w:rsidRPr="00FA5539">
        <w:t>3</w:t>
      </w:r>
      <w:r w:rsidRPr="00FA5539">
        <w:tab/>
      </w:r>
      <w:r w:rsidR="00F45243" w:rsidRPr="00FA5539">
        <w:t>Conclusion</w:t>
      </w:r>
    </w:p>
    <w:p w14:paraId="46DCDC7A" w14:textId="1D3B7358" w:rsidR="0014063C" w:rsidRPr="009B718E" w:rsidRDefault="0014063C" w:rsidP="00324EAA">
      <w:r w:rsidRPr="009B718E">
        <w:t>Based on the discussion in section</w:t>
      </w:r>
      <w:r w:rsidR="000A75AD">
        <w:t xml:space="preserve"> </w:t>
      </w:r>
      <w:r w:rsidRPr="009B718E">
        <w:t xml:space="preserve">2, we </w:t>
      </w:r>
      <w:r>
        <w:t>have</w:t>
      </w:r>
      <w:r w:rsidRPr="009B718E">
        <w:t xml:space="preserve"> </w:t>
      </w:r>
      <w:r>
        <w:t>observations and proposal as below</w:t>
      </w:r>
      <w:r w:rsidRPr="009B718E">
        <w:t>:</w:t>
      </w:r>
    </w:p>
    <w:p w14:paraId="4B74FE5D" w14:textId="689F6B1B" w:rsidR="00324EAA" w:rsidRDefault="00324EAA" w:rsidP="00324EAA">
      <w:r w:rsidRPr="00FA5539">
        <w:rPr>
          <w:b/>
        </w:rPr>
        <w:t xml:space="preserve">Observation </w:t>
      </w:r>
      <w:r>
        <w:rPr>
          <w:b/>
        </w:rPr>
        <w:t>1</w:t>
      </w:r>
      <w:r w:rsidRPr="00FA5539">
        <w:rPr>
          <w:b/>
        </w:rPr>
        <w:t>:</w:t>
      </w:r>
      <w:r w:rsidRPr="00FA5539">
        <w:t xml:space="preserve"> </w:t>
      </w:r>
      <w:r w:rsidRPr="00324EAA">
        <w:rPr>
          <w:b/>
        </w:rPr>
        <w:t>The maximum differential delays to be supported in one NR cell of 1.6ms for GEO and 0.65ms for LEO scenarios limit the number and diameter size of the satellite beams which are mapped to the one NR cell (PCI).</w:t>
      </w:r>
    </w:p>
    <w:p w14:paraId="61BF799C" w14:textId="77777777" w:rsidR="00324EAA" w:rsidRDefault="00324EAA" w:rsidP="00324EAA">
      <w:pPr>
        <w:rPr>
          <w:b/>
        </w:rPr>
      </w:pPr>
      <w:r w:rsidRPr="00FA5539">
        <w:rPr>
          <w:b/>
        </w:rPr>
        <w:t xml:space="preserve">Observation </w:t>
      </w:r>
      <w:r>
        <w:rPr>
          <w:b/>
        </w:rPr>
        <w:t>2</w:t>
      </w:r>
      <w:r w:rsidRPr="00FA5539">
        <w:rPr>
          <w:b/>
        </w:rPr>
        <w:t>:</w:t>
      </w:r>
      <w:r>
        <w:rPr>
          <w:b/>
        </w:rPr>
        <w:t xml:space="preserve"> </w:t>
      </w:r>
      <w:r w:rsidRPr="00324EAA">
        <w:rPr>
          <w:b/>
        </w:rPr>
        <w:t>The maximum differential delays to be supported in one NR cell of 1.6ms can also be applied to LEO scenarios and this allows the mapping of up to 3 LEO satellite beams with maximum diameter of 200km, to one NR cell.</w:t>
      </w:r>
    </w:p>
    <w:p w14:paraId="0F18940A" w14:textId="32A8AF2F" w:rsidR="008A4591" w:rsidRPr="00FA5539" w:rsidRDefault="00324EAA" w:rsidP="00A209D6">
      <w:r w:rsidRPr="00FA5539">
        <w:rPr>
          <w:b/>
        </w:rPr>
        <w:t xml:space="preserve">Observation </w:t>
      </w:r>
      <w:r>
        <w:rPr>
          <w:b/>
        </w:rPr>
        <w:t>3</w:t>
      </w:r>
      <w:r w:rsidRPr="00FA5539">
        <w:rPr>
          <w:b/>
        </w:rPr>
        <w:t>:</w:t>
      </w:r>
      <w:r w:rsidRPr="00FA5539">
        <w:t xml:space="preserve"> </w:t>
      </w:r>
      <w:r w:rsidRPr="00324EAA">
        <w:rPr>
          <w:b/>
        </w:rPr>
        <w:t>The configuration of NR beams within one NR cell is an implementation specific aspect. In case of NTN scenarios, due to the large radio coverage area of the satellite beams, the configuration where each satellite beam provides one NR beam impacts the performance of access and mobility mechanisms.</w:t>
      </w:r>
    </w:p>
    <w:p w14:paraId="03BBC0A0" w14:textId="40778D4D" w:rsidR="00F91CCA" w:rsidRPr="00161768" w:rsidRDefault="00F91CCA" w:rsidP="00F91CCA">
      <w:pPr>
        <w:rPr>
          <w:b/>
        </w:rPr>
      </w:pPr>
      <w:r w:rsidRPr="00161768">
        <w:rPr>
          <w:b/>
        </w:rPr>
        <w:t>Proposal 1:</w:t>
      </w:r>
      <w:r>
        <w:rPr>
          <w:b/>
        </w:rPr>
        <w:t xml:space="preserve"> RAN2 to confirm the understanding in the above observations and consider including the </w:t>
      </w:r>
      <w:r w:rsidR="002F1DBC">
        <w:rPr>
          <w:b/>
        </w:rPr>
        <w:t xml:space="preserve">Annex </w:t>
      </w:r>
      <w:r>
        <w:rPr>
          <w:b/>
        </w:rPr>
        <w:t>T</w:t>
      </w:r>
      <w:r w:rsidR="002F1DBC">
        <w:rPr>
          <w:b/>
        </w:rPr>
        <w:t xml:space="preserve">ext </w:t>
      </w:r>
      <w:r>
        <w:rPr>
          <w:b/>
        </w:rPr>
        <w:t>P</w:t>
      </w:r>
      <w:r w:rsidR="002F1DBC">
        <w:rPr>
          <w:b/>
        </w:rPr>
        <w:t>roposal</w:t>
      </w:r>
      <w:r>
        <w:rPr>
          <w:b/>
        </w:rPr>
        <w:t xml:space="preserve"> in the TR 38.821</w:t>
      </w:r>
      <w:r w:rsidR="00D100C6">
        <w:rPr>
          <w:b/>
        </w:rPr>
        <w:t xml:space="preserve"> Section 7.3</w:t>
      </w:r>
      <w:r>
        <w:rPr>
          <w:b/>
        </w:rPr>
        <w:t>.</w:t>
      </w:r>
    </w:p>
    <w:p w14:paraId="3086BAF0" w14:textId="77777777" w:rsidR="00B31EBE" w:rsidRDefault="00B31EBE" w:rsidP="00B31EBE"/>
    <w:p w14:paraId="3BBE5CCF" w14:textId="19F11541" w:rsidR="00B31EBE" w:rsidRDefault="00B31EBE" w:rsidP="00B31EBE">
      <w:pPr>
        <w:pStyle w:val="Heading1"/>
      </w:pPr>
      <w:r>
        <w:lastRenderedPageBreak/>
        <w:t>4</w:t>
      </w:r>
      <w:r>
        <w:tab/>
        <w:t>Annex: Text proposal for TR 38.821</w:t>
      </w:r>
    </w:p>
    <w:p w14:paraId="10FB3FF4" w14:textId="77777777" w:rsidR="00B31EBE" w:rsidRPr="00C636F0" w:rsidRDefault="00B31EBE" w:rsidP="00B31EBE">
      <w:r>
        <w:t>(…)</w:t>
      </w:r>
    </w:p>
    <w:p w14:paraId="02CA2A9A" w14:textId="77777777" w:rsidR="00B31EBE" w:rsidRDefault="00B31EBE" w:rsidP="00B31EBE">
      <w:pPr>
        <w:rPr>
          <w:b/>
        </w:rPr>
      </w:pPr>
      <w:r>
        <w:rPr>
          <w:b/>
        </w:rPr>
        <w:t>----- Start TP -----</w:t>
      </w:r>
    </w:p>
    <w:p w14:paraId="20D1121D" w14:textId="77777777" w:rsidR="00B31EBE" w:rsidRDefault="00B31EBE" w:rsidP="00B31EBE">
      <w:pPr>
        <w:rPr>
          <w:b/>
        </w:rPr>
      </w:pPr>
      <w:r>
        <w:rPr>
          <w:b/>
        </w:rPr>
        <w:t>7.3. Control plane enhancements</w:t>
      </w:r>
    </w:p>
    <w:p w14:paraId="0FB0B6E9" w14:textId="77777777" w:rsidR="00B31EBE" w:rsidRDefault="00B31EBE" w:rsidP="00B31EBE">
      <w:pPr>
        <w:rPr>
          <w:b/>
        </w:rPr>
      </w:pPr>
      <w:r>
        <w:rPr>
          <w:b/>
        </w:rPr>
        <w:t>7.3.1 Satellite beams and NR cells</w:t>
      </w:r>
    </w:p>
    <w:p w14:paraId="0965C0FF" w14:textId="77777777" w:rsidR="00B31EBE" w:rsidRDefault="00B31EBE" w:rsidP="00B31EBE">
      <w:r>
        <w:t xml:space="preserve">Satellite beams or satellites are not considered to be visible from UE perspective in NTN. This does not preclude differentiating at the PLMN level the type of network (e.g. NTN vs. terrestrial). </w:t>
      </w:r>
    </w:p>
    <w:p w14:paraId="1FA99A88" w14:textId="77777777" w:rsidR="00B31EBE" w:rsidRDefault="00B31EBE" w:rsidP="00B31EBE">
      <w:pPr>
        <w:pStyle w:val="NO"/>
      </w:pPr>
      <w:r>
        <w:t>Note: Rel-15 definitions are considered as a baseline for NTN</w:t>
      </w:r>
    </w:p>
    <w:p w14:paraId="489A071B" w14:textId="77777777" w:rsidR="00B31EBE" w:rsidRDefault="00B31EBE" w:rsidP="00B31EBE">
      <w:pPr>
        <w:pStyle w:val="NO"/>
      </w:pPr>
      <w:r w:rsidRPr="00FA5539">
        <w:rPr>
          <w:noProof/>
        </w:rPr>
        <w:drawing>
          <wp:inline distT="0" distB="0" distL="0" distR="0" wp14:anchorId="329828CB" wp14:editId="1261CE0A">
            <wp:extent cx="5624078" cy="220830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46232" cy="2217008"/>
                    </a:xfrm>
                    <a:prstGeom prst="rect">
                      <a:avLst/>
                    </a:prstGeom>
                    <a:noFill/>
                  </pic:spPr>
                </pic:pic>
              </a:graphicData>
            </a:graphic>
          </wp:inline>
        </w:drawing>
      </w:r>
    </w:p>
    <w:p w14:paraId="580F7D62" w14:textId="77777777" w:rsidR="00B31EBE" w:rsidRDefault="00B31EBE" w:rsidP="00B31EBE">
      <w:pPr>
        <w:pStyle w:val="NO"/>
      </w:pPr>
      <w:r w:rsidRPr="009B718E">
        <w:t>Option a)</w:t>
      </w:r>
    </w:p>
    <w:p w14:paraId="654A0BFD" w14:textId="77777777" w:rsidR="00B31EBE" w:rsidRDefault="00B31EBE" w:rsidP="00B31EBE">
      <w:pPr>
        <w:pStyle w:val="NO"/>
      </w:pPr>
      <w:r w:rsidRPr="00FA5539">
        <w:rPr>
          <w:noProof/>
        </w:rPr>
        <w:drawing>
          <wp:inline distT="0" distB="0" distL="0" distR="0" wp14:anchorId="4D2A0463" wp14:editId="5FF730FD">
            <wp:extent cx="6122035" cy="2438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438400"/>
                    </a:xfrm>
                    <a:prstGeom prst="rect">
                      <a:avLst/>
                    </a:prstGeom>
                    <a:noFill/>
                  </pic:spPr>
                </pic:pic>
              </a:graphicData>
            </a:graphic>
          </wp:inline>
        </w:drawing>
      </w:r>
    </w:p>
    <w:p w14:paraId="64BADE9F" w14:textId="77777777" w:rsidR="00B31EBE" w:rsidRDefault="00B31EBE" w:rsidP="00B31EBE">
      <w:pPr>
        <w:pStyle w:val="NO"/>
      </w:pPr>
      <w:r w:rsidRPr="009B718E">
        <w:t>Option b)</w:t>
      </w:r>
    </w:p>
    <w:p w14:paraId="6FFB614F" w14:textId="77777777" w:rsidR="00B31EBE" w:rsidRDefault="00B31EBE" w:rsidP="00B31EBE">
      <w:pPr>
        <w:pStyle w:val="NO"/>
      </w:pPr>
      <w:r>
        <w:rPr>
          <w:noProof/>
        </w:rPr>
        <w:lastRenderedPageBreak/>
        <w:drawing>
          <wp:inline distT="0" distB="0" distL="0" distR="0" wp14:anchorId="291F50C0" wp14:editId="31698C60">
            <wp:extent cx="6102350" cy="234236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1452" cy="2345860"/>
                    </a:xfrm>
                    <a:prstGeom prst="rect">
                      <a:avLst/>
                    </a:prstGeom>
                    <a:noFill/>
                  </pic:spPr>
                </pic:pic>
              </a:graphicData>
            </a:graphic>
          </wp:inline>
        </w:drawing>
      </w:r>
    </w:p>
    <w:p w14:paraId="19D114F4" w14:textId="77777777" w:rsidR="00B31EBE" w:rsidRDefault="00B31EBE" w:rsidP="00B31EBE">
      <w:pPr>
        <w:pStyle w:val="NO"/>
      </w:pPr>
      <w:r w:rsidRPr="009B718E">
        <w:t>Option c)</w:t>
      </w:r>
    </w:p>
    <w:p w14:paraId="051D94DC" w14:textId="77777777" w:rsidR="00B31EBE" w:rsidRDefault="00B31EBE" w:rsidP="00B31EBE">
      <w:pPr>
        <w:pStyle w:val="NO"/>
      </w:pPr>
    </w:p>
    <w:p w14:paraId="5AE46295" w14:textId="77777777" w:rsidR="00B31EBE" w:rsidRDefault="00B31EBE" w:rsidP="00B31EBE">
      <w:pPr>
        <w:jc w:val="center"/>
        <w:rPr>
          <w:b/>
        </w:rPr>
      </w:pPr>
      <w:r w:rsidRPr="009B718E">
        <w:rPr>
          <w:b/>
        </w:rPr>
        <w:t>Figure 7.3.1-1: Options for PCI and SSB mapping into satellite beams</w:t>
      </w:r>
    </w:p>
    <w:p w14:paraId="06A6E3D8" w14:textId="77777777" w:rsidR="00B31EBE" w:rsidRDefault="00B31EBE" w:rsidP="00B31EBE">
      <w:r w:rsidRPr="009B718E">
        <w:t xml:space="preserve">Both options a) same PCI for several satellite beams and b) one PCI per satellite beam, and the case with one or multiple SSBs per SSBurst (PCI) in option c), can be considered in NTN. </w:t>
      </w:r>
    </w:p>
    <w:p w14:paraId="4B7F96A8" w14:textId="77777777" w:rsidR="00B31EBE" w:rsidRDefault="00B31EBE" w:rsidP="00B31EBE">
      <w:r>
        <w:t>The association between satellite beams and NR SSBs is left for implementation (i.e. it will not be specified).</w:t>
      </w:r>
    </w:p>
    <w:p w14:paraId="78C385EB" w14:textId="77777777" w:rsidR="00B31EBE" w:rsidRPr="009B718E" w:rsidRDefault="00B31EBE" w:rsidP="00B31EBE">
      <w:r w:rsidRPr="009B718E">
        <w:t>The maximum differential delays to be supported in one NR cell of 1.6ms for GEO and 0.65ms for LEO scenarios (Table 4.2-2) limit the number and diameter size of the satellite beams which are mapped to the one NR cell (SSBurst or PCI). In principle, the maximum differential delays to be supported in one NR cell of 1.6ms can also be applied to LEO scenarios and this allows the mapping of up to 3 LEO satellite beams with maximum diameter of 200km, to one NR cell.</w:t>
      </w:r>
    </w:p>
    <w:p w14:paraId="7FF56EDF" w14:textId="05EF19F1" w:rsidR="00B31EBE" w:rsidRPr="00D100C6" w:rsidRDefault="00B31EBE" w:rsidP="00B31EBE">
      <w:r w:rsidRPr="009B718E">
        <w:t>The configuration of Release 15 NR beams within one NR cell is an implementation specific aspect. In case of NTN scenarios, due to the large radio coverage area of the satellite beams (up to 500km for Geo and 200km for LEO, Table 4.2-2), the configuration where each satellite beam provides one NR beam impacts the performance of access and mobility mechanisms. FFS.</w:t>
      </w:r>
    </w:p>
    <w:p w14:paraId="05AB4D70" w14:textId="77777777" w:rsidR="00B31EBE" w:rsidRDefault="00B31EBE" w:rsidP="00B31EBE">
      <w:pPr>
        <w:rPr>
          <w:b/>
        </w:rPr>
      </w:pPr>
    </w:p>
    <w:p w14:paraId="17C66EDF" w14:textId="77777777" w:rsidR="00B31EBE" w:rsidRPr="00161768" w:rsidRDefault="00B31EBE" w:rsidP="00B31EBE">
      <w:pPr>
        <w:rPr>
          <w:b/>
        </w:rPr>
      </w:pPr>
      <w:r>
        <w:rPr>
          <w:b/>
        </w:rPr>
        <w:t>----- End TP -----</w:t>
      </w:r>
    </w:p>
    <w:p w14:paraId="49327A32" w14:textId="77777777" w:rsidR="00B31EBE" w:rsidRPr="00FA5539" w:rsidRDefault="00B31EBE" w:rsidP="00A209D6"/>
    <w:p w14:paraId="5FF2457F" w14:textId="5D2348F4" w:rsidR="00A209D6" w:rsidRPr="00FA5539" w:rsidRDefault="00F45243" w:rsidP="00A209D6">
      <w:pPr>
        <w:pStyle w:val="Heading1"/>
      </w:pPr>
      <w:r w:rsidRPr="00FA5539">
        <w:t>References</w:t>
      </w:r>
    </w:p>
    <w:p w14:paraId="500DBF03" w14:textId="77777777" w:rsidR="002F0A87" w:rsidRPr="00EC4084" w:rsidRDefault="002F0A87" w:rsidP="002F0A87">
      <w:pPr>
        <w:numPr>
          <w:ilvl w:val="0"/>
          <w:numId w:val="4"/>
        </w:numPr>
        <w:overflowPunct w:val="0"/>
        <w:autoSpaceDE w:val="0"/>
        <w:autoSpaceDN w:val="0"/>
        <w:adjustRightInd w:val="0"/>
        <w:textAlignment w:val="baseline"/>
      </w:pPr>
      <w:r>
        <w:rPr>
          <w:lang w:eastAsia="zh-CN"/>
        </w:rPr>
        <w:t>3</w:t>
      </w:r>
      <w:r>
        <w:t>G</w:t>
      </w:r>
      <w:r w:rsidRPr="007D73DA">
        <w:rPr>
          <w:lang w:eastAsia="zh-CN"/>
        </w:rPr>
        <w:t>PP TR 38.821 V0.</w:t>
      </w:r>
      <w:r>
        <w:rPr>
          <w:lang w:eastAsia="zh-CN"/>
        </w:rPr>
        <w:t>7</w:t>
      </w:r>
      <w:r w:rsidRPr="007D73DA">
        <w:rPr>
          <w:lang w:eastAsia="zh-CN"/>
        </w:rPr>
        <w:t>.0</w:t>
      </w:r>
      <w:r>
        <w:rPr>
          <w:lang w:eastAsia="zh-CN"/>
        </w:rPr>
        <w:t>,</w:t>
      </w:r>
      <w:r w:rsidRPr="007D73DA">
        <w:rPr>
          <w:lang w:eastAsia="zh-CN"/>
        </w:rPr>
        <w:t xml:space="preserve"> </w:t>
      </w:r>
      <w:r w:rsidRPr="007D73DA">
        <w:rPr>
          <w:i/>
          <w:lang w:eastAsia="zh-CN"/>
        </w:rPr>
        <w:t>Solutions for NR to support non-terrestrial network</w:t>
      </w:r>
      <w:r>
        <w:rPr>
          <w:i/>
          <w:lang w:eastAsia="zh-CN"/>
        </w:rPr>
        <w:t>s</w:t>
      </w:r>
    </w:p>
    <w:p w14:paraId="6C60FFDC" w14:textId="79910928" w:rsidR="00A209D6" w:rsidRPr="00FA5539" w:rsidRDefault="00A209D6" w:rsidP="00A209D6"/>
    <w:p w14:paraId="60449C3F" w14:textId="77777777" w:rsidR="00A209D6" w:rsidRPr="00FA5539" w:rsidRDefault="00A209D6" w:rsidP="00A209D6"/>
    <w:p w14:paraId="432B0A82" w14:textId="77777777" w:rsidR="00A209D6" w:rsidRPr="00FA5539" w:rsidRDefault="00A209D6" w:rsidP="00A209D6"/>
    <w:p w14:paraId="653EED19" w14:textId="77777777" w:rsidR="00A209D6" w:rsidRPr="00FA5539" w:rsidRDefault="00A209D6" w:rsidP="00A209D6"/>
    <w:p w14:paraId="35F222F4" w14:textId="77777777" w:rsidR="00080512" w:rsidRPr="00FA5539" w:rsidRDefault="00080512" w:rsidP="00A209D6"/>
    <w:sectPr w:rsidR="00080512" w:rsidRPr="00FA5539" w:rsidSect="00E24151">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6F853" w14:textId="77777777" w:rsidR="004653D1" w:rsidRDefault="004653D1">
      <w:r>
        <w:separator/>
      </w:r>
    </w:p>
  </w:endnote>
  <w:endnote w:type="continuationSeparator" w:id="0">
    <w:p w14:paraId="6A7A9A3B" w14:textId="77777777" w:rsidR="004653D1" w:rsidRDefault="004653D1">
      <w:r>
        <w:continuationSeparator/>
      </w:r>
    </w:p>
  </w:endnote>
  <w:endnote w:type="continuationNotice" w:id="1">
    <w:p w14:paraId="31F67AC7" w14:textId="77777777" w:rsidR="004653D1" w:rsidRDefault="00465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581AFD" w:rsidRDefault="00581A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581AFD" w:rsidRDefault="00581A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581AFD" w:rsidRDefault="00581A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E17D5" w14:textId="77777777" w:rsidR="004653D1" w:rsidRDefault="004653D1">
      <w:r>
        <w:separator/>
      </w:r>
    </w:p>
  </w:footnote>
  <w:footnote w:type="continuationSeparator" w:id="0">
    <w:p w14:paraId="6FC54D38" w14:textId="77777777" w:rsidR="004653D1" w:rsidRDefault="004653D1">
      <w:r>
        <w:continuationSeparator/>
      </w:r>
    </w:p>
  </w:footnote>
  <w:footnote w:type="continuationNotice" w:id="1">
    <w:p w14:paraId="7BAFEA8E" w14:textId="77777777" w:rsidR="004653D1" w:rsidRDefault="004653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581AFD" w:rsidRDefault="00581A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581AFD" w:rsidRDefault="00581A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581AFD" w:rsidRDefault="00581A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E54"/>
    <w:rsid w:val="00015660"/>
    <w:rsid w:val="00016557"/>
    <w:rsid w:val="00023C40"/>
    <w:rsid w:val="00033124"/>
    <w:rsid w:val="00033397"/>
    <w:rsid w:val="00040095"/>
    <w:rsid w:val="00047934"/>
    <w:rsid w:val="00064DF8"/>
    <w:rsid w:val="000725A5"/>
    <w:rsid w:val="00073C9C"/>
    <w:rsid w:val="00080512"/>
    <w:rsid w:val="00090468"/>
    <w:rsid w:val="00091E28"/>
    <w:rsid w:val="00094568"/>
    <w:rsid w:val="000A75AD"/>
    <w:rsid w:val="000A7815"/>
    <w:rsid w:val="000B7BCF"/>
    <w:rsid w:val="000C522B"/>
    <w:rsid w:val="000D066B"/>
    <w:rsid w:val="000D58AB"/>
    <w:rsid w:val="000F53CF"/>
    <w:rsid w:val="00112F1A"/>
    <w:rsid w:val="0012113D"/>
    <w:rsid w:val="0012682C"/>
    <w:rsid w:val="00140422"/>
    <w:rsid w:val="0014063C"/>
    <w:rsid w:val="00142961"/>
    <w:rsid w:val="00145075"/>
    <w:rsid w:val="00147999"/>
    <w:rsid w:val="00155690"/>
    <w:rsid w:val="00160250"/>
    <w:rsid w:val="00161768"/>
    <w:rsid w:val="00162F78"/>
    <w:rsid w:val="001741A0"/>
    <w:rsid w:val="00175FA0"/>
    <w:rsid w:val="001765CB"/>
    <w:rsid w:val="0018113F"/>
    <w:rsid w:val="00185401"/>
    <w:rsid w:val="00186B33"/>
    <w:rsid w:val="00194CD0"/>
    <w:rsid w:val="001B18DF"/>
    <w:rsid w:val="001B49C9"/>
    <w:rsid w:val="001C23F4"/>
    <w:rsid w:val="001C4F79"/>
    <w:rsid w:val="001C7F38"/>
    <w:rsid w:val="001E094E"/>
    <w:rsid w:val="001E1ABF"/>
    <w:rsid w:val="001F168B"/>
    <w:rsid w:val="001F4D2B"/>
    <w:rsid w:val="001F7831"/>
    <w:rsid w:val="00200B03"/>
    <w:rsid w:val="00204045"/>
    <w:rsid w:val="00204125"/>
    <w:rsid w:val="0020712B"/>
    <w:rsid w:val="0021249B"/>
    <w:rsid w:val="0022606D"/>
    <w:rsid w:val="00231728"/>
    <w:rsid w:val="00250404"/>
    <w:rsid w:val="002610D8"/>
    <w:rsid w:val="00263414"/>
    <w:rsid w:val="002747EC"/>
    <w:rsid w:val="002855BF"/>
    <w:rsid w:val="00297A82"/>
    <w:rsid w:val="002B30E8"/>
    <w:rsid w:val="002D3DBB"/>
    <w:rsid w:val="002E755E"/>
    <w:rsid w:val="002F0A87"/>
    <w:rsid w:val="002F0D22"/>
    <w:rsid w:val="002F1DBC"/>
    <w:rsid w:val="002F33BE"/>
    <w:rsid w:val="003172DC"/>
    <w:rsid w:val="00324EAA"/>
    <w:rsid w:val="00325AE3"/>
    <w:rsid w:val="00326069"/>
    <w:rsid w:val="0035462D"/>
    <w:rsid w:val="00364B41"/>
    <w:rsid w:val="0036750E"/>
    <w:rsid w:val="00383096"/>
    <w:rsid w:val="003952F7"/>
    <w:rsid w:val="003A41EF"/>
    <w:rsid w:val="003A5DF4"/>
    <w:rsid w:val="003B40AD"/>
    <w:rsid w:val="003C4E37"/>
    <w:rsid w:val="003E16BE"/>
    <w:rsid w:val="003E2C0B"/>
    <w:rsid w:val="003F4E28"/>
    <w:rsid w:val="004006E8"/>
    <w:rsid w:val="00401855"/>
    <w:rsid w:val="00435331"/>
    <w:rsid w:val="00442865"/>
    <w:rsid w:val="00443A2D"/>
    <w:rsid w:val="004513FE"/>
    <w:rsid w:val="004653D1"/>
    <w:rsid w:val="00465587"/>
    <w:rsid w:val="00471CE6"/>
    <w:rsid w:val="00477455"/>
    <w:rsid w:val="004A1F7B"/>
    <w:rsid w:val="004B1FB3"/>
    <w:rsid w:val="004C44D2"/>
    <w:rsid w:val="004D3578"/>
    <w:rsid w:val="004D380D"/>
    <w:rsid w:val="004E213A"/>
    <w:rsid w:val="004E53EB"/>
    <w:rsid w:val="00503171"/>
    <w:rsid w:val="00506C28"/>
    <w:rsid w:val="00510ECC"/>
    <w:rsid w:val="00523067"/>
    <w:rsid w:val="00534DA0"/>
    <w:rsid w:val="00543E6C"/>
    <w:rsid w:val="005500CA"/>
    <w:rsid w:val="00565087"/>
    <w:rsid w:val="0056573F"/>
    <w:rsid w:val="00565EB7"/>
    <w:rsid w:val="00581AFD"/>
    <w:rsid w:val="00591352"/>
    <w:rsid w:val="0059295D"/>
    <w:rsid w:val="00611566"/>
    <w:rsid w:val="00616D9B"/>
    <w:rsid w:val="00620D6D"/>
    <w:rsid w:val="00637114"/>
    <w:rsid w:val="00646D99"/>
    <w:rsid w:val="00656120"/>
    <w:rsid w:val="00656910"/>
    <w:rsid w:val="006B03AB"/>
    <w:rsid w:val="006C66D8"/>
    <w:rsid w:val="006D1E24"/>
    <w:rsid w:val="006E1417"/>
    <w:rsid w:val="006F6A2C"/>
    <w:rsid w:val="0070539D"/>
    <w:rsid w:val="007069DC"/>
    <w:rsid w:val="00710201"/>
    <w:rsid w:val="0072073A"/>
    <w:rsid w:val="00724B47"/>
    <w:rsid w:val="007342B5"/>
    <w:rsid w:val="00734A5B"/>
    <w:rsid w:val="00744E76"/>
    <w:rsid w:val="0075304C"/>
    <w:rsid w:val="00757D40"/>
    <w:rsid w:val="00781F0F"/>
    <w:rsid w:val="0078727C"/>
    <w:rsid w:val="0079049D"/>
    <w:rsid w:val="00793DC5"/>
    <w:rsid w:val="007B18D8"/>
    <w:rsid w:val="007B6FCC"/>
    <w:rsid w:val="007C095F"/>
    <w:rsid w:val="007C2DD0"/>
    <w:rsid w:val="007F2E08"/>
    <w:rsid w:val="00801FD8"/>
    <w:rsid w:val="008028A4"/>
    <w:rsid w:val="00813245"/>
    <w:rsid w:val="0084407E"/>
    <w:rsid w:val="0086354A"/>
    <w:rsid w:val="008768CA"/>
    <w:rsid w:val="00877EF9"/>
    <w:rsid w:val="00880559"/>
    <w:rsid w:val="0088532D"/>
    <w:rsid w:val="008A28FD"/>
    <w:rsid w:val="008A4591"/>
    <w:rsid w:val="008B5306"/>
    <w:rsid w:val="008C1DB3"/>
    <w:rsid w:val="008C3057"/>
    <w:rsid w:val="008D2E4D"/>
    <w:rsid w:val="008F396F"/>
    <w:rsid w:val="0090271F"/>
    <w:rsid w:val="00902DB9"/>
    <w:rsid w:val="0090466A"/>
    <w:rsid w:val="00920DF7"/>
    <w:rsid w:val="00923655"/>
    <w:rsid w:val="00936071"/>
    <w:rsid w:val="00940212"/>
    <w:rsid w:val="00942EC2"/>
    <w:rsid w:val="00961B32"/>
    <w:rsid w:val="00962509"/>
    <w:rsid w:val="00970DB3"/>
    <w:rsid w:val="00974BB0"/>
    <w:rsid w:val="00975BCD"/>
    <w:rsid w:val="009857CE"/>
    <w:rsid w:val="009A0AF3"/>
    <w:rsid w:val="009B07CD"/>
    <w:rsid w:val="009B718E"/>
    <w:rsid w:val="009C19E9"/>
    <w:rsid w:val="009C35DE"/>
    <w:rsid w:val="009D6D7C"/>
    <w:rsid w:val="009D74A6"/>
    <w:rsid w:val="00A074B5"/>
    <w:rsid w:val="00A10F02"/>
    <w:rsid w:val="00A20268"/>
    <w:rsid w:val="00A204CA"/>
    <w:rsid w:val="00A209D6"/>
    <w:rsid w:val="00A23FFC"/>
    <w:rsid w:val="00A359E5"/>
    <w:rsid w:val="00A53724"/>
    <w:rsid w:val="00A54B2B"/>
    <w:rsid w:val="00A647AB"/>
    <w:rsid w:val="00A731AE"/>
    <w:rsid w:val="00A81964"/>
    <w:rsid w:val="00A82346"/>
    <w:rsid w:val="00A9671C"/>
    <w:rsid w:val="00AA1553"/>
    <w:rsid w:val="00AD0FA7"/>
    <w:rsid w:val="00AD785B"/>
    <w:rsid w:val="00AD7D68"/>
    <w:rsid w:val="00AE5A34"/>
    <w:rsid w:val="00AE6981"/>
    <w:rsid w:val="00AE7F01"/>
    <w:rsid w:val="00AF0633"/>
    <w:rsid w:val="00AF65D7"/>
    <w:rsid w:val="00B03434"/>
    <w:rsid w:val="00B05380"/>
    <w:rsid w:val="00B05962"/>
    <w:rsid w:val="00B06AA4"/>
    <w:rsid w:val="00B15449"/>
    <w:rsid w:val="00B16C2F"/>
    <w:rsid w:val="00B27303"/>
    <w:rsid w:val="00B31EBE"/>
    <w:rsid w:val="00B42326"/>
    <w:rsid w:val="00B45F5B"/>
    <w:rsid w:val="00B47FD1"/>
    <w:rsid w:val="00B516BB"/>
    <w:rsid w:val="00B73228"/>
    <w:rsid w:val="00B84DB2"/>
    <w:rsid w:val="00B86F20"/>
    <w:rsid w:val="00BB42FC"/>
    <w:rsid w:val="00BC3555"/>
    <w:rsid w:val="00BF4294"/>
    <w:rsid w:val="00C05337"/>
    <w:rsid w:val="00C12B51"/>
    <w:rsid w:val="00C22672"/>
    <w:rsid w:val="00C24650"/>
    <w:rsid w:val="00C25465"/>
    <w:rsid w:val="00C33079"/>
    <w:rsid w:val="00C538DF"/>
    <w:rsid w:val="00C67B96"/>
    <w:rsid w:val="00C83A13"/>
    <w:rsid w:val="00C879FB"/>
    <w:rsid w:val="00C9068C"/>
    <w:rsid w:val="00C92967"/>
    <w:rsid w:val="00CA3D0C"/>
    <w:rsid w:val="00CA654B"/>
    <w:rsid w:val="00CB72B8"/>
    <w:rsid w:val="00CC204D"/>
    <w:rsid w:val="00CC72FF"/>
    <w:rsid w:val="00CD4C7B"/>
    <w:rsid w:val="00CF3414"/>
    <w:rsid w:val="00D100C6"/>
    <w:rsid w:val="00D32BD1"/>
    <w:rsid w:val="00D33BE3"/>
    <w:rsid w:val="00D3792D"/>
    <w:rsid w:val="00D40517"/>
    <w:rsid w:val="00D55E47"/>
    <w:rsid w:val="00D62430"/>
    <w:rsid w:val="00D62A8C"/>
    <w:rsid w:val="00D62E19"/>
    <w:rsid w:val="00D67CD1"/>
    <w:rsid w:val="00D738D6"/>
    <w:rsid w:val="00D80795"/>
    <w:rsid w:val="00D83D11"/>
    <w:rsid w:val="00D847EF"/>
    <w:rsid w:val="00D854BE"/>
    <w:rsid w:val="00D87E00"/>
    <w:rsid w:val="00D9134D"/>
    <w:rsid w:val="00D96D11"/>
    <w:rsid w:val="00DA7A03"/>
    <w:rsid w:val="00DB0DB8"/>
    <w:rsid w:val="00DB1818"/>
    <w:rsid w:val="00DC309B"/>
    <w:rsid w:val="00DC4DA2"/>
    <w:rsid w:val="00DC5261"/>
    <w:rsid w:val="00DE25D2"/>
    <w:rsid w:val="00DF65E5"/>
    <w:rsid w:val="00E14820"/>
    <w:rsid w:val="00E23ABF"/>
    <w:rsid w:val="00E24151"/>
    <w:rsid w:val="00E37CF7"/>
    <w:rsid w:val="00E40FD3"/>
    <w:rsid w:val="00E42436"/>
    <w:rsid w:val="00E455B6"/>
    <w:rsid w:val="00E46C08"/>
    <w:rsid w:val="00E471CF"/>
    <w:rsid w:val="00E62835"/>
    <w:rsid w:val="00E77645"/>
    <w:rsid w:val="00E83697"/>
    <w:rsid w:val="00EA171B"/>
    <w:rsid w:val="00EA231D"/>
    <w:rsid w:val="00EA66C9"/>
    <w:rsid w:val="00EC4A25"/>
    <w:rsid w:val="00ED689A"/>
    <w:rsid w:val="00F025A2"/>
    <w:rsid w:val="00F036E9"/>
    <w:rsid w:val="00F07388"/>
    <w:rsid w:val="00F2026E"/>
    <w:rsid w:val="00F2210A"/>
    <w:rsid w:val="00F37743"/>
    <w:rsid w:val="00F45243"/>
    <w:rsid w:val="00F54A3D"/>
    <w:rsid w:val="00F54CB0"/>
    <w:rsid w:val="00F579CD"/>
    <w:rsid w:val="00F653B8"/>
    <w:rsid w:val="00F71B89"/>
    <w:rsid w:val="00F7353C"/>
    <w:rsid w:val="00F76F8F"/>
    <w:rsid w:val="00F91CCA"/>
    <w:rsid w:val="00F941DF"/>
    <w:rsid w:val="00FA1266"/>
    <w:rsid w:val="00FA5539"/>
    <w:rsid w:val="00FA6E7D"/>
    <w:rsid w:val="00FB36FA"/>
    <w:rsid w:val="00FB65AF"/>
    <w:rsid w:val="00FC1192"/>
    <w:rsid w:val="00FD3ADF"/>
    <w:rsid w:val="00FD6874"/>
    <w:rsid w:val="00FE251B"/>
    <w:rsid w:val="466C6EFF"/>
    <w:rsid w:val="692BE0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05337"/>
    <w:rPr>
      <w:sz w:val="16"/>
      <w:szCs w:val="16"/>
    </w:rPr>
  </w:style>
  <w:style w:type="paragraph" w:styleId="CommentText">
    <w:name w:val="annotation text"/>
    <w:basedOn w:val="Normal"/>
    <w:link w:val="CommentTextChar"/>
    <w:rsid w:val="00C05337"/>
  </w:style>
  <w:style w:type="character" w:customStyle="1" w:styleId="CommentTextChar">
    <w:name w:val="Comment Text Char"/>
    <w:basedOn w:val="DefaultParagraphFont"/>
    <w:link w:val="CommentText"/>
    <w:rsid w:val="00C05337"/>
    <w:rPr>
      <w:lang w:eastAsia="en-US"/>
    </w:rPr>
  </w:style>
  <w:style w:type="paragraph" w:styleId="CommentSubject">
    <w:name w:val="annotation subject"/>
    <w:basedOn w:val="CommentText"/>
    <w:next w:val="CommentText"/>
    <w:link w:val="CommentSubjectChar"/>
    <w:rsid w:val="00C05337"/>
    <w:rPr>
      <w:b/>
      <w:bCs/>
    </w:rPr>
  </w:style>
  <w:style w:type="character" w:customStyle="1" w:styleId="CommentSubjectChar">
    <w:name w:val="Comment Subject Char"/>
    <w:basedOn w:val="CommentTextChar"/>
    <w:link w:val="CommentSubject"/>
    <w:rsid w:val="00C05337"/>
    <w:rPr>
      <w:b/>
      <w:bCs/>
      <w:lang w:eastAsia="en-US"/>
    </w:rPr>
  </w:style>
  <w:style w:type="character" w:customStyle="1" w:styleId="NOChar1">
    <w:name w:val="NO Char1"/>
    <w:link w:val="NO"/>
    <w:locked/>
    <w:rsid w:val="00A202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353459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0839132">
      <w:bodyDiv w:val="1"/>
      <w:marLeft w:val="0"/>
      <w:marRight w:val="0"/>
      <w:marTop w:val="0"/>
      <w:marBottom w:val="0"/>
      <w:divBdr>
        <w:top w:val="none" w:sz="0" w:space="0" w:color="auto"/>
        <w:left w:val="none" w:sz="0" w:space="0" w:color="auto"/>
        <w:bottom w:val="none" w:sz="0" w:space="0" w:color="auto"/>
        <w:right w:val="none" w:sz="0" w:space="0" w:color="auto"/>
      </w:divBdr>
    </w:div>
    <w:div w:id="200824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ftp.3gpp.org/Specs/archive/38_series/38.821/38821-070.zip"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ftp.3gpp.org/Specs/archive/38_series/38.821/38821-070.zip"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ftp.3gpp.org/Specs/archive/38_series/38.821/38821-070.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ftp.3gpp.org/Specs/archive/38_series/38.821/38821-070.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5AIRPNAIUNRU-762219519-3777</_dlc_DocId>
    <_dlc_DocIdUrl xmlns="71c5aaf6-e6ce-465b-b873-5148d2a4c105">
      <Url>https://nokia.sharepoint.com/sites/c5g/projects/VNTN/_layouts/15/DocIdRedir.aspx?ID=5AIRPNAIUNRU-762219519-3777</Url>
      <Description>5AIRPNAIUNRU-762219519-3777</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9" ma:contentTypeDescription="Create a new document." ma:contentTypeScope="" ma:versionID="d734149d063946ccea1ef898d6202bd5">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a80da5a797cb9def41920624ec6a344"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F5CDE143-62C0-4175-95B3-5C404EA99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115</TotalTime>
  <Pages>5</Pages>
  <Words>1340</Words>
  <Characters>7643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8966</CharactersWithSpaces>
  <SharedDoc>false</SharedDoc>
  <HyperlinkBase/>
  <HLinks>
    <vt:vector size="24" baseType="variant">
      <vt:variant>
        <vt:i4>99</vt:i4>
      </vt:variant>
      <vt:variant>
        <vt:i4>9</vt:i4>
      </vt:variant>
      <vt:variant>
        <vt:i4>0</vt:i4>
      </vt:variant>
      <vt:variant>
        <vt:i4>5</vt:i4>
      </vt:variant>
      <vt:variant>
        <vt:lpwstr>http://ftp.3gpp.org/Specs/archive/38_series/38.821/38821-070.zip</vt:lpwstr>
      </vt:variant>
      <vt:variant>
        <vt:lpwstr/>
      </vt:variant>
      <vt:variant>
        <vt:i4>99</vt:i4>
      </vt:variant>
      <vt:variant>
        <vt:i4>6</vt:i4>
      </vt:variant>
      <vt:variant>
        <vt:i4>0</vt:i4>
      </vt:variant>
      <vt:variant>
        <vt:i4>5</vt:i4>
      </vt:variant>
      <vt:variant>
        <vt:lpwstr>http://ftp.3gpp.org/Specs/archive/38_series/38.821/38821-070.zip</vt:lpwstr>
      </vt:variant>
      <vt:variant>
        <vt:lpwstr/>
      </vt:variant>
      <vt:variant>
        <vt:i4>99</vt:i4>
      </vt:variant>
      <vt:variant>
        <vt:i4>3</vt:i4>
      </vt:variant>
      <vt:variant>
        <vt:i4>0</vt:i4>
      </vt:variant>
      <vt:variant>
        <vt:i4>5</vt:i4>
      </vt:variant>
      <vt:variant>
        <vt:lpwstr>http://ftp.3gpp.org/Specs/archive/38_series/38.821/38821-070.zip</vt:lpwstr>
      </vt:variant>
      <vt:variant>
        <vt:lpwstr/>
      </vt:variant>
      <vt:variant>
        <vt:i4>99</vt:i4>
      </vt:variant>
      <vt:variant>
        <vt:i4>0</vt:i4>
      </vt:variant>
      <vt:variant>
        <vt:i4>0</vt:i4>
      </vt:variant>
      <vt:variant>
        <vt:i4>5</vt:i4>
      </vt:variant>
      <vt:variant>
        <vt:lpwstr>http://ftp.3gpp.org/Specs/archive/38_series/38.821/38821-070.zip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
  <cp:lastModifiedBy>Yuan Ping</cp:lastModifiedBy>
  <cp:revision>190</cp:revision>
  <cp:lastPrinted>2019-07-08T13:20:00Z</cp:lastPrinted>
  <dcterms:created xsi:type="dcterms:W3CDTF">2016-08-12T03:53:00Z</dcterms:created>
  <dcterms:modified xsi:type="dcterms:W3CDTF">2019-08-16T03:58:00Z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43772c1d-1384-4526-9f7e-c9772f4ec3bb</vt:lpwstr>
  </property>
</Properties>
</file>