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4C0B1" w14:textId="4C34C262" w:rsidR="007E651B" w:rsidRPr="000B266E" w:rsidRDefault="007E651B" w:rsidP="007E651B">
      <w:pPr>
        <w:pStyle w:val="CRCoverPage"/>
        <w:tabs>
          <w:tab w:val="right" w:pos="9639"/>
        </w:tabs>
        <w:spacing w:after="0"/>
        <w:rPr>
          <w:b/>
          <w:noProof/>
          <w:sz w:val="24"/>
        </w:rPr>
      </w:pPr>
      <w:bookmarkStart w:id="0" w:name="_Hlk513560231"/>
      <w:r w:rsidRPr="00CF6034">
        <w:rPr>
          <w:b/>
          <w:noProof/>
          <w:sz w:val="24"/>
        </w:rPr>
        <w:t>3GPP TSG-RAN2 Meeting #1</w:t>
      </w:r>
      <w:r w:rsidRPr="00CF6034">
        <w:rPr>
          <w:rFonts w:hint="eastAsia"/>
          <w:b/>
          <w:noProof/>
          <w:sz w:val="24"/>
        </w:rPr>
        <w:t>02</w:t>
      </w:r>
      <w:r>
        <w:rPr>
          <w:b/>
          <w:noProof/>
          <w:sz w:val="24"/>
        </w:rPr>
        <w:t xml:space="preserve">   </w:t>
      </w:r>
      <w:r>
        <w:rPr>
          <w:b/>
          <w:noProof/>
          <w:sz w:val="24"/>
        </w:rPr>
        <w:tab/>
        <w:t>R2-180</w:t>
      </w:r>
      <w:r w:rsidR="002E6BF9">
        <w:rPr>
          <w:b/>
          <w:noProof/>
          <w:sz w:val="24"/>
        </w:rPr>
        <w:t>8785</w:t>
      </w:r>
    </w:p>
    <w:p w14:paraId="0830F2BD" w14:textId="48CB5B49" w:rsidR="007E651B" w:rsidRDefault="007E651B" w:rsidP="007E651B">
      <w:pPr>
        <w:pStyle w:val="CRCoverPage"/>
        <w:tabs>
          <w:tab w:val="right" w:pos="9639"/>
        </w:tabs>
        <w:spacing w:after="0"/>
        <w:rPr>
          <w:sz w:val="24"/>
          <w:szCs w:val="24"/>
          <w:lang w:eastAsia="zh-CN"/>
        </w:rPr>
      </w:pPr>
      <w:r w:rsidRPr="00CF6034">
        <w:rPr>
          <w:rFonts w:hint="eastAsia"/>
          <w:b/>
          <w:noProof/>
          <w:sz w:val="24"/>
        </w:rPr>
        <w:t>Busan</w:t>
      </w:r>
      <w:r w:rsidRPr="00CF6034">
        <w:rPr>
          <w:b/>
          <w:noProof/>
          <w:sz w:val="24"/>
        </w:rPr>
        <w:t xml:space="preserve">, </w:t>
      </w:r>
      <w:r w:rsidRPr="00CF6034">
        <w:rPr>
          <w:rFonts w:hint="eastAsia"/>
          <w:b/>
          <w:noProof/>
          <w:sz w:val="24"/>
        </w:rPr>
        <w:t>Korea</w:t>
      </w:r>
      <w:r w:rsidRPr="00CF6034">
        <w:rPr>
          <w:b/>
          <w:noProof/>
          <w:sz w:val="24"/>
        </w:rPr>
        <w:t xml:space="preserve">, </w:t>
      </w:r>
      <w:r w:rsidRPr="00CF6034">
        <w:rPr>
          <w:rFonts w:hint="eastAsia"/>
          <w:b/>
          <w:noProof/>
          <w:sz w:val="24"/>
        </w:rPr>
        <w:t>21st</w:t>
      </w:r>
      <w:r w:rsidRPr="00CF6034">
        <w:rPr>
          <w:b/>
          <w:noProof/>
          <w:sz w:val="24"/>
        </w:rPr>
        <w:t>-2</w:t>
      </w:r>
      <w:r w:rsidRPr="00CF6034">
        <w:rPr>
          <w:rFonts w:hint="eastAsia"/>
          <w:b/>
          <w:noProof/>
          <w:sz w:val="24"/>
        </w:rPr>
        <w:t>5</w:t>
      </w:r>
      <w:r w:rsidRPr="00CF6034">
        <w:rPr>
          <w:b/>
          <w:noProof/>
          <w:sz w:val="24"/>
        </w:rPr>
        <w:t>th</w:t>
      </w:r>
      <w:r w:rsidRPr="00CF6034">
        <w:rPr>
          <w:rFonts w:hint="eastAsia"/>
          <w:b/>
          <w:noProof/>
          <w:sz w:val="24"/>
        </w:rPr>
        <w:t xml:space="preserve"> May, </w:t>
      </w:r>
      <w:r w:rsidRPr="00CF6034">
        <w:rPr>
          <w:b/>
          <w:noProof/>
          <w:sz w:val="24"/>
        </w:rPr>
        <w:t>2018</w:t>
      </w:r>
      <w:r>
        <w:rPr>
          <w:b/>
          <w:noProof/>
          <w:sz w:val="24"/>
        </w:rPr>
        <w:t xml:space="preserve">                         Revision of R2-180</w:t>
      </w:r>
      <w:r w:rsidR="002E6BF9">
        <w:rPr>
          <w:b/>
          <w:noProof/>
          <w:sz w:val="24"/>
        </w:rPr>
        <w:t>6703</w:t>
      </w:r>
    </w:p>
    <w:bookmarkEnd w:id="0"/>
    <w:p w14:paraId="15EE24F5" w14:textId="3F45216D" w:rsidR="0031543E" w:rsidRPr="007E651B" w:rsidRDefault="002E61B5" w:rsidP="007E651B">
      <w:pPr>
        <w:pStyle w:val="3GPPHeader"/>
        <w:spacing w:after="0"/>
        <w:rPr>
          <w:rFonts w:cs="Arial"/>
          <w:color w:val="000000"/>
          <w:kern w:val="2"/>
          <w:lang w:val="en-US"/>
        </w:rPr>
      </w:pPr>
      <w:r>
        <w:rPr>
          <w:rFonts w:cs="Arial"/>
          <w:color w:val="000000"/>
          <w:kern w:val="2"/>
          <w:lang w:val="en-US"/>
        </w:rPr>
        <w:t xml:space="preserve">                  </w:t>
      </w:r>
    </w:p>
    <w:p w14:paraId="6C0C81ED" w14:textId="7DB44D15"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10.4.1.5.3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2C84240C"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on Left Issues for Basic Handover Procedure</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37AEE9FE" w14:textId="6EA24D50" w:rsidR="00E92317" w:rsidRDefault="006D2017" w:rsidP="00E92317">
      <w:pPr>
        <w:pStyle w:val="ab"/>
      </w:pPr>
      <w:r>
        <w:rPr>
          <w:rFonts w:hint="eastAsia"/>
        </w:rPr>
        <w:t>In RAN2</w:t>
      </w:r>
      <w:r w:rsidR="00E92317">
        <w:t>#101</w:t>
      </w:r>
      <w:r w:rsidR="004A1D92">
        <w:t>[1]</w:t>
      </w:r>
      <w:r w:rsidR="00E92317">
        <w:t>, there are some agreements on basic handover procedure as follows.</w:t>
      </w:r>
    </w:p>
    <w:p w14:paraId="71D85766"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39DD4FA"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w:t>
      </w:r>
      <w:r>
        <w:tab/>
        <w:t>AS configuration includes the QoS flow to DRB mapping configured to the UE via reflective QoS to support lossless handover (mapping configured by RRC signalling already agreed to be provided in AS config).</w:t>
      </w:r>
    </w:p>
    <w:p w14:paraId="1A72C16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bookmarkStart w:id="1" w:name="_GoBack"/>
      <w:bookmarkEnd w:id="1"/>
      <w:r>
        <w:t>2</w:t>
      </w:r>
      <w:r>
        <w:tab/>
        <w:t>The target gNB optionally includes the common RACH configuration in the ReconfigWithSync, if not included, the UE continues to use the common RACH configuration of the source cell.</w:t>
      </w:r>
    </w:p>
    <w:p w14:paraId="64316F21" w14:textId="77777777" w:rsidR="00E92317" w:rsidRDefault="00E92317" w:rsidP="00E92317">
      <w:pPr>
        <w:pStyle w:val="Doc-text2"/>
      </w:pPr>
    </w:p>
    <w:p w14:paraId="5781232C"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Agreements</w:t>
      </w:r>
    </w:p>
    <w:p w14:paraId="102F353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1: The beam measurement information is provided in the HandoverPreparationInformation following the same principles as beam measurement information in the SCG change case.</w:t>
      </w:r>
    </w:p>
    <w:p w14:paraId="7E1842FB"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FFS The number of cells for which this information is provided.</w:t>
      </w:r>
    </w:p>
    <w:p w14:paraId="03CEA181" w14:textId="77777777" w:rsidR="00E92317" w:rsidRDefault="00E92317" w:rsidP="00E92317">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61B24D18" w14:textId="77777777" w:rsidR="00E92317" w:rsidRDefault="00E92317" w:rsidP="00E92317">
      <w:pPr>
        <w:pStyle w:val="ab"/>
      </w:pPr>
    </w:p>
    <w:p w14:paraId="13FDAD26" w14:textId="6B8EF7AF" w:rsidR="00D26008" w:rsidRPr="00CE0424" w:rsidRDefault="00E92317" w:rsidP="00CE0424">
      <w:pPr>
        <w:pStyle w:val="ab"/>
      </w:pPr>
      <w:r>
        <w:rPr>
          <w:rFonts w:hint="eastAsia"/>
        </w:rPr>
        <w:t>I</w:t>
      </w:r>
      <w:r>
        <w:t>n this contribution, we discuss left issues for basic handover procedure.</w:t>
      </w:r>
    </w:p>
    <w:p w14:paraId="05E8355E" w14:textId="77777777" w:rsidR="005C3D8D" w:rsidRDefault="004000E8" w:rsidP="00E46E29">
      <w:pPr>
        <w:pStyle w:val="1"/>
      </w:pPr>
      <w:bookmarkStart w:id="2" w:name="_Ref178064866"/>
      <w:r w:rsidRPr="00CE0424">
        <w:t>Discussion</w:t>
      </w:r>
      <w:bookmarkEnd w:id="2"/>
    </w:p>
    <w:p w14:paraId="6FCFF3F4" w14:textId="60D0505D" w:rsidR="00837D48" w:rsidRPr="00247295" w:rsidRDefault="005A1743" w:rsidP="00F433E3">
      <w:pPr>
        <w:pStyle w:val="2"/>
      </w:pPr>
      <w:r>
        <w:t>About</w:t>
      </w:r>
      <w:r w:rsidR="00E92317">
        <w:t xml:space="preserve"> </w:t>
      </w:r>
      <w:r>
        <w:t xml:space="preserve">Optionality of </w:t>
      </w:r>
      <w:r w:rsidR="00E92317">
        <w:t>Common RACH configuration</w:t>
      </w:r>
    </w:p>
    <w:p w14:paraId="529764B0" w14:textId="2146A672" w:rsidR="005A1743" w:rsidRDefault="00E92317" w:rsidP="0043195F">
      <w:pPr>
        <w:overflowPunct/>
        <w:autoSpaceDE/>
        <w:autoSpaceDN/>
        <w:adjustRightInd/>
        <w:spacing w:after="0"/>
        <w:textAlignment w:val="auto"/>
      </w:pPr>
      <w:r>
        <w:rPr>
          <w:rFonts w:eastAsia="宋体" w:cs="Arial"/>
        </w:rPr>
        <w:t>In RAN2#101 agreements</w:t>
      </w:r>
      <w:r w:rsidR="00837D48">
        <w:rPr>
          <w:rFonts w:eastAsia="宋体" w:cs="Arial"/>
        </w:rPr>
        <w:t>,</w:t>
      </w:r>
      <w:r>
        <w:rPr>
          <w:rFonts w:eastAsia="宋体" w:cs="Arial"/>
        </w:rPr>
        <w:t xml:space="preserve"> common</w:t>
      </w:r>
      <w:r w:rsidR="00837D48">
        <w:rPr>
          <w:rFonts w:eastAsia="宋体" w:cs="Arial"/>
        </w:rPr>
        <w:t xml:space="preserve"> </w:t>
      </w:r>
      <w:r>
        <w:rPr>
          <w:rFonts w:eastAsia="宋体" w:cs="Arial"/>
        </w:rPr>
        <w:t xml:space="preserve">RACH configuration is optional in handover command.  </w:t>
      </w:r>
      <w:r w:rsidR="005A1743">
        <w:rPr>
          <w:rFonts w:eastAsia="宋体" w:cs="Arial"/>
        </w:rPr>
        <w:t>In TS 38.331</w:t>
      </w:r>
      <w:r w:rsidR="00AE362B">
        <w:rPr>
          <w:rFonts w:eastAsia="宋体" w:cs="Arial"/>
        </w:rPr>
        <w:t xml:space="preserve"> running CR</w:t>
      </w:r>
      <w:r w:rsidR="005A1743">
        <w:rPr>
          <w:rFonts w:eastAsia="宋体" w:cs="Arial"/>
        </w:rPr>
        <w:t xml:space="preserve">, common RACH configuration refers to </w:t>
      </w:r>
      <w:r w:rsidR="005A1743" w:rsidRPr="005A1743">
        <w:rPr>
          <w:rFonts w:eastAsia="宋体" w:cs="Arial"/>
          <w:i/>
        </w:rPr>
        <w:t>RACH-ConfigCommon</w:t>
      </w:r>
      <w:r w:rsidR="005A1743">
        <w:rPr>
          <w:rFonts w:eastAsia="宋体" w:cs="Arial"/>
          <w:i/>
        </w:rPr>
        <w:t xml:space="preserve"> </w:t>
      </w:r>
      <w:r w:rsidR="005A1743" w:rsidRPr="005A1743">
        <w:rPr>
          <w:rFonts w:eastAsia="宋体" w:cs="Arial"/>
        </w:rPr>
        <w:t xml:space="preserve">which is </w:t>
      </w:r>
      <w:r w:rsidR="005A1743">
        <w:rPr>
          <w:rFonts w:eastAsia="宋体" w:cs="Arial"/>
        </w:rPr>
        <w:t xml:space="preserve">cleanly defined as </w:t>
      </w:r>
      <w:r w:rsidR="005A1743" w:rsidRPr="005A1743">
        <w:rPr>
          <w:rFonts w:eastAsia="宋体" w:cs="Arial"/>
          <w:b/>
        </w:rPr>
        <w:t>cell specific random access parameters</w:t>
      </w:r>
      <w:r w:rsidR="005A1743">
        <w:rPr>
          <w:rFonts w:eastAsia="宋体" w:cs="Arial"/>
        </w:rPr>
        <w:t xml:space="preserve"> as follows.</w:t>
      </w:r>
      <w:r w:rsidR="0043195F" w:rsidRPr="005A1743">
        <w:t xml:space="preserve"> </w:t>
      </w:r>
    </w:p>
    <w:p w14:paraId="2D16A69B" w14:textId="590258EE" w:rsidR="0004087D" w:rsidRDefault="0004087D" w:rsidP="0043195F">
      <w:pPr>
        <w:overflowPunct/>
        <w:autoSpaceDE/>
        <w:autoSpaceDN/>
        <w:adjustRightInd/>
        <w:spacing w:after="0"/>
        <w:textAlignment w:val="auto"/>
      </w:pPr>
    </w:p>
    <w:p w14:paraId="5F92BDB5" w14:textId="77777777" w:rsidR="0004087D" w:rsidRPr="00017A3C" w:rsidRDefault="0004087D" w:rsidP="00AE362B">
      <w:pPr>
        <w:pStyle w:val="4"/>
        <w:numPr>
          <w:ilvl w:val="0"/>
          <w:numId w:val="0"/>
        </w:numPr>
        <w:pBdr>
          <w:top w:val="single" w:sz="4" w:space="1" w:color="auto"/>
          <w:left w:val="single" w:sz="4" w:space="1" w:color="auto"/>
          <w:bottom w:val="single" w:sz="4" w:space="1" w:color="auto"/>
          <w:right w:val="single" w:sz="4" w:space="1" w:color="auto"/>
        </w:pBdr>
        <w:rPr>
          <w:sz w:val="22"/>
        </w:rPr>
      </w:pPr>
      <w:bookmarkStart w:id="3" w:name="_Toc509241530"/>
      <w:r w:rsidRPr="00A21C0F">
        <w:t>–</w:t>
      </w:r>
      <w:r w:rsidRPr="00A21C0F">
        <w:tab/>
      </w:r>
      <w:r w:rsidRPr="00017A3C">
        <w:rPr>
          <w:i/>
          <w:noProof/>
          <w:sz w:val="22"/>
        </w:rPr>
        <w:t>RACH-ConfigCommon</w:t>
      </w:r>
      <w:bookmarkEnd w:id="3"/>
    </w:p>
    <w:p w14:paraId="1B84AC69" w14:textId="77777777" w:rsidR="0004087D" w:rsidRPr="00017A3C" w:rsidRDefault="0004087D" w:rsidP="00AE362B">
      <w:pPr>
        <w:pBdr>
          <w:top w:val="single" w:sz="4" w:space="1" w:color="auto"/>
          <w:left w:val="single" w:sz="4" w:space="1" w:color="auto"/>
          <w:bottom w:val="single" w:sz="4" w:space="1" w:color="auto"/>
          <w:right w:val="single" w:sz="4" w:space="1" w:color="auto"/>
        </w:pBdr>
        <w:rPr>
          <w:sz w:val="18"/>
        </w:rPr>
      </w:pPr>
      <w:r w:rsidRPr="00017A3C">
        <w:rPr>
          <w:sz w:val="18"/>
        </w:rPr>
        <w:t xml:space="preserve">The </w:t>
      </w:r>
      <w:r w:rsidRPr="00017A3C">
        <w:rPr>
          <w:i/>
          <w:sz w:val="18"/>
        </w:rPr>
        <w:t>RACH-ConfigCommon</w:t>
      </w:r>
      <w:r w:rsidRPr="00017A3C">
        <w:rPr>
          <w:sz w:val="18"/>
        </w:rPr>
        <w:t xml:space="preserve"> IE is used to specify the cell specific random-access parameters.</w:t>
      </w:r>
    </w:p>
    <w:p w14:paraId="4BD701F3" w14:textId="77777777" w:rsidR="0004087D" w:rsidRPr="00017A3C" w:rsidRDefault="0004087D" w:rsidP="00AE362B">
      <w:pPr>
        <w:pStyle w:val="TH"/>
        <w:pBdr>
          <w:top w:val="single" w:sz="4" w:space="1" w:color="auto"/>
          <w:left w:val="single" w:sz="4" w:space="1" w:color="auto"/>
          <w:bottom w:val="single" w:sz="4" w:space="1" w:color="auto"/>
          <w:right w:val="single" w:sz="4" w:space="1" w:color="auto"/>
        </w:pBdr>
        <w:rPr>
          <w:sz w:val="18"/>
        </w:rPr>
      </w:pPr>
      <w:r w:rsidRPr="00017A3C">
        <w:rPr>
          <w:bCs/>
          <w:i/>
          <w:iCs/>
          <w:sz w:val="18"/>
        </w:rPr>
        <w:t>RACH-ConfigCommon</w:t>
      </w:r>
      <w:r w:rsidRPr="00017A3C">
        <w:rPr>
          <w:sz w:val="18"/>
        </w:rPr>
        <w:t xml:space="preserve"> information element</w:t>
      </w:r>
    </w:p>
    <w:p w14:paraId="12729DE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ASN1START</w:t>
      </w:r>
    </w:p>
    <w:p w14:paraId="522033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TAG-RACH-CONFIG-COMMON-START</w:t>
      </w:r>
    </w:p>
    <w:p w14:paraId="38566A2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63258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 xml:space="preserve">RACH-ConfigCommon ::= </w:t>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3478BD5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Generic RACH parameters </w:t>
      </w:r>
    </w:p>
    <w:p w14:paraId="1703E8C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rach-ConfigGeneric</w:t>
      </w:r>
      <w:r w:rsidRPr="00017A3C">
        <w:rPr>
          <w:sz w:val="15"/>
        </w:rPr>
        <w:tab/>
      </w:r>
      <w:r w:rsidRPr="00017A3C">
        <w:rPr>
          <w:sz w:val="15"/>
        </w:rPr>
        <w:tab/>
      </w:r>
      <w:r w:rsidRPr="00017A3C">
        <w:rPr>
          <w:sz w:val="15"/>
        </w:rPr>
        <w:tab/>
        <w:t>RACH-ConfigGeneric,</w:t>
      </w:r>
    </w:p>
    <w:p w14:paraId="0C06DD89"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E6D9B2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Total number of preambles used for contention based and contention free random access, excluding</w:t>
      </w:r>
      <w:r w:rsidRPr="00017A3C">
        <w:rPr>
          <w:color w:val="808080"/>
          <w:sz w:val="15"/>
        </w:rPr>
        <w:tab/>
      </w:r>
    </w:p>
    <w:p w14:paraId="4DE6CE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preambles used for other purposes (e.g. for SI request). If the field is absent, the UE may use all 64 preambles for RA.</w:t>
      </w:r>
    </w:p>
    <w:p w14:paraId="2A9F77E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totalNumberOfRA-Preambles</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(1..63)</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S</w:t>
      </w:r>
    </w:p>
    <w:p w14:paraId="42C6E6E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63940E0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Number of SSBs per RACH occasion (L1 parameter 'SSB-per-rach-occasion') and the number of Contention Based preambles per SSB</w:t>
      </w:r>
    </w:p>
    <w:p w14:paraId="41EBA0B3"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lastRenderedPageBreak/>
        <w:tab/>
      </w:r>
      <w:r w:rsidRPr="00017A3C">
        <w:rPr>
          <w:color w:val="808080"/>
          <w:sz w:val="15"/>
        </w:rPr>
        <w:t>-- (L1 parameter 'CB-preambles-per-SSB'). By multiplying the two values, the UE determines the total number of CB preambles.</w:t>
      </w:r>
    </w:p>
    <w:p w14:paraId="0780D1A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ssb-perRACH-OccasionAndCB-PreamblesPerSSB</w:t>
      </w:r>
      <w:r w:rsidRPr="00017A3C">
        <w:rPr>
          <w:sz w:val="15"/>
        </w:rPr>
        <w:tab/>
      </w:r>
      <w:r w:rsidRPr="00017A3C">
        <w:rPr>
          <w:color w:val="993366"/>
          <w:sz w:val="15"/>
        </w:rPr>
        <w:t>CHOICE</w:t>
      </w:r>
      <w:r w:rsidRPr="00017A3C">
        <w:rPr>
          <w:sz w:val="15"/>
        </w:rPr>
        <w:t xml:space="preserve"> { </w:t>
      </w:r>
    </w:p>
    <w:p w14:paraId="73F82A0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oneEighth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271C62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oneFourth</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31CCB8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oneHalf</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15E1996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one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{n4,n8,n12,n16,n20,n24,n28,n32,n36,n40,n44,n48,n52,n56,n60,n64}, </w:t>
      </w:r>
    </w:p>
    <w:p w14:paraId="0AC7CA6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two</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{n4,n8,n12,n16,n20,n24,n28,n32}, </w:t>
      </w:r>
    </w:p>
    <w:p w14:paraId="2DADC40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four</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(1..16), </w:t>
      </w:r>
    </w:p>
    <w:p w14:paraId="7E45901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eight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(1..8), </w:t>
      </w:r>
    </w:p>
    <w:p w14:paraId="4DB4A20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sixteen</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(1..4)</w:t>
      </w:r>
    </w:p>
    <w:p w14:paraId="25B80BA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M</w:t>
      </w:r>
    </w:p>
    <w:p w14:paraId="20A3F93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4D9C438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 xml:space="preserve">groupBconfigured </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SEQUENCE</w:t>
      </w:r>
      <w:r w:rsidRPr="00017A3C">
        <w:rPr>
          <w:sz w:val="15"/>
        </w:rPr>
        <w:t xml:space="preserve"> {</w:t>
      </w:r>
    </w:p>
    <w:p w14:paraId="7ED7E47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Transport Blocks size threshold in bit below which the UE shall use a contention based RA premable </w:t>
      </w:r>
    </w:p>
    <w:p w14:paraId="3B639EB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of group A. (see 38.321, section 5.1.2)</w:t>
      </w:r>
    </w:p>
    <w:p w14:paraId="77CBA57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ra-Msg3SizeGroupA</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w:t>
      </w:r>
      <w:r w:rsidRPr="00017A3C">
        <w:rPr>
          <w:rFonts w:hint="eastAsia"/>
          <w:sz w:val="15"/>
        </w:rPr>
        <w:t>{</w:t>
      </w:r>
      <w:r w:rsidRPr="00017A3C">
        <w:rPr>
          <w:sz w:val="15"/>
        </w:rPr>
        <w:t>b56, b144, b208, b256</w:t>
      </w:r>
      <w:r w:rsidRPr="00017A3C">
        <w:rPr>
          <w:rFonts w:hint="eastAsia"/>
          <w:sz w:val="15"/>
        </w:rPr>
        <w:t>, b282, b480, b640, b800, b1000</w:t>
      </w:r>
      <w:r w:rsidRPr="00017A3C">
        <w:rPr>
          <w:sz w:val="15"/>
        </w:rPr>
        <w:t>, spare7, spare6, spare5,</w:t>
      </w:r>
    </w:p>
    <w:p w14:paraId="5A97DD22"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spare4, spare3, spare2, spare1},</w:t>
      </w:r>
    </w:p>
    <w:p w14:paraId="0F0B5AF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xml:space="preserve">-- Threshold for preamble selection.  Value in dB.  Value minusinfinity corresponds to –infinity.  </w:t>
      </w:r>
    </w:p>
    <w:p w14:paraId="41AD61A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Value dB0 corresponds to 0 dB, dB5 corresponds to 5 dB and so on. (see FFS_Spec, section FFS_Section)</w:t>
      </w:r>
    </w:p>
    <w:p w14:paraId="338794F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messagePowerOffsetGroupB</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minusinfinity, dB0, dB5, dB8, dB10, dB12, dB15, dB18},</w:t>
      </w:r>
    </w:p>
    <w:p w14:paraId="736B818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The number of CB preambles per SSB in group A. This determines implicitly the number of CB preambles per SSB available in group B.</w:t>
      </w:r>
    </w:p>
    <w:p w14:paraId="7E550D2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sz w:val="15"/>
        </w:rPr>
        <w:tab/>
      </w:r>
      <w:r w:rsidRPr="00017A3C">
        <w:rPr>
          <w:color w:val="808080"/>
          <w:sz w:val="15"/>
        </w:rPr>
        <w:t>-- (see 38.321, section 5.1.1)</w:t>
      </w:r>
    </w:p>
    <w:p w14:paraId="1FE68DC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r>
      <w:r w:rsidRPr="00017A3C">
        <w:rPr>
          <w:sz w:val="15"/>
        </w:rPr>
        <w:tab/>
        <w:t>numberOfRA-PreamblesGroupA</w:t>
      </w:r>
      <w:r w:rsidRPr="00017A3C">
        <w:rPr>
          <w:sz w:val="15"/>
        </w:rPr>
        <w:tab/>
      </w:r>
      <w:r w:rsidRPr="00017A3C">
        <w:rPr>
          <w:sz w:val="15"/>
        </w:rPr>
        <w:tab/>
      </w:r>
      <w:r w:rsidRPr="00017A3C">
        <w:rPr>
          <w:sz w:val="15"/>
        </w:rPr>
        <w:tab/>
      </w:r>
      <w:r w:rsidRPr="00017A3C">
        <w:rPr>
          <w:color w:val="993366"/>
          <w:sz w:val="15"/>
        </w:rPr>
        <w:t>INTEGER</w:t>
      </w:r>
      <w:r w:rsidRPr="00017A3C">
        <w:rPr>
          <w:sz w:val="15"/>
        </w:rPr>
        <w:t xml:space="preserve"> (1..64)</w:t>
      </w:r>
    </w:p>
    <w:p w14:paraId="6AD9C1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3EDFD89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C84AAC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The initial value for the contention resolution timer (see 38.321, section 5.1.5)</w:t>
      </w:r>
      <w:r w:rsidRPr="00017A3C">
        <w:rPr>
          <w:color w:val="808080"/>
          <w:sz w:val="15"/>
        </w:rPr>
        <w:tab/>
      </w:r>
    </w:p>
    <w:p w14:paraId="7897E47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ra-ContentionResolutionTimer</w:t>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 sf8, sf16, sf24, sf32, sf40, sf48, sf56, sf64},</w:t>
      </w:r>
    </w:p>
    <w:p w14:paraId="76256D9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4EA468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UE may select the SS block and corresponding PRACH resource for path-loss estimation and (re)transmission </w:t>
      </w:r>
    </w:p>
    <w:p w14:paraId="7A9F4D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 (see 38.213, section REF)</w:t>
      </w:r>
    </w:p>
    <w:p w14:paraId="4C75BF5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C3B817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UE may select the SS block and corresponding PRACH resource for path-loss estimation and (re)transmission on the SUL carrier</w:t>
      </w:r>
    </w:p>
    <w:p w14:paraId="71E1B566"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based on SS blocks that satisfy the threshold</w:t>
      </w:r>
    </w:p>
    <w:p w14:paraId="7AF8F2BA"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'SUL-RSRP-Threshold' (see FFS_Spec, section FFS_Section)</w:t>
      </w:r>
    </w:p>
    <w:p w14:paraId="3B84C05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rsrp-ThresholdSSB-SUL</w:t>
      </w:r>
      <w:r w:rsidRPr="00017A3C">
        <w:rPr>
          <w:sz w:val="15"/>
        </w:rPr>
        <w:tab/>
      </w:r>
      <w:r w:rsidRPr="00017A3C">
        <w:rPr>
          <w:sz w:val="15"/>
        </w:rPr>
        <w:tab/>
      </w:r>
      <w:r w:rsidRPr="00017A3C">
        <w:rPr>
          <w:sz w:val="15"/>
        </w:rPr>
        <w:tab/>
      </w:r>
      <w:r w:rsidRPr="00017A3C">
        <w:rPr>
          <w:sz w:val="15"/>
        </w:rPr>
        <w:tab/>
      </w:r>
      <w:r w:rsidRPr="00017A3C">
        <w:rPr>
          <w:sz w:val="15"/>
        </w:rPr>
        <w:tab/>
        <w:t>RSRP-Range</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6ED352F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3C22E8FC"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rPr>
        <w:tab/>
      </w:r>
      <w:r w:rsidRPr="00017A3C">
        <w:rPr>
          <w:color w:val="808080"/>
          <w:sz w:val="15"/>
          <w:highlight w:val="yellow"/>
        </w:rPr>
        <w:t>-- PRACH root sequence index. Corresponds to L1 parameter 'PRACHRootSequenceIndex' (see 38.211, section 6.3.3.1).</w:t>
      </w:r>
    </w:p>
    <w:p w14:paraId="2250CC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highlight w:val="yellow"/>
        </w:rPr>
      </w:pPr>
      <w:r w:rsidRPr="00017A3C">
        <w:rPr>
          <w:sz w:val="15"/>
          <w:highlight w:val="yellow"/>
        </w:rPr>
        <w:tab/>
      </w:r>
      <w:r w:rsidRPr="00017A3C">
        <w:rPr>
          <w:color w:val="808080"/>
          <w:sz w:val="15"/>
          <w:highlight w:val="yellow"/>
        </w:rPr>
        <w:t>-- The value range depends on whether L=839 or L=139</w:t>
      </w:r>
    </w:p>
    <w:p w14:paraId="10CE030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t>prach-RootSequenceIndex</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CHOICE</w:t>
      </w:r>
      <w:r w:rsidRPr="00017A3C">
        <w:rPr>
          <w:sz w:val="15"/>
          <w:highlight w:val="yellow"/>
        </w:rPr>
        <w:t xml:space="preserve"> {</w:t>
      </w:r>
    </w:p>
    <w:p w14:paraId="4A58127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l839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(0..837),</w:t>
      </w:r>
    </w:p>
    <w:p w14:paraId="2FC94C0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highlight w:val="yellow"/>
        </w:rPr>
      </w:pPr>
      <w:r w:rsidRPr="00017A3C">
        <w:rPr>
          <w:sz w:val="15"/>
          <w:highlight w:val="yellow"/>
        </w:rPr>
        <w:tab/>
      </w:r>
      <w:r w:rsidRPr="00017A3C">
        <w:rPr>
          <w:sz w:val="15"/>
          <w:highlight w:val="yellow"/>
        </w:rPr>
        <w:tab/>
        <w:t>l139</w:t>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sz w:val="15"/>
          <w:highlight w:val="yellow"/>
        </w:rPr>
        <w:tab/>
      </w:r>
      <w:r w:rsidRPr="00017A3C">
        <w:rPr>
          <w:color w:val="993366"/>
          <w:sz w:val="15"/>
          <w:highlight w:val="yellow"/>
        </w:rPr>
        <w:t>INTEGER</w:t>
      </w:r>
      <w:r w:rsidRPr="00017A3C">
        <w:rPr>
          <w:sz w:val="15"/>
          <w:highlight w:val="yellow"/>
        </w:rPr>
        <w:t xml:space="preserve"> (0..137)</w:t>
      </w:r>
    </w:p>
    <w:p w14:paraId="5876787E"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highlight w:val="yellow"/>
        </w:rPr>
        <w:tab/>
        <w:t>},</w:t>
      </w:r>
    </w:p>
    <w:p w14:paraId="53F94C58"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1DF2AC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Subcarrier spacing of PRACH. Only the values 15 or 30 kHz  (&lt;6GHz), 60 or 120 kHz (&gt;6GHz) are applicable.</w:t>
      </w:r>
    </w:p>
    <w:p w14:paraId="01C6FCC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'prach-Msg1SubcarrierSpacing' (see 38.211, section FFS_Section)</w:t>
      </w:r>
    </w:p>
    <w:p w14:paraId="49DB21FF"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msg1-SubcarrierSpacing</w:t>
      </w:r>
      <w:r w:rsidRPr="00017A3C">
        <w:rPr>
          <w:sz w:val="15"/>
        </w:rPr>
        <w:tab/>
      </w:r>
      <w:r w:rsidRPr="00017A3C">
        <w:rPr>
          <w:sz w:val="15"/>
        </w:rPr>
        <w:tab/>
      </w:r>
      <w:r w:rsidRPr="00017A3C">
        <w:rPr>
          <w:sz w:val="15"/>
        </w:rPr>
        <w:tab/>
      </w:r>
      <w:r w:rsidRPr="00017A3C">
        <w:rPr>
          <w:sz w:val="15"/>
        </w:rPr>
        <w:tab/>
      </w:r>
      <w:r w:rsidRPr="00017A3C">
        <w:rPr>
          <w:sz w:val="15"/>
        </w:rPr>
        <w:tab/>
        <w:t>SubcarrierSpacing,</w:t>
      </w:r>
    </w:p>
    <w:p w14:paraId="76B42215"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778C666D"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Configuration of an unrestricted set or one of two types of restricted sets, see 38.211</w:t>
      </w:r>
      <w:r w:rsidRPr="00017A3C">
        <w:rPr>
          <w:color w:val="808080"/>
          <w:sz w:val="15"/>
        </w:rPr>
        <w:tab/>
        <w:t xml:space="preserve">6.3.3.1 </w:t>
      </w:r>
    </w:p>
    <w:p w14:paraId="60426B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restrictedSetConfig</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{unrestrictedSet, restrictedSetTypeA, restrictedSetTypeB},</w:t>
      </w:r>
    </w:p>
    <w:p w14:paraId="6F31F34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xml:space="preserve">-- Indicates to a UE whether transform precoding is enabled for Msg3 transmission. </w:t>
      </w:r>
    </w:p>
    <w:p w14:paraId="6A4DCDE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r>
      <w:r w:rsidRPr="00017A3C">
        <w:rPr>
          <w:color w:val="808080"/>
          <w:sz w:val="15"/>
        </w:rPr>
        <w:t>-- Corresponds to L1 parameter 'msg3-tp' (see 38.213, section 8.1)</w:t>
      </w:r>
    </w:p>
    <w:p w14:paraId="45E0968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sz w:val="15"/>
        </w:rPr>
        <w:tab/>
        <w:t>msg3-transformPrecoding</w:t>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ENUMERATED</w:t>
      </w:r>
      <w:r w:rsidRPr="00017A3C">
        <w:rPr>
          <w:sz w:val="15"/>
        </w:rPr>
        <w:t xml:space="preserve"> {enabled}</w:t>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sz w:val="15"/>
        </w:rPr>
        <w:tab/>
      </w:r>
      <w:r w:rsidRPr="00017A3C">
        <w:rPr>
          <w:color w:val="993366"/>
          <w:sz w:val="15"/>
        </w:rPr>
        <w:t>OPTIONAL</w:t>
      </w:r>
      <w:r w:rsidRPr="00017A3C">
        <w:rPr>
          <w:sz w:val="15"/>
        </w:rPr>
        <w:t>,</w:t>
      </w:r>
      <w:r w:rsidRPr="00017A3C">
        <w:rPr>
          <w:sz w:val="15"/>
        </w:rPr>
        <w:tab/>
      </w:r>
      <w:r w:rsidRPr="00017A3C">
        <w:rPr>
          <w:color w:val="808080"/>
          <w:sz w:val="15"/>
        </w:rPr>
        <w:t>-- Need R</w:t>
      </w:r>
    </w:p>
    <w:p w14:paraId="53FC2FDB"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ab/>
        <w:t>...</w:t>
      </w:r>
    </w:p>
    <w:p w14:paraId="0CC4CAD7"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r w:rsidRPr="00017A3C">
        <w:rPr>
          <w:sz w:val="15"/>
        </w:rPr>
        <w:t>}</w:t>
      </w:r>
    </w:p>
    <w:p w14:paraId="74A64B41"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sz w:val="15"/>
        </w:rPr>
      </w:pPr>
    </w:p>
    <w:p w14:paraId="2AA202D0"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xml:space="preserve">-- TAG-RACH-CONFIG-COMMON-STOP </w:t>
      </w:r>
    </w:p>
    <w:p w14:paraId="2452A554" w14:textId="77777777" w:rsidR="0004087D" w:rsidRPr="00017A3C" w:rsidRDefault="0004087D" w:rsidP="00AE362B">
      <w:pPr>
        <w:pStyle w:val="PL"/>
        <w:pBdr>
          <w:top w:val="single" w:sz="4" w:space="1" w:color="auto"/>
          <w:left w:val="single" w:sz="4" w:space="1" w:color="auto"/>
          <w:bottom w:val="single" w:sz="4" w:space="1" w:color="auto"/>
          <w:right w:val="single" w:sz="4" w:space="1" w:color="auto"/>
        </w:pBdr>
        <w:rPr>
          <w:color w:val="808080"/>
          <w:sz w:val="15"/>
        </w:rPr>
      </w:pPr>
      <w:r w:rsidRPr="00017A3C">
        <w:rPr>
          <w:color w:val="808080"/>
          <w:sz w:val="15"/>
        </w:rPr>
        <w:t>-- ASN1STOP</w:t>
      </w:r>
    </w:p>
    <w:p w14:paraId="0CC84912" w14:textId="03DB5ACD" w:rsidR="00AE362B" w:rsidRDefault="005A1743" w:rsidP="00AE362B">
      <w:pPr>
        <w:overflowPunct/>
        <w:autoSpaceDE/>
        <w:autoSpaceDN/>
        <w:adjustRightInd/>
        <w:spacing w:after="0"/>
        <w:textAlignment w:val="auto"/>
        <w:rPr>
          <w:rFonts w:eastAsia="宋体" w:cs="Arial"/>
        </w:rPr>
      </w:pPr>
      <w:r>
        <w:rPr>
          <w:rFonts w:eastAsia="宋体" w:cs="Arial"/>
        </w:rPr>
        <w:lastRenderedPageBreak/>
        <w:t xml:space="preserve">In our view, </w:t>
      </w:r>
      <w:bookmarkStart w:id="4" w:name="_Toc510131697"/>
      <w:bookmarkStart w:id="5" w:name="_Toc510185050"/>
      <w:bookmarkStart w:id="6" w:name="_Toc510185064"/>
      <w:r w:rsidR="00AE362B">
        <w:rPr>
          <w:rFonts w:eastAsia="宋体" w:cs="Arial"/>
        </w:rPr>
        <w:t>PRACH root sequence for source and target cells should not be the same, thus, target gNB should at least inform PRACH root sequence in handover command.</w:t>
      </w:r>
    </w:p>
    <w:p w14:paraId="1137290A" w14:textId="30A9D120" w:rsidR="00583613" w:rsidRDefault="00583613" w:rsidP="00AE362B">
      <w:pPr>
        <w:overflowPunct/>
        <w:autoSpaceDE/>
        <w:autoSpaceDN/>
        <w:adjustRightInd/>
        <w:spacing w:after="0"/>
        <w:textAlignment w:val="auto"/>
        <w:rPr>
          <w:rFonts w:eastAsia="宋体" w:cs="Arial"/>
        </w:rPr>
      </w:pPr>
    </w:p>
    <w:p w14:paraId="76DA036D" w14:textId="51F44E6D" w:rsidR="00583613" w:rsidRPr="004E6126" w:rsidRDefault="00583613" w:rsidP="00583613">
      <w:pPr>
        <w:pStyle w:val="Proposal"/>
        <w:numPr>
          <w:ilvl w:val="0"/>
          <w:numId w:val="43"/>
        </w:numPr>
      </w:pPr>
      <w:bookmarkStart w:id="7" w:name="_Toc510190737"/>
      <w:bookmarkStart w:id="8" w:name="_Toc510701478"/>
      <w:bookmarkStart w:id="9" w:name="_Toc510701706"/>
      <w:bookmarkStart w:id="10" w:name="_Toc510701739"/>
      <w:bookmarkStart w:id="11" w:name="_Toc510701953"/>
      <w:bookmarkStart w:id="12" w:name="_Toc510711026"/>
      <w:bookmarkStart w:id="13" w:name="_Toc510712799"/>
      <w:bookmarkStart w:id="14" w:name="_Toc510736594"/>
      <w:bookmarkStart w:id="15" w:name="_Toc514444040"/>
      <w:r>
        <w:rPr>
          <w:rFonts w:eastAsia="宋体" w:cs="Arial"/>
        </w:rPr>
        <w:t xml:space="preserve">PRACH root sequence in </w:t>
      </w:r>
      <w:r w:rsidRPr="00A21C0F">
        <w:rPr>
          <w:i/>
          <w:iCs/>
        </w:rPr>
        <w:t>RACH-ConfigCommon</w:t>
      </w:r>
      <w:r w:rsidRPr="00A21C0F">
        <w:t xml:space="preserve"> information element</w:t>
      </w:r>
      <w:r>
        <w:t xml:space="preserve"> should not be the same for source and target cells</w:t>
      </w:r>
      <w:r w:rsidRPr="004E6126">
        <w:rPr>
          <w:rFonts w:eastAsia="宋体" w:cs="Arial"/>
        </w:rPr>
        <w:t>.</w:t>
      </w:r>
      <w:r w:rsidR="00017A3C">
        <w:rPr>
          <w:rFonts w:eastAsia="宋体" w:cs="Arial"/>
        </w:rPr>
        <w:t xml:space="preserve"> Thus, if handover command should provide the root sequence to UE.</w:t>
      </w:r>
      <w:bookmarkEnd w:id="7"/>
      <w:bookmarkEnd w:id="8"/>
      <w:bookmarkEnd w:id="9"/>
      <w:bookmarkEnd w:id="10"/>
      <w:bookmarkEnd w:id="11"/>
      <w:bookmarkEnd w:id="12"/>
      <w:bookmarkEnd w:id="13"/>
      <w:bookmarkEnd w:id="14"/>
      <w:bookmarkEnd w:id="15"/>
    </w:p>
    <w:p w14:paraId="7DC87BD5" w14:textId="1E630DED" w:rsidR="00583613"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n previous meeting, it is agreed that “</w:t>
      </w:r>
      <w:r>
        <w:t>The target gNB optionally includes the common RACH configuration in the ReconfigWithSync, if not included, the UE continues to use the common RACH configuration of the source cell.”, we propose to clarify that the agreement is applicable to other parameters other than PRACH root sequence.</w:t>
      </w:r>
    </w:p>
    <w:p w14:paraId="38DEC7C5" w14:textId="6707E42B" w:rsidR="00583613" w:rsidRDefault="00583613" w:rsidP="00AE362B">
      <w:pPr>
        <w:overflowPunct/>
        <w:autoSpaceDE/>
        <w:autoSpaceDN/>
        <w:adjustRightInd/>
        <w:spacing w:after="0"/>
        <w:textAlignment w:val="auto"/>
        <w:rPr>
          <w:rFonts w:eastAsia="宋体" w:cs="Arial"/>
        </w:rPr>
      </w:pPr>
    </w:p>
    <w:p w14:paraId="24B72D4C" w14:textId="1FF0FB3F" w:rsidR="00017A3C" w:rsidRPr="00F433E3" w:rsidRDefault="00017A3C" w:rsidP="00017A3C">
      <w:pPr>
        <w:pStyle w:val="Proposal"/>
        <w:numPr>
          <w:ilvl w:val="0"/>
          <w:numId w:val="39"/>
        </w:numPr>
        <w:tabs>
          <w:tab w:val="clear" w:pos="1304"/>
        </w:tabs>
      </w:pPr>
      <w:bookmarkStart w:id="16" w:name="_Toc510190738"/>
      <w:bookmarkStart w:id="17" w:name="_Toc510701479"/>
      <w:bookmarkStart w:id="18" w:name="_Toc510701707"/>
      <w:bookmarkStart w:id="19" w:name="_Toc510701740"/>
      <w:bookmarkStart w:id="20" w:name="_Toc510701954"/>
      <w:bookmarkStart w:id="21" w:name="_Toc510711027"/>
      <w:bookmarkStart w:id="22" w:name="_Toc510712800"/>
      <w:bookmarkStart w:id="23" w:name="_Toc510736595"/>
      <w:bookmarkStart w:id="24" w:name="_Toc514444041"/>
      <w:r>
        <w:t>RAN2 to discuss and confirm that previous agreement on optional common RACH configuration doesn’t apply to PRACH root sequence</w:t>
      </w:r>
      <w:r w:rsidRPr="00837D48">
        <w:t>.</w:t>
      </w:r>
      <w:bookmarkEnd w:id="16"/>
      <w:bookmarkEnd w:id="17"/>
      <w:bookmarkEnd w:id="18"/>
      <w:bookmarkEnd w:id="19"/>
      <w:bookmarkEnd w:id="20"/>
      <w:bookmarkEnd w:id="21"/>
      <w:bookmarkEnd w:id="22"/>
      <w:bookmarkEnd w:id="23"/>
      <w:bookmarkEnd w:id="24"/>
      <w:r>
        <w:t xml:space="preserve"> </w:t>
      </w:r>
    </w:p>
    <w:p w14:paraId="34C92C59" w14:textId="0A799DC6" w:rsidR="00017A3C" w:rsidRDefault="00017A3C" w:rsidP="00AE362B">
      <w:pPr>
        <w:overflowPunct/>
        <w:autoSpaceDE/>
        <w:autoSpaceDN/>
        <w:adjustRightInd/>
        <w:spacing w:after="0"/>
        <w:textAlignment w:val="auto"/>
        <w:rPr>
          <w:rFonts w:eastAsia="宋体" w:cs="Arial"/>
        </w:rPr>
      </w:pPr>
      <w:r>
        <w:rPr>
          <w:rFonts w:eastAsia="宋体" w:cs="Arial" w:hint="eastAsia"/>
        </w:rPr>
        <w:t>I</w:t>
      </w:r>
      <w:r>
        <w:rPr>
          <w:rFonts w:eastAsia="宋体" w:cs="Arial"/>
        </w:rPr>
        <w:t xml:space="preserve">f RAN2 confirms Proposal 1, we think that </w:t>
      </w:r>
      <w:r w:rsidRPr="00017A3C">
        <w:rPr>
          <w:rFonts w:eastAsia="宋体" w:cs="Arial"/>
          <w:i/>
        </w:rPr>
        <w:t>RACH-ConfigCommo</w:t>
      </w:r>
      <w:r>
        <w:rPr>
          <w:rFonts w:eastAsia="宋体" w:cs="Arial"/>
          <w:i/>
        </w:rPr>
        <w:t>n</w:t>
      </w:r>
      <w:r>
        <w:rPr>
          <w:rFonts w:eastAsia="宋体" w:cs="Arial"/>
        </w:rPr>
        <w:t xml:space="preserve"> IE should not contain RACH root sequence.  In LTE case, there are two IEs in SIB2 including </w:t>
      </w:r>
      <w:proofErr w:type="spellStart"/>
      <w:r>
        <w:rPr>
          <w:rFonts w:eastAsia="宋体" w:cs="Arial"/>
        </w:rPr>
        <w:t>Prach</w:t>
      </w:r>
      <w:proofErr w:type="spellEnd"/>
      <w:r>
        <w:rPr>
          <w:rFonts w:eastAsia="宋体" w:cs="Arial"/>
        </w:rPr>
        <w:t>-config and RACH-</w:t>
      </w:r>
      <w:proofErr w:type="spellStart"/>
      <w:r>
        <w:rPr>
          <w:rFonts w:eastAsia="宋体" w:cs="Arial"/>
        </w:rPr>
        <w:t>ConfigCommon</w:t>
      </w:r>
      <w:proofErr w:type="spellEnd"/>
      <w:r>
        <w:rPr>
          <w:rFonts w:eastAsia="宋体" w:cs="Arial"/>
        </w:rPr>
        <w:t xml:space="preserve"> and the </w:t>
      </w:r>
      <w:proofErr w:type="spellStart"/>
      <w:r w:rsidR="00466B00">
        <w:rPr>
          <w:rFonts w:eastAsia="宋体" w:cs="Arial"/>
        </w:rPr>
        <w:t>Prach</w:t>
      </w:r>
      <w:proofErr w:type="spellEnd"/>
      <w:r w:rsidR="00466B00">
        <w:rPr>
          <w:rFonts w:eastAsia="宋体" w:cs="Arial"/>
        </w:rPr>
        <w:t>-config</w:t>
      </w:r>
      <w:r>
        <w:rPr>
          <w:rFonts w:eastAsia="宋体" w:cs="Arial"/>
        </w:rPr>
        <w:t xml:space="preserve"> IE contains the RACH root sequence.</w:t>
      </w:r>
    </w:p>
    <w:p w14:paraId="546C8BF8" w14:textId="77777777" w:rsidR="006F2708" w:rsidRDefault="006F2708" w:rsidP="00AE362B">
      <w:pPr>
        <w:overflowPunct/>
        <w:autoSpaceDE/>
        <w:autoSpaceDN/>
        <w:adjustRightInd/>
        <w:spacing w:after="0"/>
        <w:textAlignment w:val="auto"/>
        <w:rPr>
          <w:rFonts w:eastAsia="宋体" w:cs="Arial"/>
        </w:rPr>
      </w:pPr>
    </w:p>
    <w:p w14:paraId="29ECD82A" w14:textId="0ACB0434" w:rsidR="00FC4746" w:rsidRPr="00880151" w:rsidRDefault="00017A3C" w:rsidP="00880151">
      <w:pPr>
        <w:pStyle w:val="Proposal"/>
        <w:numPr>
          <w:ilvl w:val="0"/>
          <w:numId w:val="39"/>
        </w:numPr>
        <w:tabs>
          <w:tab w:val="clear" w:pos="1304"/>
        </w:tabs>
      </w:pPr>
      <w:bookmarkStart w:id="25" w:name="_Toc510190739"/>
      <w:bookmarkStart w:id="26" w:name="_Toc510701480"/>
      <w:bookmarkStart w:id="27" w:name="_Toc510701708"/>
      <w:bookmarkStart w:id="28" w:name="_Toc510701741"/>
      <w:bookmarkStart w:id="29" w:name="_Toc510701955"/>
      <w:bookmarkStart w:id="30" w:name="_Toc510711028"/>
      <w:bookmarkStart w:id="31" w:name="_Toc510712801"/>
      <w:bookmarkStart w:id="32" w:name="_Toc510736596"/>
      <w:bookmarkStart w:id="33" w:name="_Toc514444042"/>
      <w:r>
        <w:t xml:space="preserve">RAN2 to agree that </w:t>
      </w:r>
      <w:r w:rsidRPr="00017A3C">
        <w:rPr>
          <w:rFonts w:eastAsia="宋体" w:cs="Arial"/>
          <w:i/>
        </w:rPr>
        <w:t>RACH-ConfigCommo</w:t>
      </w:r>
      <w:r>
        <w:rPr>
          <w:rFonts w:eastAsia="宋体" w:cs="Arial"/>
          <w:i/>
        </w:rPr>
        <w:t>n</w:t>
      </w:r>
      <w:r>
        <w:rPr>
          <w:rFonts w:eastAsia="宋体" w:cs="Arial"/>
        </w:rPr>
        <w:t xml:space="preserve"> IE should not contain RACH root sequence.</w:t>
      </w:r>
      <w:bookmarkEnd w:id="4"/>
      <w:bookmarkEnd w:id="5"/>
      <w:bookmarkEnd w:id="6"/>
      <w:bookmarkEnd w:id="25"/>
      <w:bookmarkEnd w:id="26"/>
      <w:bookmarkEnd w:id="27"/>
      <w:bookmarkEnd w:id="28"/>
      <w:bookmarkEnd w:id="29"/>
      <w:bookmarkEnd w:id="30"/>
      <w:bookmarkEnd w:id="31"/>
      <w:bookmarkEnd w:id="32"/>
      <w:bookmarkEnd w:id="33"/>
    </w:p>
    <w:p w14:paraId="75F37EE6" w14:textId="4ECAB8F3" w:rsidR="00FC4746" w:rsidRPr="00247295" w:rsidRDefault="00FC4746" w:rsidP="00FC4746">
      <w:pPr>
        <w:pStyle w:val="2"/>
      </w:pPr>
      <w:r>
        <w:t xml:space="preserve">How to handle </w:t>
      </w:r>
      <w:proofErr w:type="gramStart"/>
      <w:r w:rsidR="00466B00">
        <w:t>o</w:t>
      </w:r>
      <w:r>
        <w:t>ther</w:t>
      </w:r>
      <w:proofErr w:type="gramEnd"/>
      <w:r>
        <w:t xml:space="preserve"> SI during handover?</w:t>
      </w:r>
    </w:p>
    <w:p w14:paraId="7C00CAEB" w14:textId="0E79B21E" w:rsidR="00FC4746" w:rsidRDefault="00FC4746" w:rsidP="00837D48">
      <w:pPr>
        <w:overflowPunct/>
        <w:autoSpaceDE/>
        <w:autoSpaceDN/>
        <w:adjustRightInd/>
        <w:spacing w:after="0"/>
        <w:textAlignment w:val="auto"/>
        <w:rPr>
          <w:rFonts w:eastAsia="宋体" w:cs="Arial"/>
        </w:rPr>
      </w:pPr>
      <w:r>
        <w:rPr>
          <w:rFonts w:eastAsia="宋体" w:cs="Arial" w:hint="eastAsia"/>
        </w:rPr>
        <w:t>S</w:t>
      </w:r>
      <w:r>
        <w:rPr>
          <w:rFonts w:eastAsia="宋体" w:cs="Arial"/>
        </w:rPr>
        <w:t>ince system information area is applicable to other SIs</w:t>
      </w:r>
      <w:r w:rsidR="00E63450">
        <w:rPr>
          <w:rFonts w:eastAsia="宋体" w:cs="Arial"/>
        </w:rPr>
        <w:t>, it is possible to utilize system information area concept to save the load of INM.  This means, for area-specific SIBs, if</w:t>
      </w:r>
      <w:r w:rsidR="00E63450">
        <w:t xml:space="preserve"> source and target cells are within the same system information area, source and target can skip the area specific SIBs.</w:t>
      </w:r>
    </w:p>
    <w:p w14:paraId="19488BD1" w14:textId="1E7DFF60" w:rsidR="00FC4746" w:rsidRDefault="00FC4746" w:rsidP="00837D48">
      <w:pPr>
        <w:overflowPunct/>
        <w:autoSpaceDE/>
        <w:autoSpaceDN/>
        <w:adjustRightInd/>
        <w:spacing w:after="0"/>
        <w:textAlignment w:val="auto"/>
        <w:rPr>
          <w:rFonts w:eastAsia="宋体" w:cs="Arial"/>
        </w:rPr>
      </w:pPr>
    </w:p>
    <w:p w14:paraId="16882223" w14:textId="2C635DE8" w:rsidR="00E63450" w:rsidRDefault="00E63450" w:rsidP="00FC4746">
      <w:pPr>
        <w:pStyle w:val="Proposal"/>
        <w:numPr>
          <w:ilvl w:val="0"/>
          <w:numId w:val="39"/>
        </w:numPr>
        <w:tabs>
          <w:tab w:val="clear" w:pos="1304"/>
        </w:tabs>
      </w:pPr>
      <w:bookmarkStart w:id="34" w:name="_Toc510131700"/>
      <w:bookmarkStart w:id="35" w:name="_Toc510185053"/>
      <w:bookmarkStart w:id="36" w:name="_Toc510185067"/>
      <w:bookmarkStart w:id="37" w:name="_Toc510190741"/>
      <w:bookmarkStart w:id="38" w:name="_Toc510701482"/>
      <w:bookmarkStart w:id="39" w:name="_Toc510701710"/>
      <w:bookmarkStart w:id="40" w:name="_Toc510701743"/>
      <w:bookmarkStart w:id="41" w:name="_Toc510701957"/>
      <w:bookmarkStart w:id="42" w:name="_Toc510711030"/>
      <w:bookmarkStart w:id="43" w:name="_Toc510712803"/>
      <w:bookmarkStart w:id="44" w:name="_Toc510736597"/>
      <w:bookmarkStart w:id="45" w:name="_Toc514444043"/>
      <w:r>
        <w:rPr>
          <w:rFonts w:hint="eastAsia"/>
        </w:rPr>
        <w:t>F</w:t>
      </w:r>
      <w:r>
        <w:t>or area-specific SIBs, if source and target cells are within the same system information area, source and target can skip the area specific SIBs in INM.</w:t>
      </w:r>
      <w:bookmarkEnd w:id="34"/>
      <w:bookmarkEnd w:id="35"/>
      <w:bookmarkEnd w:id="36"/>
      <w:bookmarkEnd w:id="37"/>
      <w:bookmarkEnd w:id="38"/>
      <w:bookmarkEnd w:id="39"/>
      <w:bookmarkEnd w:id="40"/>
      <w:bookmarkEnd w:id="41"/>
      <w:bookmarkEnd w:id="42"/>
      <w:bookmarkEnd w:id="43"/>
      <w:bookmarkEnd w:id="44"/>
      <w:bookmarkEnd w:id="45"/>
    </w:p>
    <w:p w14:paraId="7B166A57" w14:textId="0484A466" w:rsidR="00023EA6" w:rsidRPr="00023EA6" w:rsidRDefault="00023EA6" w:rsidP="00023EA6">
      <w:pPr>
        <w:overflowPunct/>
        <w:autoSpaceDE/>
        <w:autoSpaceDN/>
        <w:adjustRightInd/>
        <w:spacing w:after="0"/>
        <w:textAlignment w:val="auto"/>
        <w:rPr>
          <w:rFonts w:eastAsia="宋体" w:cs="Arial"/>
        </w:rPr>
      </w:pPr>
      <w:r w:rsidRPr="00023EA6">
        <w:rPr>
          <w:rFonts w:eastAsia="宋体" w:cs="Arial" w:hint="eastAsia"/>
        </w:rPr>
        <w:t>M</w:t>
      </w:r>
      <w:r w:rsidRPr="00023EA6">
        <w:rPr>
          <w:rFonts w:eastAsia="宋体" w:cs="Arial"/>
        </w:rPr>
        <w:t xml:space="preserve">eanwhile, in order to save UE overhead to acquire the SIBs of target cell after handover, it is possible to deliver the SIBs of target side via INM.  However, this should be not </w:t>
      </w:r>
      <w:proofErr w:type="gramStart"/>
      <w:r w:rsidR="00466B00" w:rsidRPr="00023EA6">
        <w:rPr>
          <w:rFonts w:eastAsia="宋体" w:cs="Arial"/>
        </w:rPr>
        <w:t>mandatory</w:t>
      </w:r>
      <w:proofErr w:type="gramEnd"/>
      <w:r w:rsidRPr="00023EA6">
        <w:rPr>
          <w:rFonts w:eastAsia="宋体" w:cs="Arial"/>
        </w:rPr>
        <w:t xml:space="preserve"> and it is up to network to decide whether this feature is allowed.</w:t>
      </w:r>
    </w:p>
    <w:p w14:paraId="4EBDC2FC" w14:textId="19C801A9" w:rsidR="00FC4746" w:rsidRPr="00F433E3" w:rsidRDefault="00E63450" w:rsidP="00FC4746">
      <w:pPr>
        <w:pStyle w:val="Proposal"/>
        <w:numPr>
          <w:ilvl w:val="0"/>
          <w:numId w:val="39"/>
        </w:numPr>
        <w:tabs>
          <w:tab w:val="clear" w:pos="1304"/>
        </w:tabs>
      </w:pPr>
      <w:bookmarkStart w:id="46" w:name="_Toc510131701"/>
      <w:bookmarkStart w:id="47" w:name="_Toc510185054"/>
      <w:bookmarkStart w:id="48" w:name="_Toc510185068"/>
      <w:bookmarkStart w:id="49" w:name="_Toc510190742"/>
      <w:bookmarkStart w:id="50" w:name="_Toc510701483"/>
      <w:bookmarkStart w:id="51" w:name="_Toc510701711"/>
      <w:bookmarkStart w:id="52" w:name="_Toc510701744"/>
      <w:bookmarkStart w:id="53" w:name="_Toc510701958"/>
      <w:bookmarkStart w:id="54" w:name="_Toc510711031"/>
      <w:bookmarkStart w:id="55" w:name="_Toc510712804"/>
      <w:bookmarkStart w:id="56" w:name="_Toc510736598"/>
      <w:bookmarkStart w:id="57" w:name="_Toc514444044"/>
      <w:r>
        <w:t xml:space="preserve">Source gNB can also include at least cell specific SIs in handover preparation and target gNB can respond to source which SIBs are different in order to let UE have the latest SIBs </w:t>
      </w:r>
      <w:r w:rsidR="00466B00">
        <w:t>of</w:t>
      </w:r>
      <w:r>
        <w:t xml:space="preserve"> target side</w:t>
      </w:r>
      <w:r w:rsidR="00FC4746" w:rsidRPr="00837D48">
        <w:t>.</w:t>
      </w:r>
      <w:bookmarkEnd w:id="46"/>
      <w:bookmarkEnd w:id="47"/>
      <w:bookmarkEnd w:id="48"/>
      <w:bookmarkEnd w:id="49"/>
      <w:bookmarkEnd w:id="50"/>
      <w:bookmarkEnd w:id="51"/>
      <w:bookmarkEnd w:id="52"/>
      <w:bookmarkEnd w:id="53"/>
      <w:bookmarkEnd w:id="54"/>
      <w:bookmarkEnd w:id="55"/>
      <w:bookmarkEnd w:id="56"/>
      <w:bookmarkEnd w:id="57"/>
    </w:p>
    <w:p w14:paraId="11361DEE" w14:textId="1E715EBB" w:rsidR="00FC4746" w:rsidRDefault="00FC4746" w:rsidP="00FC4746">
      <w:pPr>
        <w:pStyle w:val="2"/>
        <w:rPr>
          <w:rFonts w:eastAsia="宋体"/>
        </w:rPr>
      </w:pPr>
      <w:r w:rsidRPr="00FC4746">
        <w:t>How to hand</w:t>
      </w:r>
      <w:r w:rsidR="00E63450">
        <w:t>le</w:t>
      </w:r>
      <w:r w:rsidRPr="00FC4746">
        <w:t xml:space="preserve"> on-demand SI during handover?</w:t>
      </w:r>
    </w:p>
    <w:p w14:paraId="0BAD5E95" w14:textId="48796BC7" w:rsidR="00FC4746" w:rsidRDefault="00023EA6" w:rsidP="00837D48">
      <w:pPr>
        <w:overflowPunct/>
        <w:autoSpaceDE/>
        <w:autoSpaceDN/>
        <w:adjustRightInd/>
        <w:spacing w:after="0"/>
        <w:textAlignment w:val="auto"/>
        <w:rPr>
          <w:rFonts w:eastAsia="宋体" w:cs="Arial"/>
        </w:rPr>
      </w:pPr>
      <w:r>
        <w:rPr>
          <w:rFonts w:eastAsia="宋体" w:cs="Arial" w:hint="eastAsia"/>
        </w:rPr>
        <w:t>F</w:t>
      </w:r>
      <w:r>
        <w:rPr>
          <w:rFonts w:eastAsia="宋体" w:cs="Arial"/>
        </w:rPr>
        <w:t>or on-demand SI, UE has requested the SIB requested in source side or if the serving gNB knows this SIB is essential to UE and in target side this SIB is also on-demand SI, we think it is beneficial for target gNB to provide the SI to UE via handover command.  This can save UE overhead to initiate the SI request in target side.</w:t>
      </w:r>
    </w:p>
    <w:p w14:paraId="16012D87" w14:textId="2C8B8E7B" w:rsidR="00E63450" w:rsidRPr="00023EA6" w:rsidRDefault="00023EA6" w:rsidP="00491DBE">
      <w:pPr>
        <w:pStyle w:val="Proposal"/>
        <w:numPr>
          <w:ilvl w:val="0"/>
          <w:numId w:val="39"/>
        </w:numPr>
        <w:tabs>
          <w:tab w:val="clear" w:pos="1304"/>
        </w:tabs>
        <w:overflowPunct/>
        <w:autoSpaceDE/>
        <w:autoSpaceDN/>
        <w:adjustRightInd/>
        <w:spacing w:after="0"/>
        <w:textAlignment w:val="auto"/>
        <w:rPr>
          <w:rFonts w:eastAsia="宋体" w:cs="Arial"/>
        </w:rPr>
      </w:pPr>
      <w:bookmarkStart w:id="58" w:name="_Toc510131702"/>
      <w:bookmarkStart w:id="59" w:name="_Toc510185055"/>
      <w:bookmarkStart w:id="60" w:name="_Toc510185069"/>
      <w:bookmarkStart w:id="61" w:name="_Toc510190743"/>
      <w:bookmarkStart w:id="62" w:name="_Toc510701484"/>
      <w:bookmarkStart w:id="63" w:name="_Toc510701712"/>
      <w:bookmarkStart w:id="64" w:name="_Toc510701745"/>
      <w:bookmarkStart w:id="65" w:name="_Toc510701959"/>
      <w:bookmarkStart w:id="66" w:name="_Toc510711032"/>
      <w:bookmarkStart w:id="67" w:name="_Toc510712805"/>
      <w:bookmarkStart w:id="68" w:name="_Toc510736599"/>
      <w:bookmarkStart w:id="69" w:name="_Toc514444045"/>
      <w:r w:rsidRPr="00023EA6">
        <w:rPr>
          <w:rFonts w:eastAsia="宋体" w:cs="Arial" w:hint="eastAsia"/>
        </w:rPr>
        <w:t>F</w:t>
      </w:r>
      <w:r w:rsidRPr="00023EA6">
        <w:rPr>
          <w:rFonts w:eastAsia="宋体" w:cs="Arial"/>
        </w:rPr>
        <w:t xml:space="preserve">or on-demand SI, UE has requested the SIB requested in source side or if the serving gNB knows this SIB is essential to UE and in target side this SIB is also on-demand, </w:t>
      </w:r>
      <w:r>
        <w:rPr>
          <w:rFonts w:eastAsia="宋体" w:cs="Arial"/>
        </w:rPr>
        <w:t>target gNB to provide the SI to UE via handover command.</w:t>
      </w:r>
      <w:bookmarkEnd w:id="58"/>
      <w:bookmarkEnd w:id="59"/>
      <w:bookmarkEnd w:id="60"/>
      <w:bookmarkEnd w:id="61"/>
      <w:bookmarkEnd w:id="62"/>
      <w:bookmarkEnd w:id="63"/>
      <w:bookmarkEnd w:id="64"/>
      <w:bookmarkEnd w:id="65"/>
      <w:bookmarkEnd w:id="66"/>
      <w:bookmarkEnd w:id="67"/>
      <w:bookmarkEnd w:id="68"/>
      <w:bookmarkEnd w:id="69"/>
    </w:p>
    <w:p w14:paraId="49DB0B60" w14:textId="45E16FD7" w:rsidR="00E63450" w:rsidRDefault="00E63450" w:rsidP="00E63450">
      <w:pPr>
        <w:pStyle w:val="2"/>
        <w:rPr>
          <w:rFonts w:eastAsia="宋体"/>
        </w:rPr>
      </w:pPr>
      <w:r w:rsidRPr="00FC4746">
        <w:t>How to hand</w:t>
      </w:r>
      <w:r>
        <w:t>le</w:t>
      </w:r>
      <w:r w:rsidRPr="00FC4746">
        <w:t xml:space="preserve"> </w:t>
      </w:r>
      <w:r>
        <w:t xml:space="preserve">BWP </w:t>
      </w:r>
      <w:r w:rsidRPr="00FC4746">
        <w:t>during handover?</w:t>
      </w:r>
    </w:p>
    <w:p w14:paraId="7044E7F7" w14:textId="5BF86210" w:rsidR="00837D48" w:rsidRDefault="00023EA6" w:rsidP="00837D48">
      <w:pPr>
        <w:overflowPunct/>
        <w:autoSpaceDE/>
        <w:autoSpaceDN/>
        <w:adjustRightInd/>
        <w:spacing w:after="0"/>
        <w:textAlignment w:val="auto"/>
        <w:rPr>
          <w:rFonts w:eastAsia="宋体" w:cs="Arial"/>
        </w:rPr>
      </w:pPr>
      <w:r>
        <w:rPr>
          <w:rFonts w:eastAsia="宋体" w:cs="Arial" w:hint="eastAsia"/>
        </w:rPr>
        <w:t>R</w:t>
      </w:r>
      <w:r>
        <w:rPr>
          <w:rFonts w:eastAsia="宋体" w:cs="Arial"/>
        </w:rPr>
        <w:t>egarding to BWP handling during handover, one important issue is whether UE should switch to the initial BWP or UE should be configured with an active BWP directly in handover command.  We think that if UE needs to perform RACH via initial BWP, i.e., there is no RACH resources in an active BWP, UE should switch to initial BWP.  However, if there are RACH resources in an active BWP, UE can be configured with an active BWP in stead of initial BWP in target side.  Since the network side knows whether there are RACH resources in certain BWP, network can decide whether to indicate UE to switch to initial BWP or an active BWP in handover command.</w:t>
      </w:r>
    </w:p>
    <w:p w14:paraId="017AAE28" w14:textId="75E9E0F6" w:rsidR="00CE2C8E" w:rsidRDefault="00CE2C8E" w:rsidP="00CE2C8E"/>
    <w:p w14:paraId="4BE0C253" w14:textId="7ABA24B9" w:rsidR="00CE2C8E" w:rsidRPr="00837D48" w:rsidRDefault="00CE2C8E" w:rsidP="00CE2C8E">
      <w:pPr>
        <w:pStyle w:val="Proposal"/>
        <w:numPr>
          <w:ilvl w:val="0"/>
          <w:numId w:val="39"/>
        </w:numPr>
      </w:pPr>
      <w:bookmarkStart w:id="70" w:name="_Toc504493332"/>
      <w:bookmarkStart w:id="71" w:name="_Toc509914659"/>
      <w:bookmarkStart w:id="72" w:name="_Toc510131703"/>
      <w:bookmarkStart w:id="73" w:name="_Toc510185056"/>
      <w:bookmarkStart w:id="74" w:name="_Toc510185070"/>
      <w:bookmarkStart w:id="75" w:name="_Toc510190744"/>
      <w:bookmarkStart w:id="76" w:name="_Toc510701485"/>
      <w:bookmarkStart w:id="77" w:name="_Toc510701713"/>
      <w:bookmarkStart w:id="78" w:name="_Toc510701746"/>
      <w:bookmarkStart w:id="79" w:name="_Toc510701960"/>
      <w:bookmarkStart w:id="80" w:name="_Toc510711033"/>
      <w:bookmarkStart w:id="81" w:name="_Toc510712806"/>
      <w:bookmarkStart w:id="82" w:name="_Toc510736600"/>
      <w:bookmarkStart w:id="83" w:name="_Toc514444046"/>
      <w:r>
        <w:t xml:space="preserve">RAN2 agree </w:t>
      </w:r>
      <w:r w:rsidR="004A1D92">
        <w:t xml:space="preserve">that during handover, network can </w:t>
      </w:r>
      <w:r w:rsidR="00466B00">
        <w:t xml:space="preserve">decide and </w:t>
      </w:r>
      <w:r w:rsidR="004A1D92">
        <w:t>indicate UE to either switch to initial BWP or to be configured with an active BWP instead of initial BWP</w:t>
      </w:r>
      <w:r w:rsidRPr="00837D48">
        <w: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8F498BF" w14:textId="349FAE91" w:rsidR="00C01F33" w:rsidRPr="00CE0424" w:rsidRDefault="00C01F33" w:rsidP="00CE0424">
      <w:pPr>
        <w:pStyle w:val="1"/>
      </w:pPr>
      <w:r w:rsidRPr="00CE0424">
        <w:lastRenderedPageBreak/>
        <w:t>Conclusion</w:t>
      </w:r>
    </w:p>
    <w:p w14:paraId="6E8BCEC3" w14:textId="77777777" w:rsidR="00F433E3" w:rsidRDefault="00F433E3" w:rsidP="00A734F3">
      <w:pPr>
        <w:pStyle w:val="ab"/>
      </w:pPr>
      <w:r>
        <w:t>In this contribution, we discuss how UE determines the CN type and indicate to the ng-</w:t>
      </w:r>
      <w:proofErr w:type="spellStart"/>
      <w:r>
        <w:t>eNB</w:t>
      </w:r>
      <w:proofErr w:type="spellEnd"/>
      <w:r>
        <w:t xml:space="preserve"> and we have the following</w:t>
      </w:r>
      <w:r w:rsidR="008E065E" w:rsidRPr="00CE0424">
        <w:t>:</w:t>
      </w:r>
    </w:p>
    <w:p w14:paraId="7E2D1996" w14:textId="77777777" w:rsidR="00F433E3" w:rsidRDefault="00F433E3" w:rsidP="00A734F3">
      <w:pPr>
        <w:pStyle w:val="ab"/>
        <w:rPr>
          <w:b/>
          <w:bCs/>
        </w:rPr>
      </w:pPr>
    </w:p>
    <w:p w14:paraId="281BD848" w14:textId="77777777" w:rsidR="003B3353" w:rsidRDefault="00A734F3">
      <w:pPr>
        <w:pStyle w:val="11"/>
        <w:rPr>
          <w:rFonts w:asciiTheme="minorHAnsi" w:hAnsiTheme="minorHAnsi" w:cstheme="minorBidi"/>
          <w:b w:val="0"/>
          <w:kern w:val="2"/>
          <w:sz w:val="21"/>
        </w:rPr>
      </w:pPr>
      <w:r w:rsidRPr="00AD5542">
        <w:rPr>
          <w:b w:val="0"/>
          <w:bCs/>
          <w:szCs w:val="20"/>
        </w:rPr>
        <w:fldChar w:fldCharType="begin"/>
      </w:r>
      <w:r>
        <w:rPr>
          <w:bCs/>
        </w:rPr>
        <w:instrText xml:space="preserve"> TOC \f \n \p " " \t "Proposal,1" </w:instrText>
      </w:r>
      <w:r w:rsidRPr="00AD5542">
        <w:rPr>
          <w:b w:val="0"/>
          <w:bCs/>
          <w:szCs w:val="20"/>
        </w:rPr>
        <w:fldChar w:fldCharType="separate"/>
      </w:r>
      <w:r w:rsidR="003B3353">
        <w:t>Observation 1</w:t>
      </w:r>
      <w:r w:rsidR="003B3353">
        <w:rPr>
          <w:rFonts w:asciiTheme="minorHAnsi" w:hAnsiTheme="minorHAnsi" w:cstheme="minorBidi"/>
          <w:b w:val="0"/>
          <w:kern w:val="2"/>
          <w:sz w:val="21"/>
        </w:rPr>
        <w:tab/>
      </w:r>
      <w:r w:rsidR="003B3353" w:rsidRPr="000D325F">
        <w:rPr>
          <w:rFonts w:eastAsia="宋体" w:cs="Arial"/>
        </w:rPr>
        <w:t xml:space="preserve">PRACH root sequence in </w:t>
      </w:r>
      <w:r w:rsidR="003B3353" w:rsidRPr="000D325F">
        <w:rPr>
          <w:i/>
          <w:iCs/>
        </w:rPr>
        <w:t>RACH-ConfigCommon</w:t>
      </w:r>
      <w:r w:rsidR="003B3353">
        <w:t xml:space="preserve"> information element should not be the same for source and target cells</w:t>
      </w:r>
      <w:r w:rsidR="003B3353" w:rsidRPr="000D325F">
        <w:rPr>
          <w:rFonts w:eastAsia="宋体" w:cs="Arial"/>
        </w:rPr>
        <w:t>. Thus, if handover command should provide the root sequence to UE.</w:t>
      </w:r>
    </w:p>
    <w:p w14:paraId="4F4517A6" w14:textId="77777777" w:rsidR="003B3353" w:rsidRDefault="003B3353">
      <w:pPr>
        <w:pStyle w:val="11"/>
        <w:rPr>
          <w:rFonts w:asciiTheme="minorHAnsi" w:hAnsiTheme="minorHAnsi" w:cstheme="minorBidi"/>
          <w:b w:val="0"/>
          <w:kern w:val="2"/>
          <w:sz w:val="21"/>
        </w:rPr>
      </w:pPr>
      <w:r>
        <w:t>Proposal 1</w:t>
      </w:r>
      <w:r>
        <w:rPr>
          <w:rFonts w:asciiTheme="minorHAnsi" w:hAnsiTheme="minorHAnsi" w:cstheme="minorBidi"/>
          <w:b w:val="0"/>
          <w:kern w:val="2"/>
          <w:sz w:val="21"/>
        </w:rPr>
        <w:tab/>
      </w:r>
      <w:r>
        <w:t>RAN2 to discuss and confirm that previous agreement on optional common RACH configuration doesn’t apply to PRACH root sequence.</w:t>
      </w:r>
    </w:p>
    <w:p w14:paraId="28A91ED0" w14:textId="77777777" w:rsidR="003B3353" w:rsidRDefault="003B3353">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t xml:space="preserve">RAN2 to agree that </w:t>
      </w:r>
      <w:r w:rsidRPr="000D325F">
        <w:rPr>
          <w:rFonts w:eastAsia="宋体" w:cs="Arial"/>
          <w:i/>
        </w:rPr>
        <w:t>RACH-ConfigCommon</w:t>
      </w:r>
      <w:r w:rsidRPr="000D325F">
        <w:rPr>
          <w:rFonts w:eastAsia="宋体" w:cs="Arial"/>
        </w:rPr>
        <w:t xml:space="preserve"> IE should not contain RACH root sequence.</w:t>
      </w:r>
    </w:p>
    <w:p w14:paraId="7B0FCD6D" w14:textId="77777777" w:rsidR="003B3353" w:rsidRDefault="003B3353">
      <w:pPr>
        <w:pStyle w:val="11"/>
        <w:rPr>
          <w:rFonts w:asciiTheme="minorHAnsi" w:hAnsiTheme="minorHAnsi" w:cstheme="minorBidi"/>
          <w:b w:val="0"/>
          <w:kern w:val="2"/>
          <w:sz w:val="21"/>
        </w:rPr>
      </w:pPr>
      <w:r>
        <w:t>Proposal 3</w:t>
      </w:r>
      <w:r>
        <w:rPr>
          <w:rFonts w:asciiTheme="minorHAnsi" w:hAnsiTheme="minorHAnsi" w:cstheme="minorBidi"/>
          <w:b w:val="0"/>
          <w:kern w:val="2"/>
          <w:sz w:val="21"/>
        </w:rPr>
        <w:tab/>
      </w:r>
      <w:r>
        <w:t>For area-specific SIBs, if source and target cells are within the same system information area, source and target can skip the area specific SIBs in INM.</w:t>
      </w:r>
    </w:p>
    <w:p w14:paraId="2848D3D2" w14:textId="77777777" w:rsidR="003B3353" w:rsidRDefault="003B3353">
      <w:pPr>
        <w:pStyle w:val="11"/>
        <w:rPr>
          <w:rFonts w:asciiTheme="minorHAnsi" w:hAnsiTheme="minorHAnsi" w:cstheme="minorBidi"/>
          <w:b w:val="0"/>
          <w:kern w:val="2"/>
          <w:sz w:val="21"/>
        </w:rPr>
      </w:pPr>
      <w:r>
        <w:t>Proposal 4</w:t>
      </w:r>
      <w:r>
        <w:rPr>
          <w:rFonts w:asciiTheme="minorHAnsi" w:hAnsiTheme="minorHAnsi" w:cstheme="minorBidi"/>
          <w:b w:val="0"/>
          <w:kern w:val="2"/>
          <w:sz w:val="21"/>
        </w:rPr>
        <w:tab/>
      </w:r>
      <w:r>
        <w:t>Source gNB can also include at least cell specific SIs in handover preparation and target gNB can respond to source which SIBs are different in order to let UE have the latest SIBs of target side.</w:t>
      </w:r>
    </w:p>
    <w:p w14:paraId="0CF2F7A2" w14:textId="77777777" w:rsidR="003B3353" w:rsidRDefault="003B3353">
      <w:pPr>
        <w:pStyle w:val="11"/>
        <w:rPr>
          <w:rFonts w:asciiTheme="minorHAnsi" w:hAnsiTheme="minorHAnsi" w:cstheme="minorBidi"/>
          <w:b w:val="0"/>
          <w:kern w:val="2"/>
          <w:sz w:val="21"/>
        </w:rPr>
      </w:pPr>
      <w:r w:rsidRPr="000D325F">
        <w:rPr>
          <w:rFonts w:eastAsia="宋体" w:cs="Arial"/>
        </w:rPr>
        <w:t>Proposal 5</w:t>
      </w:r>
      <w:r>
        <w:rPr>
          <w:rFonts w:asciiTheme="minorHAnsi" w:hAnsiTheme="minorHAnsi" w:cstheme="minorBidi"/>
          <w:b w:val="0"/>
          <w:kern w:val="2"/>
          <w:sz w:val="21"/>
        </w:rPr>
        <w:tab/>
      </w:r>
      <w:r w:rsidRPr="000D325F">
        <w:rPr>
          <w:rFonts w:eastAsia="宋体" w:cs="Arial"/>
        </w:rPr>
        <w:t>For on-demand SI, UE has requested the SIB requested in source side or if the serving gNB knows this SIB is essential to UE and in target side this SIB is also on-demand, target gNB to provide the SI to UE via handover command.</w:t>
      </w:r>
    </w:p>
    <w:p w14:paraId="6012BB3F" w14:textId="77777777" w:rsidR="003B3353" w:rsidRDefault="003B3353">
      <w:pPr>
        <w:pStyle w:val="11"/>
        <w:rPr>
          <w:rFonts w:asciiTheme="minorHAnsi" w:hAnsiTheme="minorHAnsi" w:cstheme="minorBidi"/>
          <w:b w:val="0"/>
          <w:kern w:val="2"/>
          <w:sz w:val="21"/>
        </w:rPr>
      </w:pPr>
      <w:r>
        <w:t>Proposal 6</w:t>
      </w:r>
      <w:r>
        <w:rPr>
          <w:rFonts w:asciiTheme="minorHAnsi" w:hAnsiTheme="minorHAnsi" w:cstheme="minorBidi"/>
          <w:b w:val="0"/>
          <w:kern w:val="2"/>
          <w:sz w:val="21"/>
        </w:rPr>
        <w:tab/>
      </w:r>
      <w:r>
        <w:t>RAN2 agree that during handover, network can decide and indicate UE to either switch to initial BWP or to be configured with an active BWP instead of initial BWP.</w:t>
      </w:r>
    </w:p>
    <w:p w14:paraId="3EA8E563" w14:textId="36AD0EC1" w:rsidR="00F507D1" w:rsidRDefault="00A734F3" w:rsidP="00AC59FF">
      <w:pPr>
        <w:pStyle w:val="1"/>
        <w:numPr>
          <w:ilvl w:val="0"/>
          <w:numId w:val="0"/>
        </w:numPr>
      </w:pPr>
      <w:r w:rsidRPr="00AD5542">
        <w:rPr>
          <w:b/>
          <w:bCs/>
        </w:rPr>
        <w:fldChar w:fldCharType="end"/>
      </w:r>
      <w:bookmarkStart w:id="84" w:name="_In-sequence_SDU_delivery"/>
      <w:bookmarkEnd w:id="84"/>
      <w:r w:rsidR="00F507D1" w:rsidRPr="00CE0424">
        <w:t>References</w:t>
      </w:r>
    </w:p>
    <w:p w14:paraId="17D4011C" w14:textId="1DC5AADC" w:rsidR="004A1D92" w:rsidRPr="004A1D92" w:rsidRDefault="004A1D92" w:rsidP="004A1D92">
      <w:pPr>
        <w:pStyle w:val="af7"/>
        <w:numPr>
          <w:ilvl w:val="0"/>
          <w:numId w:val="45"/>
        </w:numPr>
      </w:pPr>
      <w:r>
        <w:rPr>
          <w:rFonts w:hint="eastAsia"/>
        </w:rPr>
        <w:t>R</w:t>
      </w:r>
      <w:r>
        <w:t>AN2#101 chairman notes</w:t>
      </w:r>
    </w:p>
    <w:sectPr w:rsidR="004A1D92"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81571" w14:textId="77777777" w:rsidR="00054943" w:rsidRDefault="00054943">
      <w:r>
        <w:separator/>
      </w:r>
    </w:p>
  </w:endnote>
  <w:endnote w:type="continuationSeparator" w:id="0">
    <w:p w14:paraId="3A61D2C2" w14:textId="77777777" w:rsidR="00054943" w:rsidRDefault="0005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9848" w14:textId="77777777" w:rsidR="00054943" w:rsidRDefault="00054943">
      <w:r>
        <w:separator/>
      </w:r>
    </w:p>
  </w:footnote>
  <w:footnote w:type="continuationSeparator" w:id="0">
    <w:p w14:paraId="5526DDC6" w14:textId="77777777" w:rsidR="00054943" w:rsidRDefault="00054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A9A54E1"/>
    <w:multiLevelType w:val="hybridMultilevel"/>
    <w:tmpl w:val="261ED0A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900CED"/>
    <w:multiLevelType w:val="hybridMultilevel"/>
    <w:tmpl w:val="2E56F324"/>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F35C50"/>
    <w:multiLevelType w:val="hybridMultilevel"/>
    <w:tmpl w:val="A3FC9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86123"/>
    <w:multiLevelType w:val="hybridMultilevel"/>
    <w:tmpl w:val="788C1260"/>
    <w:lvl w:ilvl="0" w:tplc="F39EBC38">
      <w:start w:val="1"/>
      <w:numFmt w:val="decimal"/>
      <w:lvlText w:val="Observation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2337350"/>
    <w:multiLevelType w:val="multilevel"/>
    <w:tmpl w:val="42337350"/>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20822"/>
    <w:multiLevelType w:val="hybridMultilevel"/>
    <w:tmpl w:val="4A18D29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633CF7"/>
    <w:multiLevelType w:val="hybridMultilevel"/>
    <w:tmpl w:val="3B4E950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5A4D28"/>
    <w:multiLevelType w:val="hybridMultilevel"/>
    <w:tmpl w:val="9E6AEC60"/>
    <w:lvl w:ilvl="0" w:tplc="E624811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6447D7"/>
    <w:multiLevelType w:val="hybridMultilevel"/>
    <w:tmpl w:val="94CE25C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0"/>
  </w:num>
  <w:num w:numId="8">
    <w:abstractNumId w:val="16"/>
  </w:num>
  <w:num w:numId="9">
    <w:abstractNumId w:val="14"/>
  </w:num>
  <w:num w:numId="10">
    <w:abstractNumId w:val="3"/>
  </w:num>
  <w:num w:numId="11">
    <w:abstractNumId w:val="2"/>
  </w:num>
  <w:num w:numId="12">
    <w:abstractNumId w:val="1"/>
  </w:num>
  <w:num w:numId="13">
    <w:abstractNumId w:val="27"/>
  </w:num>
  <w:num w:numId="14">
    <w:abstractNumId w:val="5"/>
  </w:num>
  <w:num w:numId="15">
    <w:abstractNumId w:val="7"/>
  </w:num>
  <w:num w:numId="16">
    <w:abstractNumId w:val="8"/>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0"/>
  </w:num>
  <w:num w:numId="20">
    <w:abstractNumId w:val="6"/>
  </w:num>
  <w:num w:numId="21">
    <w:abstractNumId w:val="31"/>
  </w:num>
  <w:num w:numId="22">
    <w:abstractNumId w:val="11"/>
  </w:num>
  <w:num w:numId="23">
    <w:abstractNumId w:val="21"/>
  </w:num>
  <w:num w:numId="24">
    <w:abstractNumId w:val="26"/>
  </w:num>
  <w:num w:numId="25">
    <w:abstractNumId w:val="9"/>
  </w:num>
  <w:num w:numId="26">
    <w:abstractNumId w:val="25"/>
  </w:num>
  <w:num w:numId="27">
    <w:abstractNumId w:val="23"/>
  </w:num>
  <w:num w:numId="28">
    <w:abstractNumId w:val="29"/>
  </w:num>
  <w:num w:numId="29">
    <w:abstractNumId w:val="18"/>
  </w:num>
  <w:num w:numId="30">
    <w:abstractNumId w:val="5"/>
  </w:num>
  <w:num w:numId="31">
    <w:abstractNumId w:val="5"/>
  </w:num>
  <w:num w:numId="32">
    <w:abstractNumId w:val="10"/>
  </w:num>
  <w:num w:numId="33">
    <w:abstractNumId w:val="18"/>
  </w:num>
  <w:num w:numId="34">
    <w:abstractNumId w:val="18"/>
  </w:num>
  <w:num w:numId="35">
    <w:abstractNumId w:val="17"/>
  </w:num>
  <w:num w:numId="36">
    <w:abstractNumId w:val="33"/>
  </w:num>
  <w:num w:numId="37">
    <w:abstractNumId w:val="18"/>
  </w:num>
  <w:num w:numId="38">
    <w:abstractNumId w:val="18"/>
  </w:num>
  <w:num w:numId="39">
    <w:abstractNumId w:val="28"/>
  </w:num>
  <w:num w:numId="40">
    <w:abstractNumId w:val="26"/>
  </w:num>
  <w:num w:numId="41">
    <w:abstractNumId w:val="18"/>
  </w:num>
  <w:num w:numId="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32"/>
  </w:num>
  <w:num w:numId="44">
    <w:abstractNumId w:val="5"/>
  </w:num>
  <w:num w:numId="45">
    <w:abstractNumId w:val="24"/>
  </w:num>
  <w:num w:numId="46">
    <w:abstractNumId w:val="0"/>
  </w:num>
  <w:num w:numId="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4943"/>
    <w:rsid w:val="0005606A"/>
    <w:rsid w:val="00057117"/>
    <w:rsid w:val="000616E7"/>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62FB"/>
    <w:rsid w:val="001063E6"/>
    <w:rsid w:val="00113CF4"/>
    <w:rsid w:val="001153EA"/>
    <w:rsid w:val="00115643"/>
    <w:rsid w:val="00115B88"/>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51B5"/>
    <w:rsid w:val="00162D9B"/>
    <w:rsid w:val="001659C1"/>
    <w:rsid w:val="00170C86"/>
    <w:rsid w:val="00173A8E"/>
    <w:rsid w:val="00177BF7"/>
    <w:rsid w:val="0018143F"/>
    <w:rsid w:val="00187A73"/>
    <w:rsid w:val="00190AC1"/>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5632"/>
    <w:rsid w:val="00235872"/>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C1C90"/>
    <w:rsid w:val="002C41E6"/>
    <w:rsid w:val="002D071A"/>
    <w:rsid w:val="002D220E"/>
    <w:rsid w:val="002D34B2"/>
    <w:rsid w:val="002D4EF1"/>
    <w:rsid w:val="002D4F7D"/>
    <w:rsid w:val="002D7637"/>
    <w:rsid w:val="002E17F2"/>
    <w:rsid w:val="002E2DA4"/>
    <w:rsid w:val="002E61B5"/>
    <w:rsid w:val="002E6BCD"/>
    <w:rsid w:val="002E6BF9"/>
    <w:rsid w:val="002E7CAE"/>
    <w:rsid w:val="002F2771"/>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353"/>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E7"/>
    <w:rsid w:val="00457565"/>
    <w:rsid w:val="00457B71"/>
    <w:rsid w:val="00463A36"/>
    <w:rsid w:val="00465DDE"/>
    <w:rsid w:val="004669E2"/>
    <w:rsid w:val="00466B00"/>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3ECE"/>
    <w:rsid w:val="00691301"/>
    <w:rsid w:val="006923C6"/>
    <w:rsid w:val="00693792"/>
    <w:rsid w:val="00695FC2"/>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C7CFA"/>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51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0151"/>
    <w:rsid w:val="008834EA"/>
    <w:rsid w:val="00890D00"/>
    <w:rsid w:val="008922C3"/>
    <w:rsid w:val="00893B97"/>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13B3"/>
    <w:rsid w:val="00902161"/>
    <w:rsid w:val="00902350"/>
    <w:rsid w:val="0090336B"/>
    <w:rsid w:val="009053AA"/>
    <w:rsid w:val="00906939"/>
    <w:rsid w:val="00907486"/>
    <w:rsid w:val="00910B7D"/>
    <w:rsid w:val="00911DFB"/>
    <w:rsid w:val="009139D9"/>
    <w:rsid w:val="009145D9"/>
    <w:rsid w:val="00914AD8"/>
    <w:rsid w:val="00916079"/>
    <w:rsid w:val="00917CE9"/>
    <w:rsid w:val="0092000D"/>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82C"/>
    <w:rsid w:val="009F2891"/>
    <w:rsid w:val="009F344F"/>
    <w:rsid w:val="009F4BE3"/>
    <w:rsid w:val="009F6EB2"/>
    <w:rsid w:val="00A00027"/>
    <w:rsid w:val="00A01DC8"/>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2E1D"/>
    <w:rsid w:val="00A5735F"/>
    <w:rsid w:val="00A61499"/>
    <w:rsid w:val="00A62A77"/>
    <w:rsid w:val="00A63483"/>
    <w:rsid w:val="00A657D7"/>
    <w:rsid w:val="00A660AC"/>
    <w:rsid w:val="00A67E6C"/>
    <w:rsid w:val="00A708F1"/>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49FB"/>
    <w:rsid w:val="00AC4F85"/>
    <w:rsid w:val="00AC5713"/>
    <w:rsid w:val="00AC59FF"/>
    <w:rsid w:val="00AC5A10"/>
    <w:rsid w:val="00AD0AA3"/>
    <w:rsid w:val="00AD378C"/>
    <w:rsid w:val="00AD3F94"/>
    <w:rsid w:val="00AD4A5A"/>
    <w:rsid w:val="00AD5542"/>
    <w:rsid w:val="00AD6AB6"/>
    <w:rsid w:val="00AE1D6A"/>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72AA"/>
    <w:rsid w:val="00B40445"/>
    <w:rsid w:val="00B40E8C"/>
    <w:rsid w:val="00B41888"/>
    <w:rsid w:val="00B43CBD"/>
    <w:rsid w:val="00B43F8D"/>
    <w:rsid w:val="00B45A52"/>
    <w:rsid w:val="00B46175"/>
    <w:rsid w:val="00B46B50"/>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4CA1"/>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1188"/>
    <w:rsid w:val="00CD1F71"/>
    <w:rsid w:val="00CD2ED1"/>
    <w:rsid w:val="00CD337B"/>
    <w:rsid w:val="00CE0424"/>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E4E"/>
    <w:rsid w:val="00D239A7"/>
    <w:rsid w:val="00D23F47"/>
    <w:rsid w:val="00D26008"/>
    <w:rsid w:val="00D27CA9"/>
    <w:rsid w:val="00D302C2"/>
    <w:rsid w:val="00D3566E"/>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6208"/>
    <w:rsid w:val="00EC27C6"/>
    <w:rsid w:val="00EC4207"/>
    <w:rsid w:val="00EC495E"/>
    <w:rsid w:val="00EC5653"/>
    <w:rsid w:val="00EC71CE"/>
    <w:rsid w:val="00ED1006"/>
    <w:rsid w:val="00ED3DFA"/>
    <w:rsid w:val="00ED4CB7"/>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A53"/>
    <w:rsid w:val="00F40F0C"/>
    <w:rsid w:val="00F433E3"/>
    <w:rsid w:val="00F46056"/>
    <w:rsid w:val="00F467E9"/>
    <w:rsid w:val="00F4766C"/>
    <w:rsid w:val="00F47B5D"/>
    <w:rsid w:val="00F5060E"/>
    <w:rsid w:val="00F507D1"/>
    <w:rsid w:val="00F519CE"/>
    <w:rsid w:val="00F51ADA"/>
    <w:rsid w:val="00F53EE2"/>
    <w:rsid w:val="00F55E3F"/>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13"/>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E6D33-E0AD-4D0F-B852-A810EAF1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3</cp:revision>
  <cp:lastPrinted>2008-01-31T00:09:00Z</cp:lastPrinted>
  <dcterms:created xsi:type="dcterms:W3CDTF">2018-05-18T13:58:00Z</dcterms:created>
  <dcterms:modified xsi:type="dcterms:W3CDTF">2018-05-18T13:58:00Z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