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99DB7" w14:textId="17A58FC5" w:rsidR="00427E67" w:rsidRPr="00EE6198" w:rsidRDefault="00427E67" w:rsidP="00427E67">
      <w:pPr>
        <w:pStyle w:val="Header"/>
        <w:tabs>
          <w:tab w:val="right" w:pos="9639"/>
        </w:tabs>
        <w:rPr>
          <w:sz w:val="24"/>
          <w:lang w:val="en-GB" w:eastAsia="zh-CN"/>
        </w:rPr>
      </w:pPr>
      <w:bookmarkStart w:id="0" w:name="_GoBack"/>
      <w:bookmarkEnd w:id="0"/>
      <w:r w:rsidRPr="00EE6198">
        <w:rPr>
          <w:sz w:val="24"/>
          <w:lang w:val="en-GB" w:eastAsia="zh-CN"/>
        </w:rPr>
        <w:t xml:space="preserve">3GPP TSG-RAN WG2 </w:t>
      </w:r>
      <w:r>
        <w:rPr>
          <w:sz w:val="24"/>
          <w:lang w:val="en-GB" w:eastAsia="zh-CN"/>
        </w:rPr>
        <w:t>Meeting 102</w:t>
      </w:r>
      <w:r w:rsidRPr="00EE6198">
        <w:rPr>
          <w:sz w:val="24"/>
          <w:lang w:val="en-GB" w:eastAsia="zh-CN"/>
        </w:rPr>
        <w:tab/>
      </w:r>
      <w:r w:rsidR="00E94B46" w:rsidRPr="00E94B46">
        <w:rPr>
          <w:sz w:val="24"/>
          <w:lang w:val="en-GB" w:eastAsia="zh-CN"/>
        </w:rPr>
        <w:t>R2-1807342</w:t>
      </w:r>
    </w:p>
    <w:p w14:paraId="77D44234" w14:textId="77777777" w:rsidR="00427E67" w:rsidRPr="00550983" w:rsidRDefault="00427E67" w:rsidP="00427E67">
      <w:pPr>
        <w:pStyle w:val="Header"/>
        <w:tabs>
          <w:tab w:val="right" w:pos="9639"/>
        </w:tabs>
        <w:rPr>
          <w:sz w:val="24"/>
          <w:lang w:val="en-GB" w:eastAsia="zh-CN"/>
        </w:rPr>
      </w:pPr>
      <w:r w:rsidRPr="00550983">
        <w:rPr>
          <w:sz w:val="24"/>
          <w:lang w:val="en-GB" w:eastAsia="zh-CN"/>
        </w:rPr>
        <w:t xml:space="preserve">Busan, Korea, 21st – 25th May 2018                 </w:t>
      </w:r>
    </w:p>
    <w:p w14:paraId="24FCC518" w14:textId="77777777" w:rsidR="00427E67" w:rsidRPr="00EE6198" w:rsidRDefault="00427E67" w:rsidP="00427E67">
      <w:pPr>
        <w:pStyle w:val="Header"/>
        <w:tabs>
          <w:tab w:val="right" w:pos="9639"/>
        </w:tabs>
        <w:rPr>
          <w:bCs/>
          <w:i/>
          <w:noProof w:val="0"/>
          <w:sz w:val="24"/>
        </w:rPr>
      </w:pPr>
      <w:r w:rsidRPr="009D56B1">
        <w:rPr>
          <w:noProof w:val="0"/>
          <w:sz w:val="24"/>
          <w:lang w:eastAsia="zh-CN"/>
        </w:rPr>
        <w:tab/>
      </w:r>
    </w:p>
    <w:p w14:paraId="1021FB78" w14:textId="784A2F7E" w:rsidR="00427E67" w:rsidRPr="009D56B1" w:rsidRDefault="00427E67" w:rsidP="00427E67">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550983">
        <w:rPr>
          <w:rFonts w:cs="Arial"/>
          <w:b/>
          <w:bCs/>
          <w:sz w:val="24"/>
          <w:lang w:val="en-US"/>
        </w:rPr>
        <w:t>10.</w:t>
      </w:r>
      <w:r>
        <w:rPr>
          <w:rFonts w:cs="Arial"/>
          <w:b/>
          <w:bCs/>
          <w:sz w:val="24"/>
          <w:lang w:val="en-US"/>
        </w:rPr>
        <w:t>3.1.4.3</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0ACFB7CC"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23EEA" w:rsidRPr="00423EEA">
        <w:rPr>
          <w:rFonts w:ascii="Arial" w:hAnsi="Arial" w:cs="Arial"/>
          <w:b/>
          <w:bCs/>
          <w:sz w:val="24"/>
        </w:rPr>
        <w:t xml:space="preserve">On </w:t>
      </w:r>
      <w:r w:rsidR="004B03A0">
        <w:rPr>
          <w:rFonts w:ascii="Arial" w:hAnsi="Arial" w:cs="Arial"/>
          <w:b/>
          <w:bCs/>
          <w:sz w:val="24"/>
        </w:rPr>
        <w:t>remaining issues for RACH</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4A0C1DC8" w14:textId="60F0F13F" w:rsidR="004B03A0" w:rsidRPr="006024EA" w:rsidRDefault="004B03A0" w:rsidP="006024EA">
      <w:pPr>
        <w:overflowPunct w:val="0"/>
        <w:autoSpaceDE w:val="0"/>
        <w:autoSpaceDN w:val="0"/>
        <w:adjustRightInd w:val="0"/>
        <w:spacing w:after="180" w:line="240" w:lineRule="auto"/>
        <w:textAlignment w:val="baseline"/>
        <w:rPr>
          <w:iCs/>
        </w:rPr>
      </w:pPr>
      <w:r>
        <w:rPr>
          <w:rFonts w:ascii="Times New Roman" w:hAnsi="Times New Roman"/>
          <w:sz w:val="20"/>
          <w:szCs w:val="20"/>
          <w:lang w:eastAsia="zh-CN"/>
        </w:rPr>
        <w:t>One of the outstanding issues on random access in NR which was discussed in the last RAN2 meeting was measurement results to be used for beam and/or carrier selection for PRACH transmissions. There was no agreement made in this regard and the following was captured as part of the chairman notes</w:t>
      </w:r>
      <w:r w:rsidR="00427E67">
        <w:rPr>
          <w:rFonts w:ascii="Times New Roman" w:hAnsi="Times New Roman"/>
          <w:sz w:val="20"/>
          <w:szCs w:val="20"/>
          <w:lang w:eastAsia="zh-CN"/>
        </w:rPr>
        <w:t xml:space="preserve"> </w:t>
      </w:r>
      <w:sdt>
        <w:sdtPr>
          <w:rPr>
            <w:rFonts w:ascii="Times New Roman" w:hAnsi="Times New Roman"/>
            <w:sz w:val="20"/>
            <w:szCs w:val="20"/>
            <w:lang w:eastAsia="zh-CN"/>
          </w:rPr>
          <w:id w:val="-1219823263"/>
          <w:citation/>
        </w:sdtPr>
        <w:sdtEndPr/>
        <w:sdtContent>
          <w:r w:rsidR="00427E67">
            <w:rPr>
              <w:rFonts w:ascii="Times New Roman" w:hAnsi="Times New Roman"/>
              <w:sz w:val="20"/>
              <w:szCs w:val="20"/>
              <w:lang w:eastAsia="zh-CN"/>
            </w:rPr>
            <w:fldChar w:fldCharType="begin"/>
          </w:r>
          <w:r w:rsidR="00427E67">
            <w:rPr>
              <w:rFonts w:ascii="Times New Roman" w:hAnsi="Times New Roman"/>
              <w:sz w:val="20"/>
              <w:szCs w:val="20"/>
              <w:lang w:eastAsia="zh-CN"/>
            </w:rPr>
            <w:instrText xml:space="preserve"> CITATION RAN2101bisCN \l 1033 </w:instrText>
          </w:r>
          <w:r w:rsidR="00427E67">
            <w:rPr>
              <w:rFonts w:ascii="Times New Roman" w:hAnsi="Times New Roman"/>
              <w:sz w:val="20"/>
              <w:szCs w:val="20"/>
              <w:lang w:eastAsia="zh-CN"/>
            </w:rPr>
            <w:fldChar w:fldCharType="separate"/>
          </w:r>
          <w:r w:rsidR="001245E4" w:rsidRPr="001245E4">
            <w:rPr>
              <w:rFonts w:ascii="Times New Roman" w:hAnsi="Times New Roman"/>
              <w:noProof/>
              <w:sz w:val="20"/>
              <w:szCs w:val="20"/>
              <w:lang w:eastAsia="zh-CN"/>
            </w:rPr>
            <w:t>[1]</w:t>
          </w:r>
          <w:r w:rsidR="00427E67">
            <w:rPr>
              <w:rFonts w:ascii="Times New Roman" w:hAnsi="Times New Roman"/>
              <w:sz w:val="20"/>
              <w:szCs w:val="20"/>
              <w:lang w:eastAsia="zh-CN"/>
            </w:rPr>
            <w:fldChar w:fldCharType="end"/>
          </w:r>
        </w:sdtContent>
      </w:sdt>
      <w:r w:rsidR="000355BB">
        <w:rPr>
          <w:rFonts w:ascii="Times New Roman" w:hAnsi="Times New Roman"/>
          <w:sz w:val="20"/>
          <w:szCs w:val="20"/>
          <w:lang w:eastAsia="zh-CN"/>
        </w:rPr>
        <w:t>:</w:t>
      </w:r>
    </w:p>
    <w:tbl>
      <w:tblPr>
        <w:tblStyle w:val="TableGrid"/>
        <w:tblW w:w="0" w:type="auto"/>
        <w:tblLook w:val="04A0" w:firstRow="1" w:lastRow="0" w:firstColumn="1" w:lastColumn="0" w:noHBand="0" w:noVBand="1"/>
      </w:tblPr>
      <w:tblGrid>
        <w:gridCol w:w="9629"/>
      </w:tblGrid>
      <w:tr w:rsidR="006024EA" w14:paraId="451C0B4D" w14:textId="77777777" w:rsidTr="006024EA">
        <w:tc>
          <w:tcPr>
            <w:tcW w:w="9629" w:type="dxa"/>
          </w:tcPr>
          <w:p w14:paraId="3242BB66" w14:textId="10EF6D80" w:rsidR="006024EA" w:rsidRDefault="006024EA" w:rsidP="006024EA">
            <w:pPr>
              <w:pStyle w:val="Agreement"/>
              <w:rPr>
                <w:rFonts w:ascii="Times New Roman" w:hAnsi="Times New Roman"/>
                <w:szCs w:val="20"/>
                <w:lang w:eastAsia="zh-CN"/>
              </w:rPr>
            </w:pPr>
            <w:r>
              <w:t xml:space="preserve">Postpone to next meeting (allow checking) </w:t>
            </w:r>
          </w:p>
        </w:tc>
      </w:tr>
    </w:tbl>
    <w:p w14:paraId="4DDBF294"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0E60F651" w14:textId="45AA57F3" w:rsidR="004B03A0" w:rsidRDefault="004B03A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In this contribution, we seek to analyze this aspect and provide our view. We also look at the need for further enhancement to Msg1 based SI request with regards to preamble (group) selection as it was discussed in the last meeting.</w:t>
      </w:r>
    </w:p>
    <w:p w14:paraId="4BA9D9A5" w14:textId="073BF353" w:rsidR="00690ED8" w:rsidRDefault="006242D5" w:rsidP="00690ED8">
      <w:pPr>
        <w:pStyle w:val="Tdoc"/>
        <w:ind w:left="0" w:firstLine="0"/>
      </w:pPr>
      <w:r>
        <w:t>Discussion</w:t>
      </w:r>
    </w:p>
    <w:p w14:paraId="4E4E3CC8" w14:textId="0E7EE831" w:rsidR="00957A1E" w:rsidRPr="00F9599A" w:rsidRDefault="00957A1E" w:rsidP="00957A1E">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4B03A0">
        <w:rPr>
          <w:rFonts w:ascii="Arial" w:eastAsia="MS Mincho" w:hAnsi="Arial" w:cs="Arial"/>
          <w:bCs/>
          <w:sz w:val="26"/>
          <w:szCs w:val="26"/>
          <w:lang w:val="en-GB" w:eastAsia="en-GB"/>
        </w:rPr>
        <w:t>L1 vs L3 measurement filtering</w:t>
      </w:r>
    </w:p>
    <w:p w14:paraId="0F6E989F" w14:textId="4B224B3E" w:rsidR="004B03A0" w:rsidRDefault="004B03A0" w:rsidP="007177E6">
      <w:pPr>
        <w:rPr>
          <w:rFonts w:ascii="Times New Roman" w:hAnsi="Times New Roman"/>
          <w:sz w:val="20"/>
          <w:szCs w:val="20"/>
        </w:rPr>
      </w:pPr>
      <w:r>
        <w:rPr>
          <w:rFonts w:ascii="Times New Roman" w:hAnsi="Times New Roman"/>
          <w:sz w:val="20"/>
          <w:szCs w:val="20"/>
        </w:rPr>
        <w:t xml:space="preserve">The aspect of whether to consider L1 or L3 filtered RSRP values for the purpose of beam and carrier selection for PRACH transmission was brought up in the last meeting. Before delving into the discussion, it should be noted that the discussion on whether to use L1 or L3 filtered results is only applicable for CONNECTED mode, i.e. when the UE has been configured with the corresponding filtering coefficients. For initial access and random access triggered for beam failure recovery, L3 filtered results are anyway not available and L1 RSRP is used. For the other cases, the only motivation for using L3 results is to potentially reduce ping-pong and fluctuation in RSRP measurements. However, as mentioned by several companies during the discussion, a unified UE behavior is preferred in this case for consistency. </w:t>
      </w:r>
    </w:p>
    <w:p w14:paraId="295CAB33" w14:textId="6A294A6A" w:rsidR="004B03A0" w:rsidRDefault="004B03A0" w:rsidP="007177E6">
      <w:pPr>
        <w:rPr>
          <w:rFonts w:ascii="Times New Roman" w:hAnsi="Times New Roman"/>
          <w:sz w:val="20"/>
          <w:szCs w:val="20"/>
        </w:rPr>
      </w:pPr>
      <w:r>
        <w:rPr>
          <w:rFonts w:ascii="Times New Roman" w:hAnsi="Times New Roman"/>
          <w:sz w:val="20"/>
          <w:szCs w:val="20"/>
        </w:rPr>
        <w:t xml:space="preserve">In addition, some additional rules might be considered on top of L1 RSRP values (e.g. based on BLER), but there is no sufficient motivation for doing so in our view, especially since it would lead to increased specification efforts with little demonstrable gain. </w:t>
      </w:r>
      <w:r w:rsidR="001245E4">
        <w:rPr>
          <w:rFonts w:ascii="Times New Roman" w:hAnsi="Times New Roman"/>
          <w:sz w:val="20"/>
          <w:szCs w:val="20"/>
        </w:rPr>
        <w:t xml:space="preserve">Additionally, the incoming LS from RAN1 on beam failure recovery timer </w:t>
      </w:r>
      <w:sdt>
        <w:sdtPr>
          <w:rPr>
            <w:rFonts w:ascii="Times New Roman" w:hAnsi="Times New Roman"/>
            <w:sz w:val="20"/>
            <w:szCs w:val="20"/>
          </w:rPr>
          <w:id w:val="-1289420209"/>
          <w:citation/>
        </w:sdtPr>
        <w:sdtEndPr/>
        <w:sdtContent>
          <w:r w:rsidR="001245E4">
            <w:rPr>
              <w:rFonts w:ascii="Times New Roman" w:hAnsi="Times New Roman"/>
              <w:sz w:val="20"/>
              <w:szCs w:val="20"/>
            </w:rPr>
            <w:fldChar w:fldCharType="begin"/>
          </w:r>
          <w:r w:rsidR="001245E4">
            <w:rPr>
              <w:rFonts w:ascii="Times New Roman" w:hAnsi="Times New Roman"/>
              <w:sz w:val="20"/>
              <w:szCs w:val="20"/>
            </w:rPr>
            <w:instrText xml:space="preserve"> CITATION RAN1LSBFRTimer \l 1033 </w:instrText>
          </w:r>
          <w:r w:rsidR="001245E4">
            <w:rPr>
              <w:rFonts w:ascii="Times New Roman" w:hAnsi="Times New Roman"/>
              <w:sz w:val="20"/>
              <w:szCs w:val="20"/>
            </w:rPr>
            <w:fldChar w:fldCharType="separate"/>
          </w:r>
          <w:r w:rsidR="001245E4" w:rsidRPr="001245E4">
            <w:rPr>
              <w:rFonts w:ascii="Times New Roman" w:hAnsi="Times New Roman"/>
              <w:noProof/>
              <w:sz w:val="20"/>
              <w:szCs w:val="20"/>
            </w:rPr>
            <w:t>[2]</w:t>
          </w:r>
          <w:r w:rsidR="001245E4">
            <w:rPr>
              <w:rFonts w:ascii="Times New Roman" w:hAnsi="Times New Roman"/>
              <w:sz w:val="20"/>
              <w:szCs w:val="20"/>
            </w:rPr>
            <w:fldChar w:fldCharType="end"/>
          </w:r>
        </w:sdtContent>
      </w:sdt>
      <w:r w:rsidR="001245E4">
        <w:rPr>
          <w:rFonts w:ascii="Times New Roman" w:hAnsi="Times New Roman"/>
          <w:sz w:val="20"/>
          <w:szCs w:val="20"/>
        </w:rPr>
        <w:t xml:space="preserve"> also assumes L1 RSRP values to be utilized for the purpose of evaluating particular beam(s) for contention-free preamble transmission, so it naturally follows that L1 values should be used in MAC procedures as well. </w:t>
      </w:r>
      <w:r>
        <w:rPr>
          <w:rFonts w:ascii="Times New Roman" w:hAnsi="Times New Roman"/>
          <w:sz w:val="20"/>
          <w:szCs w:val="20"/>
        </w:rPr>
        <w:t xml:space="preserve">So, we propose to not consider any other enhancements beyond simply using L1 values. If needed, RAN1 can consider this aspect as beam selection and measurement is primarily a PHY aspect and defined in RAN1 specifications. </w:t>
      </w:r>
    </w:p>
    <w:p w14:paraId="168017EB" w14:textId="1251B3CB" w:rsidR="004B03A0" w:rsidRPr="004B03A0" w:rsidRDefault="004B03A0" w:rsidP="004B03A0">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L1 filtered RSRP values should be used in MAC for UL beam determination for PRACH transmissions.</w:t>
      </w:r>
    </w:p>
    <w:p w14:paraId="668A81D3" w14:textId="2D5DBE0F" w:rsidR="00AB045C" w:rsidRPr="004B03A0" w:rsidRDefault="004B03A0" w:rsidP="005D622A">
      <w:pPr>
        <w:rPr>
          <w:rFonts w:ascii="Times New Roman" w:eastAsia="Times New Roman" w:hAnsi="Times New Roman"/>
          <w:bCs/>
          <w:sz w:val="20"/>
          <w:szCs w:val="20"/>
          <w:lang w:eastAsia="zh-CN"/>
        </w:rPr>
      </w:pPr>
      <w:r>
        <w:rPr>
          <w:rFonts w:ascii="Times New Roman" w:eastAsia="Times New Roman" w:hAnsi="Times New Roman"/>
          <w:bCs/>
          <w:sz w:val="20"/>
          <w:szCs w:val="20"/>
          <w:lang w:eastAsia="zh-CN"/>
        </w:rPr>
        <w:t>In terms of capturing this aspect in the MAC specification, a note can be include</w:t>
      </w:r>
      <w:r w:rsidR="00CC6A8C">
        <w:rPr>
          <w:rFonts w:ascii="Times New Roman" w:eastAsia="Times New Roman" w:hAnsi="Times New Roman"/>
          <w:bCs/>
          <w:sz w:val="20"/>
          <w:szCs w:val="20"/>
          <w:lang w:eastAsia="zh-CN"/>
        </w:rPr>
        <w:t xml:space="preserve">d in </w:t>
      </w:r>
      <w:r w:rsidR="005D622A">
        <w:rPr>
          <w:rFonts w:ascii="Times New Roman" w:eastAsia="Times New Roman" w:hAnsi="Times New Roman"/>
          <w:bCs/>
          <w:sz w:val="20"/>
          <w:szCs w:val="20"/>
          <w:lang w:eastAsia="zh-CN"/>
        </w:rPr>
        <w:t xml:space="preserve">TS 38.321 </w:t>
      </w:r>
      <w:r w:rsidR="00CC6A8C">
        <w:rPr>
          <w:rFonts w:ascii="Times New Roman" w:eastAsia="Times New Roman" w:hAnsi="Times New Roman"/>
          <w:bCs/>
          <w:sz w:val="20"/>
          <w:szCs w:val="20"/>
          <w:lang w:eastAsia="zh-CN"/>
        </w:rPr>
        <w:t>sec</w:t>
      </w:r>
      <w:r w:rsidR="005D622A">
        <w:rPr>
          <w:rFonts w:ascii="Times New Roman" w:eastAsia="Times New Roman" w:hAnsi="Times New Roman"/>
          <w:bCs/>
          <w:sz w:val="20"/>
          <w:szCs w:val="20"/>
          <w:lang w:eastAsia="zh-CN"/>
        </w:rPr>
        <w:t>tion</w:t>
      </w:r>
      <w:r>
        <w:rPr>
          <w:rFonts w:ascii="Times New Roman" w:eastAsia="Times New Roman" w:hAnsi="Times New Roman"/>
          <w:bCs/>
          <w:sz w:val="20"/>
          <w:szCs w:val="20"/>
          <w:lang w:eastAsia="zh-CN"/>
        </w:rPr>
        <w:t xml:space="preserve"> </w:t>
      </w:r>
      <w:r w:rsidR="00427E67">
        <w:rPr>
          <w:rFonts w:ascii="Times New Roman" w:eastAsia="Times New Roman" w:hAnsi="Times New Roman"/>
          <w:bCs/>
          <w:sz w:val="20"/>
          <w:szCs w:val="20"/>
          <w:lang w:eastAsia="zh-CN"/>
        </w:rPr>
        <w:t xml:space="preserve">5.1.2 </w:t>
      </w:r>
      <w:r w:rsidR="001245E4">
        <w:rPr>
          <w:rFonts w:ascii="Times New Roman" w:eastAsia="Times New Roman" w:hAnsi="Times New Roman"/>
          <w:bCs/>
          <w:sz w:val="20"/>
          <w:szCs w:val="20"/>
          <w:lang w:eastAsia="zh-CN"/>
        </w:rPr>
        <w:t>(</w:t>
      </w:r>
      <w:r w:rsidR="00427E67">
        <w:rPr>
          <w:rFonts w:ascii="Times New Roman" w:eastAsia="Times New Roman" w:hAnsi="Times New Roman"/>
          <w:bCs/>
          <w:sz w:val="20"/>
          <w:szCs w:val="20"/>
          <w:lang w:eastAsia="zh-CN"/>
        </w:rPr>
        <w:t xml:space="preserve">as in </w:t>
      </w:r>
      <w:sdt>
        <w:sdtPr>
          <w:rPr>
            <w:rFonts w:ascii="Times New Roman" w:eastAsia="Times New Roman" w:hAnsi="Times New Roman"/>
            <w:bCs/>
            <w:sz w:val="20"/>
            <w:szCs w:val="20"/>
            <w:lang w:eastAsia="zh-CN"/>
          </w:rPr>
          <w:id w:val="278074960"/>
          <w:citation/>
        </w:sdtPr>
        <w:sdtEndPr/>
        <w:sdtContent>
          <w:r w:rsidR="00427E67">
            <w:rPr>
              <w:rFonts w:ascii="Times New Roman" w:eastAsia="Times New Roman" w:hAnsi="Times New Roman"/>
              <w:bCs/>
              <w:sz w:val="20"/>
              <w:szCs w:val="20"/>
              <w:lang w:eastAsia="zh-CN"/>
            </w:rPr>
            <w:fldChar w:fldCharType="begin"/>
          </w:r>
          <w:r w:rsidR="00427E67">
            <w:rPr>
              <w:rFonts w:ascii="Times New Roman" w:eastAsia="Times New Roman" w:hAnsi="Times New Roman"/>
              <w:bCs/>
              <w:sz w:val="20"/>
              <w:szCs w:val="20"/>
              <w:lang w:eastAsia="zh-CN"/>
            </w:rPr>
            <w:instrText xml:space="preserve"> CITATION VivoL1vsL3 \l 1033 </w:instrText>
          </w:r>
          <w:r w:rsidR="00427E67">
            <w:rPr>
              <w:rFonts w:ascii="Times New Roman" w:eastAsia="Times New Roman" w:hAnsi="Times New Roman"/>
              <w:bCs/>
              <w:sz w:val="20"/>
              <w:szCs w:val="20"/>
              <w:lang w:eastAsia="zh-CN"/>
            </w:rPr>
            <w:fldChar w:fldCharType="separate"/>
          </w:r>
          <w:r w:rsidR="001245E4" w:rsidRPr="001245E4">
            <w:rPr>
              <w:rFonts w:ascii="Times New Roman" w:eastAsia="Times New Roman" w:hAnsi="Times New Roman"/>
              <w:noProof/>
              <w:sz w:val="20"/>
              <w:szCs w:val="20"/>
              <w:lang w:eastAsia="zh-CN"/>
            </w:rPr>
            <w:t>[3]</w:t>
          </w:r>
          <w:r w:rsidR="00427E67">
            <w:rPr>
              <w:rFonts w:ascii="Times New Roman" w:eastAsia="Times New Roman" w:hAnsi="Times New Roman"/>
              <w:bCs/>
              <w:sz w:val="20"/>
              <w:szCs w:val="20"/>
              <w:lang w:eastAsia="zh-CN"/>
            </w:rPr>
            <w:fldChar w:fldCharType="end"/>
          </w:r>
        </w:sdtContent>
      </w:sdt>
      <w:r w:rsidR="001245E4">
        <w:rPr>
          <w:rFonts w:ascii="Times New Roman" w:eastAsia="Times New Roman" w:hAnsi="Times New Roman"/>
          <w:bCs/>
          <w:sz w:val="20"/>
          <w:szCs w:val="20"/>
          <w:lang w:eastAsia="zh-CN"/>
        </w:rPr>
        <w:t>)</w:t>
      </w:r>
      <w:r w:rsidR="00CC6A8C">
        <w:rPr>
          <w:rFonts w:ascii="Times New Roman" w:eastAsia="Times New Roman" w:hAnsi="Times New Roman"/>
          <w:bCs/>
          <w:sz w:val="20"/>
          <w:szCs w:val="20"/>
          <w:lang w:eastAsia="zh-CN"/>
        </w:rPr>
        <w:t>.</w:t>
      </w:r>
    </w:p>
    <w:p w14:paraId="2145BBE1" w14:textId="54449BE6" w:rsidR="005A7EC0" w:rsidRPr="00BC3B63" w:rsidRDefault="004B03A0" w:rsidP="007F7B6E">
      <w:pPr>
        <w:pStyle w:val="ListParagraph"/>
        <w:widowControl w:val="0"/>
        <w:numPr>
          <w:ilvl w:val="1"/>
          <w:numId w:val="26"/>
        </w:numPr>
        <w:spacing w:before="240" w:after="60" w:line="240" w:lineRule="auto"/>
        <w:ind w:left="900"/>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Preamble selection for Msg1 based SI request</w:t>
      </w:r>
    </w:p>
    <w:p w14:paraId="1DE7F668" w14:textId="7A24806A" w:rsidR="00123F09" w:rsidRDefault="004B03A0" w:rsidP="00BC3B63">
      <w:pPr>
        <w:spacing w:before="240"/>
        <w:rPr>
          <w:rFonts w:ascii="Times New Roman" w:hAnsi="Times New Roman"/>
          <w:sz w:val="20"/>
        </w:rPr>
      </w:pPr>
      <w:r>
        <w:rPr>
          <w:rFonts w:ascii="Times New Roman" w:hAnsi="Times New Roman"/>
          <w:sz w:val="20"/>
        </w:rPr>
        <w:t>Another enhancement that was proposed and discussed in the last meeting on Msg1 based SI request</w:t>
      </w:r>
      <w:r w:rsidR="00335BFB">
        <w:rPr>
          <w:rFonts w:ascii="Times New Roman" w:hAnsi="Times New Roman"/>
          <w:sz w:val="20"/>
        </w:rPr>
        <w:t>. Specifically, it was proposed</w:t>
      </w:r>
      <w:r w:rsidR="00427E67">
        <w:rPr>
          <w:rFonts w:ascii="Times New Roman" w:hAnsi="Times New Roman"/>
          <w:sz w:val="20"/>
        </w:rPr>
        <w:t xml:space="preserve"> in </w:t>
      </w:r>
      <w:sdt>
        <w:sdtPr>
          <w:rPr>
            <w:rFonts w:ascii="Times New Roman" w:hAnsi="Times New Roman"/>
            <w:sz w:val="20"/>
          </w:rPr>
          <w:id w:val="949896283"/>
          <w:citation/>
        </w:sdtPr>
        <w:sdtEndPr/>
        <w:sdtContent>
          <w:r w:rsidR="00427E67">
            <w:rPr>
              <w:rFonts w:ascii="Times New Roman" w:hAnsi="Times New Roman"/>
              <w:sz w:val="20"/>
            </w:rPr>
            <w:fldChar w:fldCharType="begin"/>
          </w:r>
          <w:r w:rsidR="00427E67">
            <w:rPr>
              <w:rFonts w:ascii="Times New Roman" w:hAnsi="Times New Roman"/>
              <w:sz w:val="20"/>
            </w:rPr>
            <w:instrText xml:space="preserve"> CITATION SSSIrequest \l 1033 </w:instrText>
          </w:r>
          <w:r w:rsidR="00427E67">
            <w:rPr>
              <w:rFonts w:ascii="Times New Roman" w:hAnsi="Times New Roman"/>
              <w:sz w:val="20"/>
            </w:rPr>
            <w:fldChar w:fldCharType="separate"/>
          </w:r>
          <w:r w:rsidR="001245E4" w:rsidRPr="001245E4">
            <w:rPr>
              <w:rFonts w:ascii="Times New Roman" w:hAnsi="Times New Roman"/>
              <w:noProof/>
              <w:sz w:val="20"/>
            </w:rPr>
            <w:t>[4]</w:t>
          </w:r>
          <w:r w:rsidR="00427E67">
            <w:rPr>
              <w:rFonts w:ascii="Times New Roman" w:hAnsi="Times New Roman"/>
              <w:sz w:val="20"/>
            </w:rPr>
            <w:fldChar w:fldCharType="end"/>
          </w:r>
        </w:sdtContent>
      </w:sdt>
      <w:r w:rsidR="00335BFB">
        <w:rPr>
          <w:rFonts w:ascii="Times New Roman" w:hAnsi="Times New Roman"/>
          <w:sz w:val="20"/>
        </w:rPr>
        <w:t xml:space="preserve"> that for the case when the NW does not configure dedicated preamble for SI reques</w:t>
      </w:r>
      <w:r w:rsidR="00A74AC9">
        <w:rPr>
          <w:rFonts w:ascii="Times New Roman" w:hAnsi="Times New Roman"/>
          <w:sz w:val="20"/>
        </w:rPr>
        <w:t xml:space="preserve">t but dedicated </w:t>
      </w:r>
      <w:r w:rsidR="00335BFB">
        <w:rPr>
          <w:rFonts w:ascii="Times New Roman" w:hAnsi="Times New Roman"/>
          <w:sz w:val="20"/>
        </w:rPr>
        <w:t xml:space="preserve">PRACH resource is </w:t>
      </w:r>
      <w:r w:rsidR="00A74AC9">
        <w:rPr>
          <w:rFonts w:ascii="Times New Roman" w:hAnsi="Times New Roman"/>
          <w:sz w:val="20"/>
        </w:rPr>
        <w:t>configured</w:t>
      </w:r>
      <w:r w:rsidR="00335BFB">
        <w:rPr>
          <w:rFonts w:ascii="Times New Roman" w:hAnsi="Times New Roman"/>
          <w:sz w:val="20"/>
        </w:rPr>
        <w:t>, some additional UE behavior should be specified</w:t>
      </w:r>
      <w:r w:rsidR="00A74AC9">
        <w:rPr>
          <w:rFonts w:ascii="Times New Roman" w:hAnsi="Times New Roman"/>
          <w:sz w:val="20"/>
        </w:rPr>
        <w:t xml:space="preserve"> for Msg1 based SI request</w:t>
      </w:r>
      <w:r w:rsidR="00335BFB">
        <w:rPr>
          <w:rFonts w:ascii="Times New Roman" w:hAnsi="Times New Roman"/>
          <w:sz w:val="20"/>
        </w:rPr>
        <w:t xml:space="preserve">. This is also somewhat related to the email </w:t>
      </w:r>
      <w:r w:rsidR="00427E67">
        <w:rPr>
          <w:rFonts w:ascii="Times New Roman" w:hAnsi="Times New Roman"/>
          <w:sz w:val="20"/>
        </w:rPr>
        <w:t xml:space="preserve">discussion </w:t>
      </w:r>
      <w:sdt>
        <w:sdtPr>
          <w:rPr>
            <w:rFonts w:ascii="Times New Roman" w:hAnsi="Times New Roman"/>
            <w:sz w:val="20"/>
          </w:rPr>
          <w:id w:val="118819552"/>
          <w:citation/>
        </w:sdtPr>
        <w:sdtEndPr/>
        <w:sdtContent>
          <w:r w:rsidR="00427E67">
            <w:rPr>
              <w:rFonts w:ascii="Times New Roman" w:hAnsi="Times New Roman"/>
              <w:sz w:val="20"/>
            </w:rPr>
            <w:fldChar w:fldCharType="begin"/>
          </w:r>
          <w:r w:rsidR="00427E67">
            <w:rPr>
              <w:rFonts w:ascii="Times New Roman" w:hAnsi="Times New Roman"/>
              <w:sz w:val="20"/>
            </w:rPr>
            <w:instrText xml:space="preserve"> CITATION SSEmail \l 1033 </w:instrText>
          </w:r>
          <w:r w:rsidR="00427E67">
            <w:rPr>
              <w:rFonts w:ascii="Times New Roman" w:hAnsi="Times New Roman"/>
              <w:sz w:val="20"/>
            </w:rPr>
            <w:fldChar w:fldCharType="separate"/>
          </w:r>
          <w:r w:rsidR="001245E4" w:rsidRPr="001245E4">
            <w:rPr>
              <w:rFonts w:ascii="Times New Roman" w:hAnsi="Times New Roman"/>
              <w:noProof/>
              <w:sz w:val="20"/>
            </w:rPr>
            <w:t>[5]</w:t>
          </w:r>
          <w:r w:rsidR="00427E67">
            <w:rPr>
              <w:rFonts w:ascii="Times New Roman" w:hAnsi="Times New Roman"/>
              <w:sz w:val="20"/>
            </w:rPr>
            <w:fldChar w:fldCharType="end"/>
          </w:r>
        </w:sdtContent>
      </w:sdt>
      <w:r w:rsidR="00335BFB">
        <w:rPr>
          <w:rFonts w:ascii="Times New Roman" w:hAnsi="Times New Roman"/>
          <w:sz w:val="20"/>
        </w:rPr>
        <w:t xml:space="preserve">, </w:t>
      </w:r>
      <w:r w:rsidR="00452000">
        <w:rPr>
          <w:rFonts w:ascii="Times New Roman" w:hAnsi="Times New Roman"/>
          <w:sz w:val="20"/>
        </w:rPr>
        <w:t>but if it is agreed that</w:t>
      </w:r>
      <w:r w:rsidR="00A74AC9">
        <w:rPr>
          <w:rFonts w:ascii="Times New Roman" w:hAnsi="Times New Roman"/>
          <w:sz w:val="20"/>
        </w:rPr>
        <w:t xml:space="preserve"> dedicated PRACH resources but not </w:t>
      </w:r>
      <w:r w:rsidR="00766388">
        <w:rPr>
          <w:rFonts w:ascii="Times New Roman" w:hAnsi="Times New Roman"/>
          <w:sz w:val="20"/>
        </w:rPr>
        <w:t>p</w:t>
      </w:r>
      <w:r w:rsidR="00A74AC9">
        <w:rPr>
          <w:rFonts w:ascii="Times New Roman" w:hAnsi="Times New Roman"/>
          <w:sz w:val="20"/>
        </w:rPr>
        <w:t xml:space="preserve">reamble(s) are configured </w:t>
      </w:r>
      <w:r w:rsidR="00452000">
        <w:rPr>
          <w:rFonts w:ascii="Times New Roman" w:hAnsi="Times New Roman"/>
          <w:sz w:val="20"/>
        </w:rPr>
        <w:t>for SI request</w:t>
      </w:r>
      <w:r w:rsidR="00A74AC9">
        <w:rPr>
          <w:rFonts w:ascii="Times New Roman" w:hAnsi="Times New Roman"/>
          <w:sz w:val="20"/>
        </w:rPr>
        <w:t xml:space="preserve">, </w:t>
      </w:r>
      <w:r w:rsidR="00452000">
        <w:rPr>
          <w:rFonts w:ascii="Times New Roman" w:hAnsi="Times New Roman"/>
          <w:sz w:val="20"/>
        </w:rPr>
        <w:t xml:space="preserve">the question arises as to whether </w:t>
      </w:r>
      <w:r w:rsidR="00A74AC9">
        <w:rPr>
          <w:rFonts w:ascii="Times New Roman" w:hAnsi="Times New Roman"/>
          <w:sz w:val="20"/>
        </w:rPr>
        <w:t xml:space="preserve">the UE has to use existing preamble group selection rules. In this scenario, we think that what is already captured in the current MAC specification is sufficient (i.e. random selection on </w:t>
      </w:r>
      <w:r w:rsidR="00123103">
        <w:rPr>
          <w:rFonts w:ascii="Times New Roman" w:hAnsi="Times New Roman"/>
          <w:sz w:val="20"/>
        </w:rPr>
        <w:t>group A or B). Specifying choosing a particular preamble seems like an optimization at this point and there does not appear to be a critical need to modify existing behavior.</w:t>
      </w:r>
    </w:p>
    <w:p w14:paraId="6DC1B140" w14:textId="3B570467" w:rsidR="005A7EC0"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lastRenderedPageBreak/>
        <w:t>Proposal</w:t>
      </w:r>
      <w:r w:rsidR="00452000">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7877EE">
        <w:rPr>
          <w:rFonts w:ascii="Times New Roman" w:eastAsia="Times New Roman" w:hAnsi="Times New Roman"/>
          <w:bCs/>
          <w:i/>
          <w:sz w:val="20"/>
          <w:szCs w:val="20"/>
          <w:lang w:val="en-GB" w:eastAsia="zh-CN"/>
        </w:rPr>
        <w:t xml:space="preserve">No enhancements </w:t>
      </w:r>
      <w:r w:rsidR="00123103">
        <w:rPr>
          <w:rFonts w:ascii="Times New Roman" w:eastAsia="Times New Roman" w:hAnsi="Times New Roman"/>
          <w:bCs/>
          <w:i/>
          <w:sz w:val="20"/>
          <w:szCs w:val="20"/>
          <w:lang w:val="en-GB" w:eastAsia="zh-CN"/>
        </w:rPr>
        <w:t xml:space="preserve">in preamble selection </w:t>
      </w:r>
      <w:r w:rsidR="00DF51FD">
        <w:rPr>
          <w:rFonts w:ascii="Times New Roman" w:eastAsia="Times New Roman" w:hAnsi="Times New Roman"/>
          <w:bCs/>
          <w:i/>
          <w:sz w:val="20"/>
          <w:szCs w:val="20"/>
          <w:lang w:val="en-GB" w:eastAsia="zh-CN"/>
        </w:rPr>
        <w:t xml:space="preserve">procedure </w:t>
      </w:r>
      <w:r w:rsidR="00123103">
        <w:rPr>
          <w:rFonts w:ascii="Times New Roman" w:eastAsia="Times New Roman" w:hAnsi="Times New Roman"/>
          <w:bCs/>
          <w:i/>
          <w:sz w:val="20"/>
          <w:szCs w:val="20"/>
          <w:lang w:val="en-GB" w:eastAsia="zh-CN"/>
        </w:rPr>
        <w:t xml:space="preserve">is needed in case of Msg1 based SI request if </w:t>
      </w:r>
      <w:r w:rsidR="00123103" w:rsidRPr="00123103">
        <w:rPr>
          <w:rFonts w:ascii="Times New Roman" w:eastAsia="Times New Roman" w:hAnsi="Times New Roman"/>
          <w:bCs/>
          <w:i/>
          <w:sz w:val="20"/>
          <w:szCs w:val="20"/>
          <w:lang w:eastAsia="zh-CN"/>
        </w:rPr>
        <w:t>dedicated PRACH resources but not preamble(s) are configured</w:t>
      </w:r>
      <w:r w:rsidR="007877EE">
        <w:rPr>
          <w:rFonts w:ascii="Times New Roman" w:eastAsia="Times New Roman" w:hAnsi="Times New Roman"/>
          <w:bCs/>
          <w:i/>
          <w:sz w:val="20"/>
          <w:szCs w:val="20"/>
          <w:lang w:val="en-GB" w:eastAsia="zh-CN"/>
        </w:rPr>
        <w:t>.</w:t>
      </w:r>
    </w:p>
    <w:p w14:paraId="60EF47DF" w14:textId="0E3B805E" w:rsidR="008669B1" w:rsidRDefault="008669B1" w:rsidP="004A4A78">
      <w:pPr>
        <w:pStyle w:val="Tdoc"/>
        <w:ind w:left="-90" w:firstLine="0"/>
      </w:pPr>
      <w:r w:rsidRPr="00E0063E">
        <w:t>Conclusion</w:t>
      </w:r>
    </w:p>
    <w:p w14:paraId="250D672A" w14:textId="4570F22F" w:rsidR="006D136D" w:rsidRDefault="00043F8C" w:rsidP="006D136D">
      <w:pPr>
        <w:rPr>
          <w:rFonts w:ascii="Times New Roman" w:hAnsi="Times New Roman"/>
          <w:sz w:val="20"/>
        </w:rPr>
      </w:pPr>
      <w:r>
        <w:rPr>
          <w:rFonts w:ascii="Times New Roman" w:hAnsi="Times New Roman"/>
          <w:sz w:val="20"/>
        </w:rPr>
        <w:t xml:space="preserve">This contribution discusses </w:t>
      </w:r>
      <w:r w:rsidR="005C19D1">
        <w:rPr>
          <w:rFonts w:ascii="Times New Roman" w:hAnsi="Times New Roman"/>
          <w:sz w:val="20"/>
        </w:rPr>
        <w:t xml:space="preserve">some </w:t>
      </w:r>
      <w:r w:rsidR="00123103">
        <w:rPr>
          <w:rFonts w:ascii="Times New Roman" w:hAnsi="Times New Roman"/>
          <w:sz w:val="20"/>
        </w:rPr>
        <w:t>unresolved aspects on RACH</w:t>
      </w:r>
      <w:r w:rsidR="005C19D1">
        <w:rPr>
          <w:rFonts w:ascii="Times New Roman" w:hAnsi="Times New Roman"/>
          <w:sz w:val="20"/>
        </w:rPr>
        <w:t xml:space="preserve"> and makes the following observations and proposals</w:t>
      </w:r>
      <w:r>
        <w:rPr>
          <w:rFonts w:ascii="Times New Roman" w:hAnsi="Times New Roman"/>
          <w:sz w:val="20"/>
        </w:rPr>
        <w:t xml:space="preserve">: </w:t>
      </w:r>
    </w:p>
    <w:p w14:paraId="5AF3627A" w14:textId="77777777" w:rsidR="00123103" w:rsidRPr="004B03A0" w:rsidRDefault="00123103" w:rsidP="00123103">
      <w:pPr>
        <w:ind w:left="1170" w:hanging="1170"/>
        <w:rPr>
          <w:rFonts w:ascii="Times New Roman" w:eastAsia="Times New Roman" w:hAnsi="Times New Roman"/>
          <w:bCs/>
          <w:i/>
          <w:sz w:val="20"/>
          <w:szCs w:val="20"/>
          <w:lang w:eastAsia="zh-CN"/>
        </w:rPr>
      </w:pPr>
      <w:bookmarkStart w:id="1" w:name="_Ref458739888"/>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L1 filtered RSRP values should be used in MAC for UL beam determination for PRACH transmissions.</w:t>
      </w:r>
    </w:p>
    <w:p w14:paraId="7A91AEBF" w14:textId="77798A28" w:rsidR="00123103" w:rsidRDefault="00452000" w:rsidP="0012310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123103" w:rsidRPr="001C137C">
        <w:rPr>
          <w:rFonts w:ascii="Times New Roman" w:eastAsia="Times New Roman" w:hAnsi="Times New Roman"/>
          <w:b/>
          <w:bCs/>
          <w:sz w:val="20"/>
          <w:szCs w:val="20"/>
          <w:u w:val="single"/>
          <w:lang w:val="en-GB" w:eastAsia="zh-CN"/>
        </w:rPr>
        <w:t>:</w:t>
      </w:r>
      <w:r w:rsidR="00123103" w:rsidRPr="001C137C">
        <w:rPr>
          <w:rFonts w:ascii="Times New Roman" w:eastAsia="Times New Roman" w:hAnsi="Times New Roman"/>
          <w:b/>
          <w:bCs/>
          <w:sz w:val="20"/>
          <w:szCs w:val="20"/>
          <w:lang w:val="en-GB" w:eastAsia="zh-CN"/>
        </w:rPr>
        <w:tab/>
      </w:r>
      <w:r w:rsidR="00123103">
        <w:rPr>
          <w:rFonts w:ascii="Times New Roman" w:eastAsia="Times New Roman" w:hAnsi="Times New Roman"/>
          <w:bCs/>
          <w:i/>
          <w:sz w:val="20"/>
          <w:szCs w:val="20"/>
          <w:lang w:val="en-GB" w:eastAsia="zh-CN"/>
        </w:rPr>
        <w:t xml:space="preserve">No enhancements in preamble selection </w:t>
      </w:r>
      <w:r w:rsidR="00DF51FD">
        <w:rPr>
          <w:rFonts w:ascii="Times New Roman" w:eastAsia="Times New Roman" w:hAnsi="Times New Roman"/>
          <w:bCs/>
          <w:i/>
          <w:sz w:val="20"/>
          <w:szCs w:val="20"/>
          <w:lang w:val="en-GB" w:eastAsia="zh-CN"/>
        </w:rPr>
        <w:t xml:space="preserve">procedure </w:t>
      </w:r>
      <w:r w:rsidR="00123103">
        <w:rPr>
          <w:rFonts w:ascii="Times New Roman" w:eastAsia="Times New Roman" w:hAnsi="Times New Roman"/>
          <w:bCs/>
          <w:i/>
          <w:sz w:val="20"/>
          <w:szCs w:val="20"/>
          <w:lang w:val="en-GB" w:eastAsia="zh-CN"/>
        </w:rPr>
        <w:t xml:space="preserve">is needed in case of Msg1 based SI request if </w:t>
      </w:r>
      <w:r w:rsidR="00123103" w:rsidRPr="00123103">
        <w:rPr>
          <w:rFonts w:ascii="Times New Roman" w:eastAsia="Times New Roman" w:hAnsi="Times New Roman"/>
          <w:bCs/>
          <w:i/>
          <w:sz w:val="20"/>
          <w:szCs w:val="20"/>
          <w:lang w:eastAsia="zh-CN"/>
        </w:rPr>
        <w:t>dedicated PRACH resources but not preamble(s) are configured</w:t>
      </w:r>
      <w:r w:rsidR="00123103">
        <w:rPr>
          <w:rFonts w:ascii="Times New Roman" w:eastAsia="Times New Roman" w:hAnsi="Times New Roman"/>
          <w:bCs/>
          <w:i/>
          <w:sz w:val="20"/>
          <w:szCs w:val="20"/>
          <w:lang w:val="en-GB" w:eastAsia="zh-CN"/>
        </w:rPr>
        <w:t>.</w:t>
      </w:r>
    </w:p>
    <w:p w14:paraId="1FED1E09" w14:textId="77777777" w:rsidR="001245E4" w:rsidRDefault="006D136D" w:rsidP="00E73CF2">
      <w:pPr>
        <w:pStyle w:val="Tdoc"/>
        <w:numPr>
          <w:ilvl w:val="0"/>
          <w:numId w:val="0"/>
        </w:numPr>
        <w:rPr>
          <w:rFonts w:ascii="Calibri" w:eastAsia="SimSun" w:hAnsi="Calibri"/>
          <w:sz w:val="20"/>
          <w:lang w:eastAsia="en-US"/>
        </w:rPr>
      </w:pPr>
      <w:r>
        <w:t>References</w:t>
      </w:r>
      <w:bookmarkEnd w:id="1"/>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245E4" w14:paraId="1F752048" w14:textId="77777777">
        <w:trPr>
          <w:divId w:val="214855375"/>
          <w:tblCellSpacing w:w="15" w:type="dxa"/>
        </w:trPr>
        <w:tc>
          <w:tcPr>
            <w:tcW w:w="50" w:type="pct"/>
            <w:hideMark/>
          </w:tcPr>
          <w:p w14:paraId="2B129373" w14:textId="77777777" w:rsidR="001245E4" w:rsidRDefault="001245E4">
            <w:pPr>
              <w:pStyle w:val="Bibliography"/>
              <w:rPr>
                <w:noProof/>
                <w:sz w:val="24"/>
                <w:szCs w:val="24"/>
              </w:rPr>
            </w:pPr>
            <w:r>
              <w:rPr>
                <w:noProof/>
              </w:rPr>
              <w:t xml:space="preserve">[1] </w:t>
            </w:r>
          </w:p>
        </w:tc>
        <w:tc>
          <w:tcPr>
            <w:tcW w:w="0" w:type="auto"/>
            <w:hideMark/>
          </w:tcPr>
          <w:p w14:paraId="02AF7055" w14:textId="77777777" w:rsidR="001245E4" w:rsidRDefault="001245E4">
            <w:pPr>
              <w:pStyle w:val="Bibliography"/>
              <w:rPr>
                <w:noProof/>
              </w:rPr>
            </w:pPr>
            <w:r>
              <w:rPr>
                <w:noProof/>
              </w:rPr>
              <w:t xml:space="preserve">"R2-1806201, "RAN2#101bis: Report NR UP breakout session"". </w:t>
            </w:r>
          </w:p>
        </w:tc>
      </w:tr>
      <w:tr w:rsidR="001245E4" w14:paraId="63E51D8B" w14:textId="77777777">
        <w:trPr>
          <w:divId w:val="214855375"/>
          <w:tblCellSpacing w:w="15" w:type="dxa"/>
        </w:trPr>
        <w:tc>
          <w:tcPr>
            <w:tcW w:w="50" w:type="pct"/>
            <w:hideMark/>
          </w:tcPr>
          <w:p w14:paraId="6B6434DC" w14:textId="77777777" w:rsidR="001245E4" w:rsidRDefault="001245E4">
            <w:pPr>
              <w:pStyle w:val="Bibliography"/>
              <w:rPr>
                <w:noProof/>
              </w:rPr>
            </w:pPr>
            <w:r>
              <w:rPr>
                <w:noProof/>
              </w:rPr>
              <w:t xml:space="preserve">[2] </w:t>
            </w:r>
          </w:p>
        </w:tc>
        <w:tc>
          <w:tcPr>
            <w:tcW w:w="0" w:type="auto"/>
            <w:hideMark/>
          </w:tcPr>
          <w:p w14:paraId="7E4CD06F" w14:textId="77777777" w:rsidR="001245E4" w:rsidRDefault="001245E4">
            <w:pPr>
              <w:pStyle w:val="Bibliography"/>
              <w:rPr>
                <w:noProof/>
              </w:rPr>
            </w:pPr>
            <w:r>
              <w:rPr>
                <w:noProof/>
              </w:rPr>
              <w:t xml:space="preserve">"R1-1805622, "LS on beamFailureRecoveryTimer", RAN1". </w:t>
            </w:r>
          </w:p>
        </w:tc>
      </w:tr>
      <w:tr w:rsidR="001245E4" w14:paraId="2534615B" w14:textId="77777777">
        <w:trPr>
          <w:divId w:val="214855375"/>
          <w:tblCellSpacing w:w="15" w:type="dxa"/>
        </w:trPr>
        <w:tc>
          <w:tcPr>
            <w:tcW w:w="50" w:type="pct"/>
            <w:hideMark/>
          </w:tcPr>
          <w:p w14:paraId="67AB5B00" w14:textId="77777777" w:rsidR="001245E4" w:rsidRDefault="001245E4">
            <w:pPr>
              <w:pStyle w:val="Bibliography"/>
              <w:rPr>
                <w:noProof/>
              </w:rPr>
            </w:pPr>
            <w:r>
              <w:rPr>
                <w:noProof/>
              </w:rPr>
              <w:t xml:space="preserve">[3] </w:t>
            </w:r>
          </w:p>
        </w:tc>
        <w:tc>
          <w:tcPr>
            <w:tcW w:w="0" w:type="auto"/>
            <w:hideMark/>
          </w:tcPr>
          <w:p w14:paraId="33CEF25B" w14:textId="77777777" w:rsidR="001245E4" w:rsidRDefault="001245E4">
            <w:pPr>
              <w:pStyle w:val="Bibliography"/>
              <w:rPr>
                <w:noProof/>
              </w:rPr>
            </w:pPr>
            <w:r>
              <w:rPr>
                <w:noProof/>
              </w:rPr>
              <w:t xml:space="preserve">"R2-1804689, "Clarification on the measurement used for the selection of the beam or UL carrier", Vivo". </w:t>
            </w:r>
          </w:p>
        </w:tc>
      </w:tr>
      <w:tr w:rsidR="001245E4" w14:paraId="2419BF17" w14:textId="77777777">
        <w:trPr>
          <w:divId w:val="214855375"/>
          <w:tblCellSpacing w:w="15" w:type="dxa"/>
        </w:trPr>
        <w:tc>
          <w:tcPr>
            <w:tcW w:w="50" w:type="pct"/>
            <w:hideMark/>
          </w:tcPr>
          <w:p w14:paraId="6587A0CB" w14:textId="77777777" w:rsidR="001245E4" w:rsidRDefault="001245E4">
            <w:pPr>
              <w:pStyle w:val="Bibliography"/>
              <w:rPr>
                <w:noProof/>
              </w:rPr>
            </w:pPr>
            <w:r>
              <w:rPr>
                <w:noProof/>
              </w:rPr>
              <w:t xml:space="preserve">[4] </w:t>
            </w:r>
          </w:p>
        </w:tc>
        <w:tc>
          <w:tcPr>
            <w:tcW w:w="0" w:type="auto"/>
            <w:hideMark/>
          </w:tcPr>
          <w:p w14:paraId="1F30898E" w14:textId="77777777" w:rsidR="001245E4" w:rsidRDefault="001245E4">
            <w:pPr>
              <w:pStyle w:val="Bibliography"/>
              <w:rPr>
                <w:noProof/>
              </w:rPr>
            </w:pPr>
            <w:r>
              <w:rPr>
                <w:noProof/>
              </w:rPr>
              <w:t xml:space="preserve">"R2-1804307, "PRACH Preamble Selection for Msg1 based SI Request", Samsung Electronics Co., Ltd". </w:t>
            </w:r>
          </w:p>
        </w:tc>
      </w:tr>
      <w:tr w:rsidR="001245E4" w14:paraId="0B0A6948" w14:textId="77777777">
        <w:trPr>
          <w:divId w:val="214855375"/>
          <w:tblCellSpacing w:w="15" w:type="dxa"/>
        </w:trPr>
        <w:tc>
          <w:tcPr>
            <w:tcW w:w="50" w:type="pct"/>
            <w:hideMark/>
          </w:tcPr>
          <w:p w14:paraId="0AC4992B" w14:textId="77777777" w:rsidR="001245E4" w:rsidRDefault="001245E4">
            <w:pPr>
              <w:pStyle w:val="Bibliography"/>
              <w:rPr>
                <w:noProof/>
              </w:rPr>
            </w:pPr>
            <w:r>
              <w:rPr>
                <w:noProof/>
              </w:rPr>
              <w:t xml:space="preserve">[5] </w:t>
            </w:r>
          </w:p>
        </w:tc>
        <w:tc>
          <w:tcPr>
            <w:tcW w:w="0" w:type="auto"/>
            <w:hideMark/>
          </w:tcPr>
          <w:p w14:paraId="3334C8DC" w14:textId="77777777" w:rsidR="001245E4" w:rsidRDefault="001245E4">
            <w:pPr>
              <w:pStyle w:val="Bibliography"/>
              <w:rPr>
                <w:noProof/>
              </w:rPr>
            </w:pPr>
            <w:r>
              <w:rPr>
                <w:noProof/>
              </w:rPr>
              <w:t xml:space="preserve">"R2-180xxxx, [101bis#43][NR] RA resources for MSG1 on demand request, Samsung". </w:t>
            </w:r>
          </w:p>
        </w:tc>
      </w:tr>
    </w:tbl>
    <w:p w14:paraId="29759BF7" w14:textId="77777777" w:rsidR="001245E4" w:rsidRDefault="001245E4">
      <w:pPr>
        <w:divId w:val="214855375"/>
        <w:rPr>
          <w:rFonts w:eastAsia="Times New Roman"/>
          <w:noProof/>
        </w:rPr>
      </w:pPr>
    </w:p>
    <w:p w14:paraId="5F1FFD3C" w14:textId="51030E65" w:rsidR="0047293B" w:rsidRPr="00D46932" w:rsidRDefault="006D0EAF" w:rsidP="00E73CF2">
      <w:pPr>
        <w:pStyle w:val="Tdoc"/>
        <w:numPr>
          <w:ilvl w:val="0"/>
          <w:numId w:val="0"/>
        </w:numPr>
        <w:rPr>
          <w:rFonts w:ascii="Times New Roman" w:hAnsi="Times New Roman"/>
          <w:sz w:val="20"/>
        </w:rPr>
      </w:pPr>
      <w:r>
        <w:rPr>
          <w:rFonts w:ascii="Times New Roman" w:eastAsia="SimSun" w:hAnsi="Times New Roman"/>
          <w:noProof w:val="0"/>
          <w:sz w:val="20"/>
        </w:rPr>
        <w:fldChar w:fldCharType="end"/>
      </w:r>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7177E6" w:rsidRDefault="007177E6">
      <w:pPr>
        <w:spacing w:after="0" w:line="240" w:lineRule="auto"/>
      </w:pPr>
      <w:r>
        <w:separator/>
      </w:r>
    </w:p>
  </w:endnote>
  <w:endnote w:type="continuationSeparator" w:id="0">
    <w:p w14:paraId="60EF47FA" w14:textId="77777777" w:rsidR="007177E6" w:rsidRDefault="00717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39BE">
      <w:rPr>
        <w:rFonts w:ascii="Arial" w:hAnsi="Arial" w:cs="Arial"/>
        <w:b/>
        <w:noProof/>
        <w:sz w:val="18"/>
        <w:szCs w:val="18"/>
      </w:rPr>
      <w:t>2</w:t>
    </w:r>
    <w:r>
      <w:rPr>
        <w:rFonts w:ascii="Arial" w:hAnsi="Arial" w:cs="Arial"/>
        <w:b/>
        <w:sz w:val="18"/>
        <w:szCs w:val="18"/>
      </w:rPr>
      <w:fldChar w:fldCharType="end"/>
    </w:r>
  </w:p>
  <w:p w14:paraId="60EF47FC" w14:textId="77777777" w:rsidR="007177E6" w:rsidRDefault="00717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7177E6" w:rsidRDefault="007177E6">
      <w:pPr>
        <w:spacing w:after="0" w:line="240" w:lineRule="auto"/>
      </w:pPr>
      <w:r>
        <w:separator/>
      </w:r>
    </w:p>
  </w:footnote>
  <w:footnote w:type="continuationSeparator" w:id="0">
    <w:p w14:paraId="60EF47F8" w14:textId="77777777" w:rsidR="007177E6" w:rsidRDefault="007177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9"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5"/>
  </w:num>
  <w:num w:numId="3">
    <w:abstractNumId w:val="6"/>
  </w:num>
  <w:num w:numId="4">
    <w:abstractNumId w:val="5"/>
  </w:num>
  <w:num w:numId="5">
    <w:abstractNumId w:val="1"/>
    <w:lvlOverride w:ilvl="0">
      <w:startOverride w:val="1"/>
    </w:lvlOverride>
  </w:num>
  <w:num w:numId="6">
    <w:abstractNumId w:val="3"/>
    <w:lvlOverride w:ilvl="0">
      <w:startOverride w:val="2"/>
    </w:lvlOverride>
  </w:num>
  <w:num w:numId="7">
    <w:abstractNumId w:val="19"/>
  </w:num>
  <w:num w:numId="8">
    <w:abstractNumId w:val="14"/>
  </w:num>
  <w:num w:numId="9">
    <w:abstractNumId w:val="7"/>
  </w:num>
  <w:num w:numId="10">
    <w:abstractNumId w:val="11"/>
  </w:num>
  <w:num w:numId="11">
    <w:abstractNumId w:val="20"/>
  </w:num>
  <w:num w:numId="12">
    <w:abstractNumId w:val="10"/>
  </w:num>
  <w:num w:numId="13">
    <w:abstractNumId w:val="9"/>
  </w:num>
  <w:num w:numId="14">
    <w:abstractNumId w:val="4"/>
  </w:num>
  <w:num w:numId="15">
    <w:abstractNumId w:val="18"/>
  </w:num>
  <w:num w:numId="16">
    <w:abstractNumId w:val="2"/>
  </w:num>
  <w:num w:numId="17">
    <w:abstractNumId w:val="13"/>
  </w:num>
  <w:num w:numId="18">
    <w:abstractNumId w:val="12"/>
  </w:num>
  <w:num w:numId="19">
    <w:abstractNumId w:val="24"/>
  </w:num>
  <w:num w:numId="20">
    <w:abstractNumId w:val="0"/>
  </w:num>
  <w:num w:numId="21">
    <w:abstractNumId w:val="1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2"/>
    </w:lvlOverride>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DEF"/>
    <w:rsid w:val="000270B0"/>
    <w:rsid w:val="00031A47"/>
    <w:rsid w:val="00031C0E"/>
    <w:rsid w:val="0003285F"/>
    <w:rsid w:val="000355BB"/>
    <w:rsid w:val="00043799"/>
    <w:rsid w:val="00043F8C"/>
    <w:rsid w:val="00066057"/>
    <w:rsid w:val="0007355E"/>
    <w:rsid w:val="00095525"/>
    <w:rsid w:val="0009610B"/>
    <w:rsid w:val="0009624B"/>
    <w:rsid w:val="00096596"/>
    <w:rsid w:val="000A1656"/>
    <w:rsid w:val="000B4F03"/>
    <w:rsid w:val="000C75FF"/>
    <w:rsid w:val="000F5A71"/>
    <w:rsid w:val="00100001"/>
    <w:rsid w:val="00123103"/>
    <w:rsid w:val="00123F09"/>
    <w:rsid w:val="001245E4"/>
    <w:rsid w:val="001266F8"/>
    <w:rsid w:val="00133829"/>
    <w:rsid w:val="00136F78"/>
    <w:rsid w:val="00142882"/>
    <w:rsid w:val="00154E29"/>
    <w:rsid w:val="001650BF"/>
    <w:rsid w:val="001672FC"/>
    <w:rsid w:val="00171855"/>
    <w:rsid w:val="00174865"/>
    <w:rsid w:val="00175FAB"/>
    <w:rsid w:val="00190D67"/>
    <w:rsid w:val="0019188A"/>
    <w:rsid w:val="00195430"/>
    <w:rsid w:val="001A6F5A"/>
    <w:rsid w:val="001B7E53"/>
    <w:rsid w:val="001C072B"/>
    <w:rsid w:val="001C137C"/>
    <w:rsid w:val="001C13E7"/>
    <w:rsid w:val="001C3552"/>
    <w:rsid w:val="001D20B4"/>
    <w:rsid w:val="001E221E"/>
    <w:rsid w:val="001E5CA5"/>
    <w:rsid w:val="001E5E85"/>
    <w:rsid w:val="001F5F0A"/>
    <w:rsid w:val="002049D9"/>
    <w:rsid w:val="0020567B"/>
    <w:rsid w:val="0022299C"/>
    <w:rsid w:val="00223D32"/>
    <w:rsid w:val="00225C81"/>
    <w:rsid w:val="0023343E"/>
    <w:rsid w:val="00242773"/>
    <w:rsid w:val="002441E9"/>
    <w:rsid w:val="00247EAA"/>
    <w:rsid w:val="00257333"/>
    <w:rsid w:val="00260222"/>
    <w:rsid w:val="00260F24"/>
    <w:rsid w:val="00261015"/>
    <w:rsid w:val="00275D7B"/>
    <w:rsid w:val="00276574"/>
    <w:rsid w:val="00283702"/>
    <w:rsid w:val="00284186"/>
    <w:rsid w:val="00285D82"/>
    <w:rsid w:val="00291433"/>
    <w:rsid w:val="00293EC9"/>
    <w:rsid w:val="00295334"/>
    <w:rsid w:val="002A34DB"/>
    <w:rsid w:val="002B51AD"/>
    <w:rsid w:val="002B60E2"/>
    <w:rsid w:val="002B6E19"/>
    <w:rsid w:val="002D108B"/>
    <w:rsid w:val="002F04F8"/>
    <w:rsid w:val="002F153B"/>
    <w:rsid w:val="002F1706"/>
    <w:rsid w:val="002F432E"/>
    <w:rsid w:val="002F575F"/>
    <w:rsid w:val="002F65A6"/>
    <w:rsid w:val="00323003"/>
    <w:rsid w:val="00331CB2"/>
    <w:rsid w:val="00335BFB"/>
    <w:rsid w:val="00336D1D"/>
    <w:rsid w:val="00344D3D"/>
    <w:rsid w:val="003649A8"/>
    <w:rsid w:val="003654BF"/>
    <w:rsid w:val="003830B8"/>
    <w:rsid w:val="00392D6E"/>
    <w:rsid w:val="003A3C78"/>
    <w:rsid w:val="003A766F"/>
    <w:rsid w:val="003B2460"/>
    <w:rsid w:val="003B6208"/>
    <w:rsid w:val="003C6BF7"/>
    <w:rsid w:val="003D0298"/>
    <w:rsid w:val="003D2A3A"/>
    <w:rsid w:val="003D76A8"/>
    <w:rsid w:val="003D7AF6"/>
    <w:rsid w:val="003E77B6"/>
    <w:rsid w:val="003F13B0"/>
    <w:rsid w:val="00401BF6"/>
    <w:rsid w:val="00415F96"/>
    <w:rsid w:val="00423EEA"/>
    <w:rsid w:val="00427E67"/>
    <w:rsid w:val="00433DA4"/>
    <w:rsid w:val="00434955"/>
    <w:rsid w:val="00437AB1"/>
    <w:rsid w:val="00440283"/>
    <w:rsid w:val="00445B7E"/>
    <w:rsid w:val="004504B4"/>
    <w:rsid w:val="00452000"/>
    <w:rsid w:val="00453DB6"/>
    <w:rsid w:val="00456991"/>
    <w:rsid w:val="00456DE3"/>
    <w:rsid w:val="00460EBA"/>
    <w:rsid w:val="00466D39"/>
    <w:rsid w:val="00471314"/>
    <w:rsid w:val="0047293B"/>
    <w:rsid w:val="004736A8"/>
    <w:rsid w:val="0047461E"/>
    <w:rsid w:val="004761A2"/>
    <w:rsid w:val="004761DB"/>
    <w:rsid w:val="00486F08"/>
    <w:rsid w:val="00487FF0"/>
    <w:rsid w:val="0049247B"/>
    <w:rsid w:val="00494DFE"/>
    <w:rsid w:val="004A40AE"/>
    <w:rsid w:val="004A46DD"/>
    <w:rsid w:val="004A4A78"/>
    <w:rsid w:val="004A5914"/>
    <w:rsid w:val="004B03A0"/>
    <w:rsid w:val="004B2F1A"/>
    <w:rsid w:val="004B64C4"/>
    <w:rsid w:val="004B708E"/>
    <w:rsid w:val="004E0FA3"/>
    <w:rsid w:val="004F316F"/>
    <w:rsid w:val="00504AB4"/>
    <w:rsid w:val="00504FD0"/>
    <w:rsid w:val="005067A7"/>
    <w:rsid w:val="005107D4"/>
    <w:rsid w:val="005117DA"/>
    <w:rsid w:val="00516777"/>
    <w:rsid w:val="00520330"/>
    <w:rsid w:val="00523205"/>
    <w:rsid w:val="0053209F"/>
    <w:rsid w:val="00533422"/>
    <w:rsid w:val="00542BF0"/>
    <w:rsid w:val="0055706A"/>
    <w:rsid w:val="00557EDD"/>
    <w:rsid w:val="0056303E"/>
    <w:rsid w:val="005643D1"/>
    <w:rsid w:val="005679F0"/>
    <w:rsid w:val="00593190"/>
    <w:rsid w:val="005A215D"/>
    <w:rsid w:val="005A4656"/>
    <w:rsid w:val="005A7EC0"/>
    <w:rsid w:val="005C19D1"/>
    <w:rsid w:val="005D362E"/>
    <w:rsid w:val="005D58A9"/>
    <w:rsid w:val="005D622A"/>
    <w:rsid w:val="005E4641"/>
    <w:rsid w:val="005F262D"/>
    <w:rsid w:val="006024EA"/>
    <w:rsid w:val="00621C29"/>
    <w:rsid w:val="006242D5"/>
    <w:rsid w:val="006319C2"/>
    <w:rsid w:val="006476F9"/>
    <w:rsid w:val="00663F21"/>
    <w:rsid w:val="00667231"/>
    <w:rsid w:val="00683A4C"/>
    <w:rsid w:val="00687129"/>
    <w:rsid w:val="00690A9F"/>
    <w:rsid w:val="00690ED8"/>
    <w:rsid w:val="00692413"/>
    <w:rsid w:val="006A27E5"/>
    <w:rsid w:val="006B21C6"/>
    <w:rsid w:val="006C15FA"/>
    <w:rsid w:val="006C222D"/>
    <w:rsid w:val="006C551C"/>
    <w:rsid w:val="006D0058"/>
    <w:rsid w:val="006D0EAF"/>
    <w:rsid w:val="006D136D"/>
    <w:rsid w:val="006E2EDB"/>
    <w:rsid w:val="006F2CDA"/>
    <w:rsid w:val="006F53D1"/>
    <w:rsid w:val="0071408B"/>
    <w:rsid w:val="007177E6"/>
    <w:rsid w:val="0072015F"/>
    <w:rsid w:val="0073103A"/>
    <w:rsid w:val="00732A41"/>
    <w:rsid w:val="0074564B"/>
    <w:rsid w:val="0074639E"/>
    <w:rsid w:val="0076597C"/>
    <w:rsid w:val="0076605A"/>
    <w:rsid w:val="00766388"/>
    <w:rsid w:val="00770295"/>
    <w:rsid w:val="00772A1C"/>
    <w:rsid w:val="00780325"/>
    <w:rsid w:val="00783A80"/>
    <w:rsid w:val="00783F29"/>
    <w:rsid w:val="007877EE"/>
    <w:rsid w:val="00792327"/>
    <w:rsid w:val="00797358"/>
    <w:rsid w:val="007A49CD"/>
    <w:rsid w:val="007A4B83"/>
    <w:rsid w:val="007B0D7C"/>
    <w:rsid w:val="007B3DDD"/>
    <w:rsid w:val="007C6E5A"/>
    <w:rsid w:val="007D5D78"/>
    <w:rsid w:val="007E41A4"/>
    <w:rsid w:val="007F49B3"/>
    <w:rsid w:val="007F7B6E"/>
    <w:rsid w:val="00807A1A"/>
    <w:rsid w:val="00826C94"/>
    <w:rsid w:val="00827742"/>
    <w:rsid w:val="0083198E"/>
    <w:rsid w:val="00835411"/>
    <w:rsid w:val="0084749C"/>
    <w:rsid w:val="008669B1"/>
    <w:rsid w:val="00874674"/>
    <w:rsid w:val="008775ED"/>
    <w:rsid w:val="008A041E"/>
    <w:rsid w:val="008A3B9F"/>
    <w:rsid w:val="008A43A0"/>
    <w:rsid w:val="008B1CE1"/>
    <w:rsid w:val="008B2C70"/>
    <w:rsid w:val="008C0338"/>
    <w:rsid w:val="008C0C20"/>
    <w:rsid w:val="008C48A5"/>
    <w:rsid w:val="008C7B03"/>
    <w:rsid w:val="008D6190"/>
    <w:rsid w:val="00901C24"/>
    <w:rsid w:val="00910B7A"/>
    <w:rsid w:val="00912C36"/>
    <w:rsid w:val="00914241"/>
    <w:rsid w:val="009154C2"/>
    <w:rsid w:val="0092329B"/>
    <w:rsid w:val="00923D5F"/>
    <w:rsid w:val="00925869"/>
    <w:rsid w:val="00930C49"/>
    <w:rsid w:val="009340C0"/>
    <w:rsid w:val="00952743"/>
    <w:rsid w:val="00955E01"/>
    <w:rsid w:val="00955F6D"/>
    <w:rsid w:val="009573C2"/>
    <w:rsid w:val="00957A1E"/>
    <w:rsid w:val="0097023E"/>
    <w:rsid w:val="00972C8E"/>
    <w:rsid w:val="0098432E"/>
    <w:rsid w:val="00990376"/>
    <w:rsid w:val="009950C6"/>
    <w:rsid w:val="009A1C03"/>
    <w:rsid w:val="009B1181"/>
    <w:rsid w:val="009C2C7B"/>
    <w:rsid w:val="009C4D8E"/>
    <w:rsid w:val="009D6F7D"/>
    <w:rsid w:val="009E3B6E"/>
    <w:rsid w:val="009E7171"/>
    <w:rsid w:val="009F758B"/>
    <w:rsid w:val="00A05BE7"/>
    <w:rsid w:val="00A06418"/>
    <w:rsid w:val="00A0649F"/>
    <w:rsid w:val="00A1125D"/>
    <w:rsid w:val="00A1246A"/>
    <w:rsid w:val="00A44954"/>
    <w:rsid w:val="00A5035B"/>
    <w:rsid w:val="00A517B1"/>
    <w:rsid w:val="00A56670"/>
    <w:rsid w:val="00A56C72"/>
    <w:rsid w:val="00A615EA"/>
    <w:rsid w:val="00A62968"/>
    <w:rsid w:val="00A63B12"/>
    <w:rsid w:val="00A67587"/>
    <w:rsid w:val="00A74AC9"/>
    <w:rsid w:val="00A824AF"/>
    <w:rsid w:val="00A86A88"/>
    <w:rsid w:val="00A86D91"/>
    <w:rsid w:val="00A87DD9"/>
    <w:rsid w:val="00A90EBD"/>
    <w:rsid w:val="00AA5001"/>
    <w:rsid w:val="00AB045C"/>
    <w:rsid w:val="00AC4F72"/>
    <w:rsid w:val="00AD76E3"/>
    <w:rsid w:val="00AF256D"/>
    <w:rsid w:val="00AF66D8"/>
    <w:rsid w:val="00B2562D"/>
    <w:rsid w:val="00B45EDF"/>
    <w:rsid w:val="00B57170"/>
    <w:rsid w:val="00B61280"/>
    <w:rsid w:val="00B65189"/>
    <w:rsid w:val="00B70D0A"/>
    <w:rsid w:val="00B74D9C"/>
    <w:rsid w:val="00B76EA2"/>
    <w:rsid w:val="00B83065"/>
    <w:rsid w:val="00B8326D"/>
    <w:rsid w:val="00B94D52"/>
    <w:rsid w:val="00BB246E"/>
    <w:rsid w:val="00BB4A45"/>
    <w:rsid w:val="00BC3B63"/>
    <w:rsid w:val="00BD47AD"/>
    <w:rsid w:val="00BF1A22"/>
    <w:rsid w:val="00C0320F"/>
    <w:rsid w:val="00C0460F"/>
    <w:rsid w:val="00C06CFA"/>
    <w:rsid w:val="00C12D8A"/>
    <w:rsid w:val="00C16FDF"/>
    <w:rsid w:val="00C471C2"/>
    <w:rsid w:val="00C52641"/>
    <w:rsid w:val="00C53590"/>
    <w:rsid w:val="00C655BB"/>
    <w:rsid w:val="00C67B49"/>
    <w:rsid w:val="00C7137F"/>
    <w:rsid w:val="00C839B7"/>
    <w:rsid w:val="00C85BF2"/>
    <w:rsid w:val="00C87617"/>
    <w:rsid w:val="00C90D45"/>
    <w:rsid w:val="00C96E5D"/>
    <w:rsid w:val="00CA5AC6"/>
    <w:rsid w:val="00CB6AB5"/>
    <w:rsid w:val="00CC41A2"/>
    <w:rsid w:val="00CC6A8C"/>
    <w:rsid w:val="00CC760A"/>
    <w:rsid w:val="00CD3B95"/>
    <w:rsid w:val="00CE30AE"/>
    <w:rsid w:val="00CE70AB"/>
    <w:rsid w:val="00D20B50"/>
    <w:rsid w:val="00D21902"/>
    <w:rsid w:val="00D24C46"/>
    <w:rsid w:val="00D24E9C"/>
    <w:rsid w:val="00D30D35"/>
    <w:rsid w:val="00D46932"/>
    <w:rsid w:val="00D46F95"/>
    <w:rsid w:val="00D54884"/>
    <w:rsid w:val="00D65AAE"/>
    <w:rsid w:val="00D74365"/>
    <w:rsid w:val="00D75EC2"/>
    <w:rsid w:val="00D8472B"/>
    <w:rsid w:val="00DA3465"/>
    <w:rsid w:val="00DA50E7"/>
    <w:rsid w:val="00DC299B"/>
    <w:rsid w:val="00DD7E44"/>
    <w:rsid w:val="00DE5114"/>
    <w:rsid w:val="00DE6702"/>
    <w:rsid w:val="00DF07FB"/>
    <w:rsid w:val="00DF51FD"/>
    <w:rsid w:val="00E0063E"/>
    <w:rsid w:val="00E1252E"/>
    <w:rsid w:val="00E172AB"/>
    <w:rsid w:val="00E31A42"/>
    <w:rsid w:val="00E31E41"/>
    <w:rsid w:val="00E4258F"/>
    <w:rsid w:val="00E42BBE"/>
    <w:rsid w:val="00E53137"/>
    <w:rsid w:val="00E60548"/>
    <w:rsid w:val="00E60B81"/>
    <w:rsid w:val="00E627B1"/>
    <w:rsid w:val="00E66747"/>
    <w:rsid w:val="00E70758"/>
    <w:rsid w:val="00E73CF2"/>
    <w:rsid w:val="00E936F6"/>
    <w:rsid w:val="00E94B46"/>
    <w:rsid w:val="00EA69D8"/>
    <w:rsid w:val="00EC1779"/>
    <w:rsid w:val="00EC39BE"/>
    <w:rsid w:val="00ED00AF"/>
    <w:rsid w:val="00ED4244"/>
    <w:rsid w:val="00EE6198"/>
    <w:rsid w:val="00EF07B1"/>
    <w:rsid w:val="00EF693B"/>
    <w:rsid w:val="00EF7688"/>
    <w:rsid w:val="00F061CF"/>
    <w:rsid w:val="00F117A5"/>
    <w:rsid w:val="00F14223"/>
    <w:rsid w:val="00F14233"/>
    <w:rsid w:val="00F16840"/>
    <w:rsid w:val="00F23D2F"/>
    <w:rsid w:val="00F27106"/>
    <w:rsid w:val="00F421C5"/>
    <w:rsid w:val="00F52C55"/>
    <w:rsid w:val="00F63557"/>
    <w:rsid w:val="00F708A6"/>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List"/>
    <w:link w:val="B1Char"/>
    <w:qFormat/>
    <w:rsid w:val="0056303E"/>
    <w:pPr>
      <w:spacing w:after="180" w:line="240" w:lineRule="auto"/>
      <w:ind w:left="568" w:hanging="284"/>
      <w:contextualSpacing w:val="0"/>
    </w:pPr>
    <w:rPr>
      <w:rFonts w:ascii="Times New Roman" w:hAnsi="Times New Roman"/>
      <w:sz w:val="20"/>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List2"/>
    <w:link w:val="B2Char"/>
    <w:rsid w:val="0056303E"/>
    <w:pPr>
      <w:spacing w:after="180" w:line="240" w:lineRule="auto"/>
      <w:ind w:left="851" w:hanging="284"/>
      <w:contextualSpacing w:val="0"/>
    </w:pPr>
    <w:rPr>
      <w:rFonts w:ascii="Times New Roman" w:hAnsi="Times New Roman"/>
      <w:sz w:val="20"/>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List3"/>
    <w:link w:val="B3Char"/>
    <w:rsid w:val="0056303E"/>
    <w:pPr>
      <w:spacing w:after="180" w:line="240" w:lineRule="auto"/>
      <w:ind w:left="1135"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56303E"/>
    <w:pPr>
      <w:ind w:left="360" w:hanging="360"/>
      <w:contextualSpacing/>
    </w:pPr>
  </w:style>
  <w:style w:type="paragraph" w:styleId="List2">
    <w:name w:val="List 2"/>
    <w:basedOn w:val="Normal"/>
    <w:uiPriority w:val="99"/>
    <w:semiHidden/>
    <w:unhideWhenUsed/>
    <w:rsid w:val="0056303E"/>
    <w:pPr>
      <w:ind w:left="720" w:hanging="360"/>
      <w:contextualSpacing/>
    </w:pPr>
  </w:style>
  <w:style w:type="paragraph" w:styleId="List3">
    <w:name w:val="List 3"/>
    <w:basedOn w:val="Normal"/>
    <w:uiPriority w:val="99"/>
    <w:semiHidden/>
    <w:unhideWhenUsed/>
    <w:rsid w:val="0056303E"/>
    <w:pPr>
      <w:ind w:left="1080" w:hanging="360"/>
      <w:contextualSpacing/>
    </w:pPr>
  </w:style>
  <w:style w:type="paragraph" w:customStyle="1" w:styleId="Agreement">
    <w:name w:val="Agreement"/>
    <w:basedOn w:val="Normal"/>
    <w:next w:val="Doc-text2"/>
    <w:rsid w:val="004B03A0"/>
    <w:pPr>
      <w:numPr>
        <w:numId w:val="27"/>
      </w:numPr>
      <w:spacing w:before="60" w:after="0" w:line="24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0007593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76575778">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4855375">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75591388">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5986085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21261719">
      <w:bodyDiv w:val="1"/>
      <w:marLeft w:val="0"/>
      <w:marRight w:val="0"/>
      <w:marTop w:val="0"/>
      <w:marBottom w:val="0"/>
      <w:divBdr>
        <w:top w:val="none" w:sz="0" w:space="0" w:color="auto"/>
        <w:left w:val="none" w:sz="0" w:space="0" w:color="auto"/>
        <w:bottom w:val="none" w:sz="0" w:space="0" w:color="auto"/>
        <w:right w:val="none" w:sz="0" w:space="0" w:color="auto"/>
      </w:divBdr>
    </w:div>
    <w:div w:id="1640652287">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167515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17015595">
      <w:bodyDiv w:val="1"/>
      <w:marLeft w:val="0"/>
      <w:marRight w:val="0"/>
      <w:marTop w:val="0"/>
      <w:marBottom w:val="0"/>
      <w:divBdr>
        <w:top w:val="none" w:sz="0" w:space="0" w:color="auto"/>
        <w:left w:val="none" w:sz="0" w:space="0" w:color="auto"/>
        <w:bottom w:val="none" w:sz="0" w:space="0" w:color="auto"/>
        <w:right w:val="none" w:sz="0" w:space="0" w:color="auto"/>
      </w:divBdr>
    </w:div>
    <w:div w:id="193424623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4743262">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84137140">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098164231">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RAN2101bisCN</b:Tag>
    <b:SourceType>ConferenceProceedings</b:SourceType>
    <b:Guid>{E3D988CD-0DDB-4D6B-B616-CE8C2138123C}</b:Guid>
    <b:Title>R2-1806201, "RAN2#101bis: Report NR UP breakout session"</b:Title>
    <b:RefOrder>1</b:RefOrder>
  </b:Source>
  <b:Source>
    <b:Tag>VivoL1vsL3</b:Tag>
    <b:SourceType>ConferenceProceedings</b:SourceType>
    <b:Guid>{DFA47BB2-DD11-4A68-B734-AD772039A421}</b:Guid>
    <b:Title>R2-1804689, "Clarification on the measurement used for the selection of the beam or UL carrier", Vivo</b:Title>
    <b:RefOrder>3</b:RefOrder>
  </b:Source>
  <b:Source>
    <b:Tag>SSSIrequest</b:Tag>
    <b:SourceType>ConferenceProceedings</b:SourceType>
    <b:Guid>{F16D43ED-BEEF-4E7A-A87A-BEFC28D73E2D}</b:Guid>
    <b:Title>R2-1804307, "PRACH Preamble Selection for Msg1 based SI Request", Samsung Electronics Co., Ltd</b:Title>
    <b:RefOrder>4</b:RefOrder>
  </b:Source>
  <b:Source>
    <b:Tag>SSEmail</b:Tag>
    <b:SourceType>ConferenceProceedings</b:SourceType>
    <b:Guid>{4A0294C5-E69C-440B-8BD1-41A36BE85DE7}</b:Guid>
    <b:Title>R2-180xxxx, [101bis#43][NR] RA resources for MSG1 on demand request, Samsung</b:Title>
    <b:RefOrder>5</b:RefOrder>
  </b:Source>
  <b:Source>
    <b:Tag>RAN1LSBFRTimer</b:Tag>
    <b:SourceType>ConferenceProceedings</b:SourceType>
    <b:Guid>{43AE6D55-6B35-4885-BB93-82D92FFBB8D8}</b:Guid>
    <b:Title>R1-1805622, "LS on beamFailureRecoveryTimer", RAN1</b:Title>
    <b:RefOrder>2</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97CF9B5B-CEE0-4B9A-AF13-D0C734C1CE5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F2D54E8-3BB3-49CA-9413-2172F3F8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3729</TotalTime>
  <Pages>2</Pages>
  <Words>738</Words>
  <Characters>3869</Characters>
  <Application>Microsoft Office Word</Application>
  <DocSecurity>0</DocSecurity>
  <Lines>64</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189</cp:revision>
  <dcterms:created xsi:type="dcterms:W3CDTF">2017-08-10T20:32:00Z</dcterms:created>
  <dcterms:modified xsi:type="dcterms:W3CDTF">2018-05-11T03:24:00Z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8a57f363-f3ae-4e2b-a4b3-1607a93f3a0e</vt:lpwstr>
  </property>
  <property fmtid="{D5CDD505-2E9C-101B-9397-08002B2CF9AE}" pid="4" name="CTP_BU">
    <vt:lpwstr>NA</vt:lpwstr>
  </property>
  <property fmtid="{D5CDD505-2E9C-101B-9397-08002B2CF9AE}" pid="5" name="CTP_TimeStamp">
    <vt:lpwstr>2018-05-11 03:24:04Z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