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AA9D4" w14:textId="10E3C593" w:rsidR="003848A3" w:rsidRPr="00EE6198" w:rsidRDefault="003848A3" w:rsidP="003848A3">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101</w:t>
      </w:r>
      <w:r w:rsidRPr="00EE6198">
        <w:rPr>
          <w:sz w:val="24"/>
          <w:lang w:val="en-GB" w:eastAsia="zh-CN"/>
        </w:rPr>
        <w:tab/>
      </w:r>
      <w:r w:rsidR="00527286" w:rsidRPr="00527286">
        <w:rPr>
          <w:sz w:val="24"/>
          <w:lang w:val="en-GB" w:eastAsia="zh-CN"/>
        </w:rPr>
        <w:t>R2-1802906</w:t>
      </w:r>
    </w:p>
    <w:p w14:paraId="16D5C317" w14:textId="4529FB1D" w:rsidR="009D5BAB" w:rsidRPr="009D56B1" w:rsidRDefault="003848A3" w:rsidP="003848A3">
      <w:pPr>
        <w:pStyle w:val="Header"/>
        <w:tabs>
          <w:tab w:val="right" w:pos="9639"/>
        </w:tabs>
        <w:rPr>
          <w:bCs/>
          <w:i/>
          <w:noProof w:val="0"/>
          <w:sz w:val="24"/>
        </w:rPr>
      </w:pPr>
      <w:r>
        <w:rPr>
          <w:sz w:val="24"/>
          <w:lang w:val="en-GB" w:eastAsia="zh-CN"/>
        </w:rPr>
        <w:t>Athens</w:t>
      </w:r>
      <w:r w:rsidRPr="00EE6198">
        <w:rPr>
          <w:sz w:val="24"/>
          <w:lang w:val="en-GB" w:eastAsia="zh-CN"/>
        </w:rPr>
        <w:t>,</w:t>
      </w:r>
      <w:r>
        <w:rPr>
          <w:sz w:val="24"/>
          <w:lang w:val="en-GB" w:eastAsia="zh-CN"/>
        </w:rPr>
        <w:t xml:space="preserve"> Greece,</w:t>
      </w:r>
      <w:r w:rsidRPr="00EE6198">
        <w:rPr>
          <w:sz w:val="24"/>
          <w:lang w:val="en-GB" w:eastAsia="zh-CN"/>
        </w:rPr>
        <w:t xml:space="preserve"> </w:t>
      </w:r>
      <w:r>
        <w:rPr>
          <w:sz w:val="24"/>
          <w:lang w:val="en-GB" w:eastAsia="zh-CN"/>
        </w:rPr>
        <w:t>26</w:t>
      </w:r>
      <w:r w:rsidRPr="00504FD0">
        <w:rPr>
          <w:sz w:val="24"/>
          <w:lang w:val="en-GB" w:eastAsia="zh-CN"/>
        </w:rPr>
        <w:t>th</w:t>
      </w:r>
      <w:r>
        <w:rPr>
          <w:sz w:val="24"/>
          <w:lang w:val="en-GB" w:eastAsia="zh-CN"/>
        </w:rPr>
        <w:t xml:space="preserve"> February  – 2nd</w:t>
      </w:r>
      <w:r w:rsidRPr="00EE6198">
        <w:rPr>
          <w:sz w:val="24"/>
          <w:lang w:val="en-GB" w:eastAsia="zh-CN"/>
        </w:rPr>
        <w:t xml:space="preserve"> </w:t>
      </w:r>
      <w:r>
        <w:rPr>
          <w:sz w:val="24"/>
          <w:lang w:val="en-GB" w:eastAsia="zh-CN"/>
        </w:rPr>
        <w:t>March</w:t>
      </w:r>
      <w:r w:rsidRPr="00EE6198">
        <w:rPr>
          <w:sz w:val="24"/>
          <w:lang w:val="en-GB" w:eastAsia="zh-CN"/>
        </w:rPr>
        <w:t xml:space="preserve"> 2018</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0EDF06F4"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8F15B9">
        <w:rPr>
          <w:rFonts w:eastAsia="SimSun" w:cs="Arial"/>
          <w:b/>
          <w:bCs/>
          <w:sz w:val="24"/>
          <w:lang w:val="en-US"/>
        </w:rPr>
        <w:t>9.10.2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DA7076D"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821487" w:rsidRPr="00821487">
        <w:rPr>
          <w:rFonts w:ascii="Arial" w:hAnsi="Arial" w:cs="Arial"/>
          <w:b/>
          <w:bCs/>
          <w:sz w:val="24"/>
        </w:rPr>
        <w:t>On carrier selection procedure for CA over PC5</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3F05FB95" w14:textId="5A9257D5" w:rsidR="007356BA" w:rsidRPr="00AE6CB5" w:rsidRDefault="008669B1" w:rsidP="007356BA">
      <w:pPr>
        <w:pStyle w:val="Tdoc"/>
      </w:pPr>
      <w:r w:rsidRPr="00E0063E">
        <w:t>Introduction</w:t>
      </w:r>
      <w:r w:rsidRPr="00E0063E">
        <w:rPr>
          <w:lang w:val="en-GB"/>
        </w:rPr>
        <w:t xml:space="preserve">  </w:t>
      </w:r>
    </w:p>
    <w:p w14:paraId="63915519" w14:textId="0047539F" w:rsidR="007356BA" w:rsidRPr="00C11F0A" w:rsidRDefault="007356BA" w:rsidP="007356BA">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the last RAN2 meeting, an email discussion was initiated to collect views from different companies on</w:t>
      </w:r>
      <w:r w:rsidR="00AE6CB5" w:rsidRPr="00AE6CB5">
        <w:t xml:space="preserve"> </w:t>
      </w:r>
      <w:r w:rsidR="00AE6CB5">
        <w:rPr>
          <w:rFonts w:ascii="Times New Roman" w:hAnsi="Times New Roman"/>
          <w:sz w:val="20"/>
          <w:szCs w:val="20"/>
          <w:lang w:eastAsia="ja-JP"/>
        </w:rPr>
        <w:t>i</w:t>
      </w:r>
      <w:r w:rsidR="00AE6CB5" w:rsidRPr="00AE6CB5">
        <w:rPr>
          <w:rFonts w:ascii="Times New Roman" w:hAnsi="Times New Roman"/>
          <w:sz w:val="20"/>
          <w:szCs w:val="20"/>
          <w:lang w:eastAsia="ja-JP"/>
        </w:rPr>
        <w:t>dentify</w:t>
      </w:r>
      <w:r w:rsidR="00AE6CB5">
        <w:rPr>
          <w:rFonts w:ascii="Times New Roman" w:hAnsi="Times New Roman"/>
          <w:sz w:val="20"/>
          <w:szCs w:val="20"/>
          <w:lang w:eastAsia="ja-JP"/>
        </w:rPr>
        <w:t>ing</w:t>
      </w:r>
      <w:r w:rsidR="00AE6CB5" w:rsidRPr="00AE6CB5">
        <w:rPr>
          <w:rFonts w:ascii="Times New Roman" w:hAnsi="Times New Roman"/>
          <w:sz w:val="20"/>
          <w:szCs w:val="20"/>
          <w:lang w:eastAsia="ja-JP"/>
        </w:rPr>
        <w:t xml:space="preserve"> the list of solutions by using PPPP and CBR in the TX carrier selection </w:t>
      </w:r>
      <w:r w:rsidR="00AE6CB5">
        <w:rPr>
          <w:rFonts w:ascii="Times New Roman" w:hAnsi="Times New Roman"/>
          <w:sz w:val="20"/>
          <w:szCs w:val="20"/>
          <w:lang w:eastAsia="ja-JP"/>
        </w:rPr>
        <w:t>and discuss the pros and cons</w:t>
      </w:r>
      <w:r w:rsidR="00851B1B">
        <w:rPr>
          <w:rFonts w:ascii="Times New Roman" w:hAnsi="Times New Roman"/>
          <w:sz w:val="20"/>
          <w:szCs w:val="20"/>
          <w:lang w:eastAsia="ja-JP"/>
        </w:rPr>
        <w:t xml:space="preserve"> </w:t>
      </w:r>
      <w:sdt>
        <w:sdtPr>
          <w:rPr>
            <w:rFonts w:ascii="Times New Roman" w:hAnsi="Times New Roman"/>
            <w:sz w:val="20"/>
            <w:szCs w:val="20"/>
            <w:lang w:eastAsia="ja-JP"/>
          </w:rPr>
          <w:id w:val="939341183"/>
          <w:citation/>
        </w:sdtPr>
        <w:sdtEndPr/>
        <w:sdtContent>
          <w:r w:rsidR="00851B1B">
            <w:rPr>
              <w:rFonts w:ascii="Times New Roman" w:hAnsi="Times New Roman"/>
              <w:sz w:val="20"/>
              <w:szCs w:val="20"/>
              <w:lang w:eastAsia="ja-JP"/>
            </w:rPr>
            <w:fldChar w:fldCharType="begin"/>
          </w:r>
          <w:r w:rsidR="00851B1B">
            <w:rPr>
              <w:rFonts w:ascii="Times New Roman" w:hAnsi="Times New Roman"/>
              <w:sz w:val="20"/>
              <w:szCs w:val="20"/>
              <w:lang w:eastAsia="ja-JP"/>
            </w:rPr>
            <w:instrText xml:space="preserve"> CITATION LGemail \l 1033 </w:instrText>
          </w:r>
          <w:r w:rsidR="00851B1B">
            <w:rPr>
              <w:rFonts w:ascii="Times New Roman" w:hAnsi="Times New Roman"/>
              <w:sz w:val="20"/>
              <w:szCs w:val="20"/>
              <w:lang w:eastAsia="ja-JP"/>
            </w:rPr>
            <w:fldChar w:fldCharType="separate"/>
          </w:r>
          <w:r w:rsidR="006E5B12" w:rsidRPr="006E5B12">
            <w:rPr>
              <w:rFonts w:ascii="Times New Roman" w:hAnsi="Times New Roman"/>
              <w:noProof/>
              <w:sz w:val="20"/>
              <w:szCs w:val="20"/>
              <w:lang w:eastAsia="ja-JP"/>
            </w:rPr>
            <w:t>[1]</w:t>
          </w:r>
          <w:r w:rsidR="00851B1B">
            <w:rPr>
              <w:rFonts w:ascii="Times New Roman" w:hAnsi="Times New Roman"/>
              <w:sz w:val="20"/>
              <w:szCs w:val="20"/>
              <w:lang w:eastAsia="ja-JP"/>
            </w:rPr>
            <w:fldChar w:fldCharType="end"/>
          </w:r>
        </w:sdtContent>
      </w:sdt>
      <w:r>
        <w:rPr>
          <w:rFonts w:ascii="Times New Roman" w:hAnsi="Times New Roman"/>
          <w:sz w:val="20"/>
          <w:szCs w:val="20"/>
          <w:lang w:eastAsia="ja-JP"/>
        </w:rPr>
        <w:t>.</w:t>
      </w:r>
      <w:r w:rsidR="00AE6CB5">
        <w:rPr>
          <w:rFonts w:ascii="Times New Roman" w:hAnsi="Times New Roman"/>
          <w:sz w:val="20"/>
          <w:szCs w:val="20"/>
          <w:lang w:eastAsia="ja-JP"/>
        </w:rPr>
        <w:t xml:space="preserve"> Howe</w:t>
      </w:r>
      <w:r w:rsidR="00241C97">
        <w:rPr>
          <w:rFonts w:ascii="Times New Roman" w:hAnsi="Times New Roman"/>
          <w:sz w:val="20"/>
          <w:szCs w:val="20"/>
          <w:lang w:eastAsia="ja-JP"/>
        </w:rPr>
        <w:t>ver, no</w:t>
      </w:r>
      <w:r w:rsidR="00AE6CB5">
        <w:rPr>
          <w:rFonts w:ascii="Times New Roman" w:hAnsi="Times New Roman"/>
          <w:sz w:val="20"/>
          <w:szCs w:val="20"/>
          <w:lang w:eastAsia="ja-JP"/>
        </w:rPr>
        <w:t xml:space="preserve"> other factors were considered in the discussion. In this discussion, we focus on some other </w:t>
      </w:r>
      <w:r w:rsidR="006D0ADA">
        <w:rPr>
          <w:rFonts w:ascii="Times New Roman" w:hAnsi="Times New Roman"/>
          <w:sz w:val="20"/>
          <w:szCs w:val="20"/>
          <w:lang w:eastAsia="ja-JP"/>
        </w:rPr>
        <w:t>aspects</w:t>
      </w:r>
      <w:r w:rsidR="00AE6CB5">
        <w:rPr>
          <w:rFonts w:ascii="Times New Roman" w:hAnsi="Times New Roman"/>
          <w:sz w:val="20"/>
          <w:szCs w:val="20"/>
          <w:lang w:eastAsia="ja-JP"/>
        </w:rPr>
        <w:t xml:space="preserve"> that are needed for efficient design of </w:t>
      </w:r>
      <w:r w:rsidR="006D0ADA">
        <w:rPr>
          <w:rFonts w:ascii="Times New Roman" w:hAnsi="Times New Roman"/>
          <w:sz w:val="20"/>
          <w:szCs w:val="20"/>
          <w:lang w:eastAsia="ja-JP"/>
        </w:rPr>
        <w:t xml:space="preserve">the </w:t>
      </w:r>
      <w:r w:rsidR="00AE6CB5">
        <w:rPr>
          <w:rFonts w:ascii="Times New Roman" w:hAnsi="Times New Roman"/>
          <w:sz w:val="20"/>
          <w:szCs w:val="20"/>
          <w:lang w:eastAsia="ja-JP"/>
        </w:rPr>
        <w:t>overall carrier selection procedure.</w:t>
      </w:r>
    </w:p>
    <w:p w14:paraId="5DCEF4FA" w14:textId="6451D6AD" w:rsidR="00555440" w:rsidRPr="001C137C" w:rsidRDefault="000760CC" w:rsidP="00555440">
      <w:pPr>
        <w:pStyle w:val="Tdoc"/>
      </w:pPr>
      <w:r>
        <w:t>Discussion</w:t>
      </w:r>
    </w:p>
    <w:p w14:paraId="7D03391A" w14:textId="6C4B0DFD" w:rsidR="00422DA2" w:rsidRPr="00422DA2" w:rsidRDefault="00422DA2" w:rsidP="00422DA2">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TX UE capability</w:t>
      </w:r>
    </w:p>
    <w:p w14:paraId="4569805F" w14:textId="4389BBBF" w:rsidR="00816149" w:rsidRDefault="00816149" w:rsidP="00AE0A3D">
      <w:pPr>
        <w:rPr>
          <w:rFonts w:ascii="Times New Roman" w:hAnsi="Times New Roman"/>
          <w:sz w:val="20"/>
        </w:rPr>
      </w:pPr>
      <w:r>
        <w:rPr>
          <w:rFonts w:ascii="Times New Roman" w:hAnsi="Times New Roman"/>
          <w:sz w:val="20"/>
        </w:rPr>
        <w:t>During the last meeting and the email discussion, the issue of how the TX UE capability impacts the carrier selection procedure</w:t>
      </w:r>
      <w:r w:rsidR="00851B1B">
        <w:rPr>
          <w:rFonts w:ascii="Times New Roman" w:hAnsi="Times New Roman"/>
          <w:sz w:val="20"/>
        </w:rPr>
        <w:t xml:space="preserve"> was brought up </w:t>
      </w:r>
      <w:sdt>
        <w:sdtPr>
          <w:rPr>
            <w:rFonts w:ascii="Times New Roman" w:hAnsi="Times New Roman"/>
            <w:sz w:val="20"/>
          </w:rPr>
          <w:id w:val="424539635"/>
          <w:citation/>
        </w:sdtPr>
        <w:sdtEndPr/>
        <w:sdtContent>
          <w:r w:rsidR="00851B1B">
            <w:rPr>
              <w:rFonts w:ascii="Times New Roman" w:hAnsi="Times New Roman"/>
              <w:sz w:val="20"/>
            </w:rPr>
            <w:fldChar w:fldCharType="begin"/>
          </w:r>
          <w:r w:rsidR="00851B1B">
            <w:rPr>
              <w:rFonts w:ascii="Times New Roman" w:hAnsi="Times New Roman"/>
              <w:sz w:val="20"/>
            </w:rPr>
            <w:instrText xml:space="preserve"> CITATION LGemail \l 1033 </w:instrText>
          </w:r>
          <w:r w:rsidR="00851B1B">
            <w:rPr>
              <w:rFonts w:ascii="Times New Roman" w:hAnsi="Times New Roman"/>
              <w:sz w:val="20"/>
            </w:rPr>
            <w:fldChar w:fldCharType="separate"/>
          </w:r>
          <w:r w:rsidR="006E5B12" w:rsidRPr="006E5B12">
            <w:rPr>
              <w:rFonts w:ascii="Times New Roman" w:hAnsi="Times New Roman"/>
              <w:noProof/>
              <w:sz w:val="20"/>
            </w:rPr>
            <w:t>[1]</w:t>
          </w:r>
          <w:r w:rsidR="00851B1B">
            <w:rPr>
              <w:rFonts w:ascii="Times New Roman" w:hAnsi="Times New Roman"/>
              <w:sz w:val="20"/>
            </w:rPr>
            <w:fldChar w:fldCharType="end"/>
          </w:r>
        </w:sdtContent>
      </w:sdt>
      <w:sdt>
        <w:sdtPr>
          <w:rPr>
            <w:rFonts w:ascii="Times New Roman" w:hAnsi="Times New Roman"/>
            <w:sz w:val="20"/>
          </w:rPr>
          <w:id w:val="715935575"/>
          <w:citation/>
        </w:sdtPr>
        <w:sdtEndPr/>
        <w:sdtContent>
          <w:r w:rsidR="00851B1B">
            <w:rPr>
              <w:rFonts w:ascii="Times New Roman" w:hAnsi="Times New Roman"/>
              <w:sz w:val="20"/>
            </w:rPr>
            <w:fldChar w:fldCharType="begin"/>
          </w:r>
          <w:r w:rsidR="00851B1B">
            <w:rPr>
              <w:rFonts w:ascii="Times New Roman" w:hAnsi="Times New Roman"/>
              <w:sz w:val="20"/>
            </w:rPr>
            <w:instrText xml:space="preserve"> CITATION RAN21003 \l 1033 </w:instrText>
          </w:r>
          <w:r w:rsidR="00851B1B">
            <w:rPr>
              <w:rFonts w:ascii="Times New Roman" w:hAnsi="Times New Roman"/>
              <w:sz w:val="20"/>
            </w:rPr>
            <w:fldChar w:fldCharType="separate"/>
          </w:r>
          <w:r w:rsidR="006E5B12">
            <w:rPr>
              <w:rFonts w:ascii="Times New Roman" w:hAnsi="Times New Roman"/>
              <w:noProof/>
              <w:sz w:val="20"/>
            </w:rPr>
            <w:t xml:space="preserve"> </w:t>
          </w:r>
          <w:r w:rsidR="006E5B12" w:rsidRPr="006E5B12">
            <w:rPr>
              <w:rFonts w:ascii="Times New Roman" w:hAnsi="Times New Roman"/>
              <w:noProof/>
              <w:sz w:val="20"/>
            </w:rPr>
            <w:t>[2]</w:t>
          </w:r>
          <w:r w:rsidR="00851B1B">
            <w:rPr>
              <w:rFonts w:ascii="Times New Roman" w:hAnsi="Times New Roman"/>
              <w:sz w:val="20"/>
            </w:rPr>
            <w:fldChar w:fldCharType="end"/>
          </w:r>
        </w:sdtContent>
      </w:sdt>
      <w:r>
        <w:rPr>
          <w:rFonts w:ascii="Times New Roman" w:hAnsi="Times New Roman"/>
          <w:sz w:val="20"/>
        </w:rPr>
        <w:t>. While it was not explicitly part of the email discussion, we envision it to be an essential consideration for the design of the overall procedure. Specifically, since the early deployments of Rel-15 V2X would see a lot of UE with a varying degree of capabilities (e.g. in terms of TX chains), the consideration of the UE capability is essential. Nevertheless, RAN1 is also discussing this issue in the context of a limited TX capability UE which cannot support transmissions over carriers in a subframe and has made the following agreements</w:t>
      </w:r>
      <w:r w:rsidR="00851B1B">
        <w:rPr>
          <w:rFonts w:ascii="Times New Roman" w:hAnsi="Times New Roman"/>
          <w:sz w:val="20"/>
        </w:rPr>
        <w:t xml:space="preserve"> </w:t>
      </w:r>
      <w:sdt>
        <w:sdtPr>
          <w:rPr>
            <w:rFonts w:ascii="Times New Roman" w:hAnsi="Times New Roman"/>
            <w:sz w:val="20"/>
          </w:rPr>
          <w:id w:val="1410273393"/>
          <w:citation/>
        </w:sdtPr>
        <w:sdtEndPr/>
        <w:sdtContent>
          <w:r w:rsidR="00851B1B">
            <w:rPr>
              <w:rFonts w:ascii="Times New Roman" w:hAnsi="Times New Roman"/>
              <w:sz w:val="20"/>
            </w:rPr>
            <w:fldChar w:fldCharType="begin"/>
          </w:r>
          <w:r w:rsidR="00851B1B">
            <w:rPr>
              <w:rFonts w:ascii="Times New Roman" w:hAnsi="Times New Roman"/>
              <w:sz w:val="20"/>
            </w:rPr>
            <w:instrText xml:space="preserve"> CITATION RAN191 \l 1033 </w:instrText>
          </w:r>
          <w:r w:rsidR="00851B1B">
            <w:rPr>
              <w:rFonts w:ascii="Times New Roman" w:hAnsi="Times New Roman"/>
              <w:sz w:val="20"/>
            </w:rPr>
            <w:fldChar w:fldCharType="separate"/>
          </w:r>
          <w:r w:rsidR="006E5B12" w:rsidRPr="006E5B12">
            <w:rPr>
              <w:rFonts w:ascii="Times New Roman" w:hAnsi="Times New Roman"/>
              <w:noProof/>
              <w:sz w:val="20"/>
            </w:rPr>
            <w:t>[3]</w:t>
          </w:r>
          <w:r w:rsidR="00851B1B">
            <w:rPr>
              <w:rFonts w:ascii="Times New Roman" w:hAnsi="Times New Roman"/>
              <w:sz w:val="20"/>
            </w:rPr>
            <w:fldChar w:fldCharType="end"/>
          </w:r>
        </w:sdtContent>
      </w:sdt>
      <w:r>
        <w:rPr>
          <w:rFonts w:ascii="Times New Roman" w:hAnsi="Times New Roman"/>
          <w:sz w:val="20"/>
        </w:rPr>
        <w:t>:</w:t>
      </w:r>
    </w:p>
    <w:tbl>
      <w:tblPr>
        <w:tblStyle w:val="TableGrid"/>
        <w:tblW w:w="0" w:type="auto"/>
        <w:tblLook w:val="04A0" w:firstRow="1" w:lastRow="0" w:firstColumn="1" w:lastColumn="0" w:noHBand="0" w:noVBand="1"/>
      </w:tblPr>
      <w:tblGrid>
        <w:gridCol w:w="9629"/>
      </w:tblGrid>
      <w:tr w:rsidR="00816149" w14:paraId="168E6C4A" w14:textId="77777777" w:rsidTr="00816149">
        <w:tc>
          <w:tcPr>
            <w:tcW w:w="9629" w:type="dxa"/>
          </w:tcPr>
          <w:p w14:paraId="3A36E1BB" w14:textId="77777777" w:rsidR="00816149" w:rsidRDefault="00816149" w:rsidP="00816149">
            <w:pPr>
              <w:rPr>
                <w:sz w:val="20"/>
                <w:szCs w:val="24"/>
              </w:rPr>
            </w:pPr>
            <w:r>
              <w:rPr>
                <w:highlight w:val="green"/>
              </w:rPr>
              <w:t>Agreements:</w:t>
            </w:r>
          </w:p>
          <w:p w14:paraId="667E9BA6" w14:textId="77777777" w:rsidR="00816149" w:rsidRDefault="00816149" w:rsidP="00816149">
            <w:pPr>
              <w:numPr>
                <w:ilvl w:val="0"/>
                <w:numId w:val="22"/>
              </w:numPr>
              <w:spacing w:after="0" w:line="240" w:lineRule="auto"/>
              <w:rPr>
                <w:rFonts w:ascii="Times New Roman" w:hAnsi="Times New Roman"/>
                <w:szCs w:val="20"/>
                <w:lang w:val="en-GB" w:eastAsia="x-none"/>
              </w:rPr>
            </w:pPr>
            <w:r>
              <w:rPr>
                <w:rFonts w:ascii="Times New Roman" w:hAnsi="Times New Roman"/>
                <w:szCs w:val="20"/>
                <w:lang w:eastAsia="x-none"/>
              </w:rPr>
              <w:t xml:space="preserve">From RAN1 understanding, the limited TX capability means that the UE cannot support transmission(s) over carrier(s) in a subframe due to </w:t>
            </w:r>
          </w:p>
          <w:p w14:paraId="22260B8B"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rPr>
              <w:t>(a) Number of TX chains smaller than the number of configured TX carriers or</w:t>
            </w:r>
          </w:p>
          <w:p w14:paraId="28959DFA"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rPr>
              <w:t>(b) UE doesn’t support the given band combination or</w:t>
            </w:r>
          </w:p>
          <w:p w14:paraId="0EDA486E"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(c) TX chain switching time or</w:t>
            </w:r>
          </w:p>
          <w:p w14:paraId="671957CF"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rPr>
              <w:t xml:space="preserve">(d) UE cannot fulfill the RF requirement due to, e.g., </w:t>
            </w:r>
            <w:r>
              <w:rPr>
                <w:rFonts w:ascii="Times New Roman" w:hAnsi="Times New Roman"/>
                <w:szCs w:val="20"/>
                <w:lang w:eastAsia="x-none"/>
              </w:rPr>
              <w:t>PSD imbalance</w:t>
            </w:r>
          </w:p>
          <w:p w14:paraId="524A94B6" w14:textId="77777777" w:rsidR="00816149" w:rsidRDefault="00816149" w:rsidP="00816149">
            <w:pPr>
              <w:numPr>
                <w:ilvl w:val="0"/>
                <w:numId w:val="22"/>
              </w:numPr>
              <w:spacing w:after="0" w:line="240" w:lineRule="auto"/>
              <w:rPr>
                <w:rFonts w:ascii="Times New Roman" w:hAnsi="Times New Roman"/>
                <w:szCs w:val="20"/>
                <w:lang w:eastAsia="x-none"/>
              </w:rPr>
            </w:pPr>
            <w:r>
              <w:rPr>
                <w:rFonts w:ascii="Times New Roman" w:hAnsi="Times New Roman"/>
                <w:szCs w:val="20"/>
                <w:lang w:eastAsia="x-none"/>
              </w:rPr>
              <w:t>For a UE with limited TX capability, RAN1 considers the following options for resource selection in mode 4 CA.</w:t>
            </w:r>
          </w:p>
          <w:p w14:paraId="1237F545"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07C901CE" w14:textId="77777777" w:rsidR="00816149" w:rsidRDefault="00816149" w:rsidP="00816149">
            <w:pPr>
              <w:numPr>
                <w:ilvl w:val="2"/>
                <w:numId w:val="22"/>
              </w:numPr>
              <w:spacing w:after="0" w:line="240" w:lineRule="auto"/>
              <w:rPr>
                <w:rFonts w:ascii="Times New Roman" w:hAnsi="Times New Roman"/>
                <w:szCs w:val="20"/>
                <w:lang w:eastAsia="x-none"/>
              </w:rPr>
            </w:pPr>
            <w:r>
              <w:rPr>
                <w:rFonts w:ascii="Times New Roman" w:hAnsi="Times New Roman"/>
                <w:szCs w:val="20"/>
                <w:lang w:eastAsia="x-none"/>
              </w:rPr>
              <w:t xml:space="preserve">FFS details, e.g., the carrier resource selection order should consider PPPP of transmission </w:t>
            </w:r>
            <w:r>
              <w:rPr>
                <w:rFonts w:ascii="Times New Roman" w:hAnsi="Times New Roman"/>
                <w:szCs w:val="20"/>
              </w:rPr>
              <w:t>and CBR</w:t>
            </w:r>
            <w:r>
              <w:rPr>
                <w:rFonts w:ascii="Times New Roman" w:hAnsi="Times New Roman"/>
                <w:szCs w:val="20"/>
                <w:lang w:eastAsia="x-none"/>
              </w:rPr>
              <w:t>.</w:t>
            </w:r>
          </w:p>
          <w:p w14:paraId="4556F5FB"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427763A" w14:textId="77777777" w:rsidR="00816149" w:rsidRDefault="00816149" w:rsidP="00816149">
            <w:pPr>
              <w:numPr>
                <w:ilvl w:val="2"/>
                <w:numId w:val="22"/>
              </w:numPr>
              <w:spacing w:after="0" w:line="240" w:lineRule="auto"/>
              <w:rPr>
                <w:rFonts w:ascii="Times New Roman" w:hAnsi="Times New Roman"/>
                <w:szCs w:val="20"/>
                <w:lang w:eastAsia="x-none"/>
              </w:rPr>
            </w:pPr>
            <w:r>
              <w:rPr>
                <w:rFonts w:ascii="Times New Roman" w:eastAsia="Yu Mincho" w:hAnsi="Times New Roman"/>
                <w:szCs w:val="20"/>
                <w:lang w:eastAsia="ja-JP"/>
              </w:rPr>
              <w:t xml:space="preserve">FFS: whether </w:t>
            </w:r>
            <w:r>
              <w:rPr>
                <w:rFonts w:ascii="Times New Roman" w:hAnsi="Times New Roman"/>
                <w:szCs w:val="20"/>
                <w:lang w:eastAsia="x-none"/>
              </w:rPr>
              <w:t>it is up to UE implementation</w:t>
            </w:r>
          </w:p>
          <w:p w14:paraId="68EF52F4" w14:textId="77777777" w:rsidR="00816149" w:rsidRDefault="00816149" w:rsidP="00816149">
            <w:pPr>
              <w:numPr>
                <w:ilvl w:val="2"/>
                <w:numId w:val="22"/>
              </w:numPr>
              <w:spacing w:after="0" w:line="240" w:lineRule="auto"/>
              <w:rPr>
                <w:rFonts w:ascii="Times New Roman" w:hAnsi="Times New Roman"/>
                <w:szCs w:val="20"/>
                <w:lang w:eastAsia="x-none"/>
              </w:rPr>
            </w:pPr>
            <w:r>
              <w:rPr>
                <w:rFonts w:ascii="Times New Roman" w:hAnsi="Times New Roman"/>
                <w:szCs w:val="20"/>
                <w:lang w:eastAsia="x-none"/>
              </w:rPr>
              <w:t>FFS details, e.g., the carrier resource selection order should consider PPPP of transmission and CBR.</w:t>
            </w:r>
          </w:p>
          <w:p w14:paraId="404E4A36"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 xml:space="preserve">Option 2: After performing the per-carrier independent resource selection, the UE shall drop transmission in a subframe where using that subframe exceed its TX capability limitation. </w:t>
            </w:r>
          </w:p>
          <w:p w14:paraId="1681BEDB" w14:textId="77777777" w:rsidR="00816149" w:rsidRDefault="00816149" w:rsidP="00816149">
            <w:pPr>
              <w:numPr>
                <w:ilvl w:val="2"/>
                <w:numId w:val="22"/>
              </w:numPr>
              <w:spacing w:after="0" w:line="240" w:lineRule="auto"/>
              <w:rPr>
                <w:rFonts w:ascii="Times New Roman" w:hAnsi="Times New Roman"/>
                <w:szCs w:val="20"/>
                <w:lang w:eastAsia="x-none"/>
              </w:rPr>
            </w:pPr>
            <w:r>
              <w:rPr>
                <w:rFonts w:ascii="Times New Roman" w:hAnsi="Times New Roman"/>
                <w:szCs w:val="20"/>
                <w:lang w:eastAsia="x-none"/>
              </w:rPr>
              <w:t>FFS details of dropping rule, e.g., whether/how to consider PPPP and CBR</w:t>
            </w:r>
          </w:p>
          <w:p w14:paraId="0A8384BE"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lastRenderedPageBreak/>
              <w:t>FFS whether/how to consider other aspects (e.g., half duplex problem) in terms of resource selection</w:t>
            </w:r>
          </w:p>
          <w:p w14:paraId="728834CD" w14:textId="77777777" w:rsidR="00816149" w:rsidRDefault="00816149" w:rsidP="00816149">
            <w:pPr>
              <w:numPr>
                <w:ilvl w:val="0"/>
                <w:numId w:val="22"/>
              </w:numPr>
              <w:spacing w:after="0" w:line="240" w:lineRule="auto"/>
              <w:rPr>
                <w:rFonts w:ascii="Times New Roman" w:hAnsi="Times New Roman"/>
                <w:szCs w:val="20"/>
                <w:lang w:eastAsia="x-none"/>
              </w:rPr>
            </w:pPr>
            <w:r>
              <w:rPr>
                <w:rFonts w:ascii="Times New Roman" w:hAnsi="Times New Roman"/>
                <w:szCs w:val="20"/>
                <w:lang w:eastAsia="x-none"/>
              </w:rPr>
              <w:t>Down-select one combination among the followings:</w:t>
            </w:r>
          </w:p>
          <w:p w14:paraId="6E5E9D1F"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Option 1-1 for (a), (b), and (c)</w:t>
            </w:r>
          </w:p>
          <w:p w14:paraId="3EBEA9D2" w14:textId="77777777" w:rsidR="00816149" w:rsidRDefault="00816149" w:rsidP="00816149">
            <w:pPr>
              <w:numPr>
                <w:ilvl w:val="2"/>
                <w:numId w:val="22"/>
              </w:numPr>
              <w:spacing w:after="0" w:line="240" w:lineRule="auto"/>
              <w:rPr>
                <w:rFonts w:ascii="Times New Roman" w:hAnsi="Times New Roman"/>
                <w:szCs w:val="20"/>
                <w:lang w:eastAsia="x-none"/>
              </w:rPr>
            </w:pPr>
            <w:r>
              <w:rPr>
                <w:rFonts w:ascii="Times New Roman" w:hAnsi="Times New Roman"/>
                <w:szCs w:val="20"/>
                <w:lang w:eastAsia="x-none"/>
              </w:rPr>
              <w:t>the UE shall drop transmission in a subframe where using that subframe is beyond TX capability with (d)</w:t>
            </w:r>
          </w:p>
          <w:p w14:paraId="3385A4FF"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Option 1-1 for (a), (b), and (c)</w:t>
            </w:r>
          </w:p>
          <w:p w14:paraId="29179DF5" w14:textId="77777777" w:rsidR="00816149" w:rsidRDefault="00816149" w:rsidP="00816149">
            <w:pPr>
              <w:numPr>
                <w:ilvl w:val="2"/>
                <w:numId w:val="22"/>
              </w:numPr>
              <w:spacing w:after="0" w:line="240" w:lineRule="auto"/>
              <w:rPr>
                <w:rFonts w:ascii="Times New Roman" w:hAnsi="Times New Roman"/>
                <w:szCs w:val="20"/>
                <w:lang w:eastAsia="x-none"/>
              </w:rPr>
            </w:pPr>
            <w:r>
              <w:rPr>
                <w:rFonts w:ascii="Times New Roman" w:hAnsi="Times New Roman"/>
                <w:szCs w:val="20"/>
                <w:lang w:eastAsia="x-none"/>
              </w:rPr>
              <w:t>UE re-does resource reselection within the given reported candidate resource set until the resultant transmission resources fulfill TX capability with (d)</w:t>
            </w:r>
          </w:p>
          <w:p w14:paraId="0A13993F"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Option 1-2 for (a), (b), and (c) + Option 2 for (d)</w:t>
            </w:r>
          </w:p>
          <w:p w14:paraId="2CEAC62D"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Option 1-1 for (a), (b), (c), and (d)</w:t>
            </w:r>
          </w:p>
          <w:p w14:paraId="45C18058"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Option 1-2 for (a), (b), (c), and (d)</w:t>
            </w:r>
          </w:p>
          <w:p w14:paraId="2B657B33" w14:textId="77777777" w:rsidR="00816149" w:rsidRDefault="00816149" w:rsidP="00816149">
            <w:pPr>
              <w:numPr>
                <w:ilvl w:val="1"/>
                <w:numId w:val="22"/>
              </w:numPr>
              <w:spacing w:after="0" w:line="240" w:lineRule="auto"/>
              <w:rPr>
                <w:rFonts w:ascii="Times New Roman" w:hAnsi="Times New Roman"/>
                <w:szCs w:val="20"/>
                <w:lang w:eastAsia="x-none"/>
              </w:rPr>
            </w:pPr>
            <w:r>
              <w:rPr>
                <w:rFonts w:ascii="Times New Roman" w:hAnsi="Times New Roman"/>
                <w:szCs w:val="20"/>
                <w:lang w:eastAsia="x-none"/>
              </w:rPr>
              <w:t>Option 2 for (a), (b), (c), and (d)</w:t>
            </w:r>
          </w:p>
          <w:p w14:paraId="268D51F8" w14:textId="77777777" w:rsidR="00816149" w:rsidRDefault="00816149" w:rsidP="00AE0A3D">
            <w:pPr>
              <w:rPr>
                <w:rFonts w:ascii="Times New Roman" w:hAnsi="Times New Roman"/>
                <w:sz w:val="20"/>
              </w:rPr>
            </w:pPr>
          </w:p>
        </w:tc>
      </w:tr>
    </w:tbl>
    <w:p w14:paraId="74708CD8" w14:textId="77777777" w:rsidR="00816149" w:rsidRDefault="00816149" w:rsidP="00AE0A3D">
      <w:pPr>
        <w:rPr>
          <w:rFonts w:ascii="Times New Roman" w:hAnsi="Times New Roman"/>
          <w:sz w:val="20"/>
        </w:rPr>
      </w:pPr>
    </w:p>
    <w:p w14:paraId="6F341516" w14:textId="1447452F" w:rsidR="00816149" w:rsidRDefault="00816149" w:rsidP="00AE0A3D">
      <w:pPr>
        <w:rPr>
          <w:rFonts w:ascii="Times New Roman" w:hAnsi="Times New Roman"/>
          <w:sz w:val="20"/>
        </w:rPr>
      </w:pPr>
      <w:r>
        <w:rPr>
          <w:rFonts w:ascii="Times New Roman" w:hAnsi="Times New Roman"/>
          <w:sz w:val="20"/>
        </w:rPr>
        <w:t xml:space="preserve">In this context, it seems that the impact of TX limited UEs will be discussed and handled in RAN1 in painstaking detail. </w:t>
      </w:r>
      <w:r w:rsidR="00CD375C">
        <w:rPr>
          <w:rFonts w:ascii="Times New Roman" w:hAnsi="Times New Roman"/>
          <w:sz w:val="20"/>
        </w:rPr>
        <w:t xml:space="preserve">Discussion </w:t>
      </w:r>
      <w:r w:rsidR="00E460EF">
        <w:rPr>
          <w:rFonts w:ascii="Times New Roman" w:hAnsi="Times New Roman"/>
          <w:sz w:val="20"/>
        </w:rPr>
        <w:t>on</w:t>
      </w:r>
      <w:r w:rsidR="00CD375C">
        <w:rPr>
          <w:rFonts w:ascii="Times New Roman" w:hAnsi="Times New Roman"/>
          <w:sz w:val="20"/>
        </w:rPr>
        <w:t xml:space="preserve"> resource selection </w:t>
      </w:r>
      <w:r w:rsidR="00E26BB6">
        <w:rPr>
          <w:rFonts w:ascii="Times New Roman" w:hAnsi="Times New Roman"/>
          <w:sz w:val="20"/>
        </w:rPr>
        <w:t>enhancements</w:t>
      </w:r>
      <w:r w:rsidR="00CD375C">
        <w:rPr>
          <w:rFonts w:ascii="Times New Roman" w:hAnsi="Times New Roman"/>
          <w:sz w:val="20"/>
        </w:rPr>
        <w:t xml:space="preserve"> for UEs with limited TX </w:t>
      </w:r>
      <w:r w:rsidR="00D96CEC">
        <w:rPr>
          <w:rFonts w:ascii="Times New Roman" w:hAnsi="Times New Roman"/>
          <w:sz w:val="20"/>
        </w:rPr>
        <w:t xml:space="preserve">capabilities is supposed to be concluded in RAN1 in the next meeting. </w:t>
      </w:r>
      <w:r w:rsidR="00583DDD">
        <w:rPr>
          <w:rFonts w:ascii="Times New Roman" w:hAnsi="Times New Roman"/>
          <w:sz w:val="20"/>
        </w:rPr>
        <w:t xml:space="preserve">So, the question now is whether we need to have </w:t>
      </w:r>
      <w:r w:rsidR="00302977">
        <w:rPr>
          <w:rFonts w:ascii="Times New Roman" w:hAnsi="Times New Roman"/>
          <w:sz w:val="20"/>
        </w:rPr>
        <w:t>a similar</w:t>
      </w:r>
      <w:r w:rsidR="00583DDD">
        <w:rPr>
          <w:rFonts w:ascii="Times New Roman" w:hAnsi="Times New Roman"/>
          <w:sz w:val="20"/>
        </w:rPr>
        <w:t xml:space="preserve"> discussion on special consideration for limited TX capability UEs in RAN2 as well.</w:t>
      </w:r>
      <w:r w:rsidR="00302977">
        <w:rPr>
          <w:rFonts w:ascii="Times New Roman" w:hAnsi="Times New Roman"/>
          <w:sz w:val="20"/>
        </w:rPr>
        <w:t xml:space="preserve"> In our view, this discussion is</w:t>
      </w:r>
      <w:r w:rsidR="00D5646E">
        <w:rPr>
          <w:rFonts w:ascii="Times New Roman" w:hAnsi="Times New Roman"/>
          <w:sz w:val="20"/>
        </w:rPr>
        <w:t xml:space="preserve"> still</w:t>
      </w:r>
      <w:r w:rsidR="00302977">
        <w:rPr>
          <w:rFonts w:ascii="Times New Roman" w:hAnsi="Times New Roman"/>
          <w:sz w:val="20"/>
        </w:rPr>
        <w:t xml:space="preserve"> required since the selection of carriers for the purpose of carrier selection is separate from the discussion on resource selection limitations in RAN1 and carrier selection is to be performed in the MAC and/or RRC.</w:t>
      </w:r>
      <w:r w:rsidR="00175515">
        <w:rPr>
          <w:rFonts w:ascii="Times New Roman" w:hAnsi="Times New Roman"/>
          <w:sz w:val="20"/>
        </w:rPr>
        <w:t xml:space="preserve"> So, it is proposed that RAN2 considers the case of limited TX capability UEs regarding the carrier selection procedure.</w:t>
      </w:r>
    </w:p>
    <w:p w14:paraId="0DD916CC" w14:textId="4C8D00B4" w:rsidR="00EA447B" w:rsidRPr="00EA447B" w:rsidRDefault="00CF3154" w:rsidP="00EA447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00EA447B" w:rsidRPr="001C137C">
        <w:rPr>
          <w:rFonts w:ascii="Times New Roman" w:eastAsia="Times New Roman" w:hAnsi="Times New Roman"/>
          <w:b/>
          <w:bCs/>
          <w:sz w:val="20"/>
          <w:szCs w:val="20"/>
          <w:u w:val="single"/>
          <w:lang w:val="en-GB" w:eastAsia="zh-CN"/>
        </w:rPr>
        <w:t>:</w:t>
      </w:r>
      <w:r w:rsidR="00EA447B" w:rsidRPr="001C137C">
        <w:rPr>
          <w:rFonts w:ascii="Times New Roman" w:eastAsia="Times New Roman" w:hAnsi="Times New Roman"/>
          <w:b/>
          <w:bCs/>
          <w:sz w:val="20"/>
          <w:szCs w:val="20"/>
          <w:lang w:val="en-GB" w:eastAsia="zh-CN"/>
        </w:rPr>
        <w:tab/>
      </w:r>
      <w:r w:rsidR="00EA447B">
        <w:rPr>
          <w:rFonts w:ascii="Times New Roman" w:eastAsia="Times New Roman" w:hAnsi="Times New Roman"/>
          <w:bCs/>
          <w:i/>
          <w:sz w:val="20"/>
          <w:szCs w:val="20"/>
          <w:lang w:val="en-GB" w:eastAsia="zh-CN"/>
        </w:rPr>
        <w:t>The case of limited TX capability UE should be considered when performing carrier selection for CA.</w:t>
      </w:r>
    </w:p>
    <w:p w14:paraId="4814DDD1" w14:textId="05D99E0D" w:rsidR="001B5B3A" w:rsidRDefault="00302977" w:rsidP="00AE0A3D">
      <w:pPr>
        <w:rPr>
          <w:rFonts w:ascii="Times New Roman" w:hAnsi="Times New Roman"/>
          <w:sz w:val="20"/>
        </w:rPr>
      </w:pPr>
      <w:r>
        <w:rPr>
          <w:rFonts w:ascii="Times New Roman" w:hAnsi="Times New Roman"/>
          <w:sz w:val="20"/>
        </w:rPr>
        <w:t xml:space="preserve">Regarding the procedural details, it can be assumed that depending on UE capability, a subset of carriers will actually be available to choose from the set of carriers associated to a particular V2X service type. So, this ‘pruning’ of carriers </w:t>
      </w:r>
      <w:r w:rsidR="001B5B3A">
        <w:rPr>
          <w:rFonts w:ascii="Times New Roman" w:hAnsi="Times New Roman"/>
          <w:sz w:val="20"/>
        </w:rPr>
        <w:t>will</w:t>
      </w:r>
      <w:r>
        <w:rPr>
          <w:rFonts w:ascii="Times New Roman" w:hAnsi="Times New Roman"/>
          <w:sz w:val="20"/>
        </w:rPr>
        <w:t xml:space="preserve"> be performed before the other criteria (as </w:t>
      </w:r>
      <w:r w:rsidR="00D106DD">
        <w:rPr>
          <w:rFonts w:ascii="Times New Roman" w:hAnsi="Times New Roman"/>
          <w:sz w:val="20"/>
        </w:rPr>
        <w:t>discussed</w:t>
      </w:r>
      <w:r>
        <w:rPr>
          <w:rFonts w:ascii="Times New Roman" w:hAnsi="Times New Roman"/>
          <w:sz w:val="20"/>
        </w:rPr>
        <w:t xml:space="preserve"> in the email discussion) is applied</w:t>
      </w:r>
      <w:r w:rsidR="001B5B3A">
        <w:rPr>
          <w:rFonts w:ascii="Times New Roman" w:hAnsi="Times New Roman"/>
          <w:sz w:val="20"/>
        </w:rPr>
        <w:t xml:space="preserve">. Every time a new V2X service is initiated, the set of carriers passed down to the lower layers for selection would be directly filtered based on the UE capability, thereupon the UE would </w:t>
      </w:r>
      <w:r w:rsidR="00BB260D">
        <w:rPr>
          <w:rFonts w:ascii="Times New Roman" w:hAnsi="Times New Roman"/>
          <w:sz w:val="20"/>
        </w:rPr>
        <w:t>perform</w:t>
      </w:r>
      <w:r w:rsidR="001B5B3A">
        <w:rPr>
          <w:rFonts w:ascii="Times New Roman" w:hAnsi="Times New Roman"/>
          <w:sz w:val="20"/>
        </w:rPr>
        <w:t xml:space="preserve"> the selection based on the CBR-PPPP criteria. In this case, there is no further aspect related to UE capability that needs to be considered afterwards. </w:t>
      </w:r>
    </w:p>
    <w:p w14:paraId="2F9BAACA" w14:textId="17FB746F" w:rsidR="00EA447B" w:rsidRPr="00332463" w:rsidRDefault="00CF3154" w:rsidP="00EA447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EA447B" w:rsidRPr="001C137C">
        <w:rPr>
          <w:rFonts w:ascii="Times New Roman" w:eastAsia="Times New Roman" w:hAnsi="Times New Roman"/>
          <w:b/>
          <w:bCs/>
          <w:sz w:val="20"/>
          <w:szCs w:val="20"/>
          <w:u w:val="single"/>
          <w:lang w:val="en-GB" w:eastAsia="zh-CN"/>
        </w:rPr>
        <w:t>:</w:t>
      </w:r>
      <w:r w:rsidR="00EA447B" w:rsidRPr="001C137C">
        <w:rPr>
          <w:rFonts w:ascii="Times New Roman" w:eastAsia="Times New Roman" w:hAnsi="Times New Roman"/>
          <w:b/>
          <w:bCs/>
          <w:sz w:val="20"/>
          <w:szCs w:val="20"/>
          <w:lang w:val="en-GB" w:eastAsia="zh-CN"/>
        </w:rPr>
        <w:tab/>
      </w:r>
      <w:r w:rsidR="00EA447B" w:rsidRPr="00EA447B">
        <w:rPr>
          <w:rFonts w:ascii="Times New Roman" w:eastAsia="Times New Roman" w:hAnsi="Times New Roman"/>
          <w:bCs/>
          <w:i/>
          <w:sz w:val="20"/>
          <w:szCs w:val="20"/>
          <w:lang w:eastAsia="zh-CN"/>
        </w:rPr>
        <w:t>Every time a V2X service is initiated, the s</w:t>
      </w:r>
      <w:bookmarkStart w:id="0" w:name="_GoBack"/>
      <w:bookmarkEnd w:id="0"/>
      <w:r w:rsidR="00EA447B" w:rsidRPr="00EA447B">
        <w:rPr>
          <w:rFonts w:ascii="Times New Roman" w:eastAsia="Times New Roman" w:hAnsi="Times New Roman"/>
          <w:bCs/>
          <w:i/>
          <w:sz w:val="20"/>
          <w:szCs w:val="20"/>
          <w:lang w:eastAsia="zh-CN"/>
        </w:rPr>
        <w:t xml:space="preserve">et of carriers passed to the lower layers </w:t>
      </w:r>
      <w:r w:rsidR="00EA447B">
        <w:rPr>
          <w:rFonts w:ascii="Times New Roman" w:eastAsia="Times New Roman" w:hAnsi="Times New Roman"/>
          <w:bCs/>
          <w:i/>
          <w:sz w:val="20"/>
          <w:szCs w:val="20"/>
          <w:lang w:eastAsia="zh-CN"/>
        </w:rPr>
        <w:t>should be</w:t>
      </w:r>
      <w:r w:rsidR="00EA447B" w:rsidRPr="00EA447B">
        <w:rPr>
          <w:rFonts w:ascii="Times New Roman" w:eastAsia="Times New Roman" w:hAnsi="Times New Roman"/>
          <w:bCs/>
          <w:i/>
          <w:sz w:val="20"/>
          <w:szCs w:val="20"/>
          <w:lang w:eastAsia="zh-CN"/>
        </w:rPr>
        <w:t xml:space="preserve"> a subset of carriers mapped to that service and supported by UE </w:t>
      </w:r>
      <w:r w:rsidR="00EA447B">
        <w:rPr>
          <w:rFonts w:ascii="Times New Roman" w:eastAsia="Times New Roman" w:hAnsi="Times New Roman"/>
          <w:bCs/>
          <w:i/>
          <w:sz w:val="20"/>
          <w:szCs w:val="20"/>
          <w:lang w:eastAsia="zh-CN"/>
        </w:rPr>
        <w:t xml:space="preserve">TX </w:t>
      </w:r>
      <w:r w:rsidR="00EA447B" w:rsidRPr="00EA447B">
        <w:rPr>
          <w:rFonts w:ascii="Times New Roman" w:eastAsia="Times New Roman" w:hAnsi="Times New Roman"/>
          <w:bCs/>
          <w:i/>
          <w:sz w:val="20"/>
          <w:szCs w:val="20"/>
          <w:lang w:eastAsia="zh-CN"/>
        </w:rPr>
        <w:t>capability</w:t>
      </w:r>
      <w:r w:rsidR="00EA447B">
        <w:rPr>
          <w:rFonts w:ascii="Times New Roman" w:eastAsia="Times New Roman" w:hAnsi="Times New Roman"/>
          <w:bCs/>
          <w:i/>
          <w:sz w:val="20"/>
          <w:szCs w:val="20"/>
          <w:lang w:val="en-GB" w:eastAsia="zh-CN"/>
        </w:rPr>
        <w:t>.</w:t>
      </w:r>
    </w:p>
    <w:p w14:paraId="08B4E856" w14:textId="5E831BCB" w:rsidR="00BB260D" w:rsidRDefault="00EA447B" w:rsidP="00EA447B">
      <w:pPr>
        <w:ind w:left="1170" w:hanging="1170"/>
        <w:rPr>
          <w:rFonts w:ascii="Times New Roman" w:hAnsi="Times New Roman"/>
          <w:sz w:val="20"/>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EA447B">
        <w:rPr>
          <w:rFonts w:ascii="Times New Roman" w:eastAsia="Times New Roman" w:hAnsi="Times New Roman"/>
          <w:bCs/>
          <w:i/>
          <w:sz w:val="20"/>
          <w:szCs w:val="20"/>
          <w:lang w:eastAsia="zh-CN"/>
        </w:rPr>
        <w:t>No other enhancements</w:t>
      </w:r>
      <w:r>
        <w:rPr>
          <w:rFonts w:ascii="Times New Roman" w:eastAsia="Times New Roman" w:hAnsi="Times New Roman"/>
          <w:bCs/>
          <w:i/>
          <w:sz w:val="20"/>
          <w:szCs w:val="20"/>
          <w:lang w:eastAsia="zh-CN"/>
        </w:rPr>
        <w:t xml:space="preserve"> need to be considered for</w:t>
      </w:r>
      <w:r w:rsidRPr="00EA447B">
        <w:rPr>
          <w:rFonts w:ascii="Times New Roman" w:eastAsia="Times New Roman" w:hAnsi="Times New Roman"/>
          <w:bCs/>
          <w:i/>
          <w:sz w:val="20"/>
          <w:szCs w:val="20"/>
          <w:lang w:eastAsia="zh-CN"/>
        </w:rPr>
        <w:t xml:space="preserve"> UEs with limited TX capability when applying the CBR-PPPP carrier selection criteria</w:t>
      </w:r>
      <w:r>
        <w:rPr>
          <w:rFonts w:ascii="Times New Roman" w:eastAsia="Times New Roman" w:hAnsi="Times New Roman"/>
          <w:bCs/>
          <w:i/>
          <w:sz w:val="20"/>
          <w:szCs w:val="20"/>
          <w:lang w:eastAsia="zh-CN"/>
        </w:rPr>
        <w:t>.</w:t>
      </w:r>
    </w:p>
    <w:p w14:paraId="40C78475" w14:textId="6ED159A7" w:rsidR="00BB260D" w:rsidRPr="00BB260D" w:rsidRDefault="00BB260D" w:rsidP="00BB260D">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sidR="00C77DE9">
        <w:rPr>
          <w:rFonts w:ascii="Arial" w:eastAsia="MS Mincho" w:hAnsi="Arial" w:cs="Arial"/>
          <w:bCs/>
          <w:sz w:val="26"/>
          <w:szCs w:val="26"/>
          <w:lang w:val="en-GB" w:eastAsia="en-GB"/>
        </w:rPr>
        <w:t xml:space="preserve">Impact of </w:t>
      </w:r>
      <w:r>
        <w:rPr>
          <w:rFonts w:ascii="Arial" w:eastAsia="MS Mincho" w:hAnsi="Arial" w:cs="Arial"/>
          <w:bCs/>
          <w:sz w:val="26"/>
          <w:szCs w:val="26"/>
          <w:lang w:val="en-GB" w:eastAsia="en-GB"/>
        </w:rPr>
        <w:t>PPPR</w:t>
      </w:r>
    </w:p>
    <w:p w14:paraId="293081CC" w14:textId="1BC29D5D" w:rsidR="00BB260D" w:rsidRDefault="00BB260D" w:rsidP="00AE0A3D">
      <w:pPr>
        <w:rPr>
          <w:rFonts w:ascii="Times New Roman" w:hAnsi="Times New Roman"/>
          <w:sz w:val="20"/>
        </w:rPr>
      </w:pPr>
      <w:r>
        <w:rPr>
          <w:rFonts w:ascii="Times New Roman" w:hAnsi="Times New Roman"/>
          <w:sz w:val="20"/>
        </w:rPr>
        <w:t>SA2 defined the new parameter ProSe Per Packet Reliability (PPPR) to capture the required reliab</w:t>
      </w:r>
      <w:r w:rsidR="00851B1B">
        <w:rPr>
          <w:rFonts w:ascii="Times New Roman" w:hAnsi="Times New Roman"/>
          <w:sz w:val="20"/>
        </w:rPr>
        <w:t xml:space="preserve">ility for V2X transmission in </w:t>
      </w:r>
      <w:sdt>
        <w:sdtPr>
          <w:rPr>
            <w:rFonts w:ascii="Times New Roman" w:hAnsi="Times New Roman"/>
            <w:sz w:val="20"/>
          </w:rPr>
          <w:id w:val="709609938"/>
          <w:citation/>
        </w:sdtPr>
        <w:sdtEndPr/>
        <w:sdtContent>
          <w:r w:rsidR="00851B1B">
            <w:rPr>
              <w:rFonts w:ascii="Times New Roman" w:hAnsi="Times New Roman"/>
              <w:sz w:val="20"/>
            </w:rPr>
            <w:fldChar w:fldCharType="begin"/>
          </w:r>
          <w:r w:rsidR="00851B1B">
            <w:rPr>
              <w:rFonts w:ascii="Times New Roman" w:hAnsi="Times New Roman"/>
              <w:sz w:val="20"/>
            </w:rPr>
            <w:instrText xml:space="preserve"> CITATION SA2LS \l 1033 </w:instrText>
          </w:r>
          <w:r w:rsidR="00851B1B">
            <w:rPr>
              <w:rFonts w:ascii="Times New Roman" w:hAnsi="Times New Roman"/>
              <w:sz w:val="20"/>
            </w:rPr>
            <w:fldChar w:fldCharType="separate"/>
          </w:r>
          <w:r w:rsidR="006E5B12" w:rsidRPr="006E5B12">
            <w:rPr>
              <w:rFonts w:ascii="Times New Roman" w:hAnsi="Times New Roman"/>
              <w:noProof/>
              <w:sz w:val="20"/>
            </w:rPr>
            <w:t>[4]</w:t>
          </w:r>
          <w:r w:rsidR="00851B1B">
            <w:rPr>
              <w:rFonts w:ascii="Times New Roman" w:hAnsi="Times New Roman"/>
              <w:sz w:val="20"/>
            </w:rPr>
            <w:fldChar w:fldCharType="end"/>
          </w:r>
        </w:sdtContent>
      </w:sdt>
      <w:r>
        <w:rPr>
          <w:rFonts w:ascii="Times New Roman" w:hAnsi="Times New Roman"/>
          <w:sz w:val="20"/>
        </w:rPr>
        <w:t>. So, a relevant issue is whether this metric also needs to be incorporated in the carrier selection mechanism. Since RAN2 agreed to support use case 2 for CA to achieve greater reliability by duplicated transmission</w:t>
      </w:r>
      <w:r w:rsidR="00050909">
        <w:rPr>
          <w:rFonts w:ascii="Times New Roman" w:hAnsi="Times New Roman"/>
          <w:sz w:val="20"/>
        </w:rPr>
        <w:t>s</w:t>
      </w:r>
      <w:r>
        <w:rPr>
          <w:rFonts w:ascii="Times New Roman" w:hAnsi="Times New Roman"/>
          <w:sz w:val="20"/>
        </w:rPr>
        <w:t xml:space="preserve"> </w:t>
      </w:r>
      <w:r w:rsidR="00270C65">
        <w:rPr>
          <w:rFonts w:ascii="Times New Roman" w:hAnsi="Times New Roman"/>
          <w:sz w:val="20"/>
        </w:rPr>
        <w:t xml:space="preserve">for </w:t>
      </w:r>
      <w:r>
        <w:rPr>
          <w:rFonts w:ascii="Times New Roman" w:hAnsi="Times New Roman"/>
          <w:sz w:val="20"/>
        </w:rPr>
        <w:t>V2X, it makes sense that the reliability requirement metric be incl</w:t>
      </w:r>
      <w:r w:rsidR="00F7571C">
        <w:rPr>
          <w:rFonts w:ascii="Times New Roman" w:hAnsi="Times New Roman"/>
          <w:sz w:val="20"/>
        </w:rPr>
        <w:t>uded in the carrier selection</w:t>
      </w:r>
      <w:r w:rsidR="00050909">
        <w:rPr>
          <w:rFonts w:ascii="Times New Roman" w:hAnsi="Times New Roman"/>
          <w:sz w:val="20"/>
        </w:rPr>
        <w:t>, at least of the case then this duplication is configured to be performed</w:t>
      </w:r>
      <w:r w:rsidR="00F7571C">
        <w:rPr>
          <w:rFonts w:ascii="Times New Roman" w:hAnsi="Times New Roman"/>
          <w:sz w:val="20"/>
        </w:rPr>
        <w:t>.</w:t>
      </w:r>
      <w:r w:rsidR="002940FC">
        <w:rPr>
          <w:rFonts w:ascii="Times New Roman" w:hAnsi="Times New Roman"/>
          <w:sz w:val="20"/>
        </w:rPr>
        <w:t xml:space="preserve"> Of course, this also ties into the related discussion on the activation of packet duplication for both mode 3 and 4</w:t>
      </w:r>
      <w:r w:rsidR="00305D6A">
        <w:rPr>
          <w:rFonts w:ascii="Times New Roman" w:hAnsi="Times New Roman"/>
          <w:sz w:val="20"/>
        </w:rPr>
        <w:t xml:space="preserve"> UEs</w:t>
      </w:r>
      <w:r w:rsidR="002940FC">
        <w:rPr>
          <w:rFonts w:ascii="Times New Roman" w:hAnsi="Times New Roman"/>
          <w:sz w:val="20"/>
        </w:rPr>
        <w:t>. We</w:t>
      </w:r>
      <w:r w:rsidR="00851B1B">
        <w:rPr>
          <w:rFonts w:ascii="Times New Roman" w:hAnsi="Times New Roman"/>
          <w:sz w:val="20"/>
        </w:rPr>
        <w:t xml:space="preserve"> present our views on this in </w:t>
      </w:r>
      <w:sdt>
        <w:sdtPr>
          <w:rPr>
            <w:rFonts w:ascii="Times New Roman" w:hAnsi="Times New Roman"/>
            <w:sz w:val="20"/>
          </w:rPr>
          <w:id w:val="1636217604"/>
          <w:citation/>
        </w:sdtPr>
        <w:sdtEndPr/>
        <w:sdtContent>
          <w:r w:rsidR="00851B1B">
            <w:rPr>
              <w:rFonts w:ascii="Times New Roman" w:hAnsi="Times New Roman"/>
              <w:sz w:val="20"/>
            </w:rPr>
            <w:fldChar w:fldCharType="begin"/>
          </w:r>
          <w:r w:rsidR="00851B1B">
            <w:rPr>
              <w:rFonts w:ascii="Times New Roman" w:hAnsi="Times New Roman"/>
              <w:sz w:val="20"/>
            </w:rPr>
            <w:instrText xml:space="preserve"> CITATION IntelDuplication \l 1033 </w:instrText>
          </w:r>
          <w:r w:rsidR="00851B1B">
            <w:rPr>
              <w:rFonts w:ascii="Times New Roman" w:hAnsi="Times New Roman"/>
              <w:sz w:val="20"/>
            </w:rPr>
            <w:fldChar w:fldCharType="separate"/>
          </w:r>
          <w:r w:rsidR="006E5B12" w:rsidRPr="006E5B12">
            <w:rPr>
              <w:rFonts w:ascii="Times New Roman" w:hAnsi="Times New Roman"/>
              <w:noProof/>
              <w:sz w:val="20"/>
            </w:rPr>
            <w:t>[5]</w:t>
          </w:r>
          <w:r w:rsidR="00851B1B">
            <w:rPr>
              <w:rFonts w:ascii="Times New Roman" w:hAnsi="Times New Roman"/>
              <w:sz w:val="20"/>
            </w:rPr>
            <w:fldChar w:fldCharType="end"/>
          </w:r>
        </w:sdtContent>
      </w:sdt>
      <w:r w:rsidR="002940FC">
        <w:rPr>
          <w:rFonts w:ascii="Times New Roman" w:hAnsi="Times New Roman"/>
          <w:sz w:val="20"/>
        </w:rPr>
        <w:t>.</w:t>
      </w:r>
    </w:p>
    <w:p w14:paraId="388F9E1B" w14:textId="54837F25" w:rsidR="00F7571C" w:rsidRDefault="00CF3154" w:rsidP="00F7571C">
      <w:pPr>
        <w:ind w:left="1170" w:hanging="1170"/>
        <w:rPr>
          <w:rFonts w:ascii="Times New Roman" w:hAnsi="Times New Roman"/>
          <w:sz w:val="20"/>
        </w:rPr>
      </w:pPr>
      <w:r>
        <w:rPr>
          <w:rFonts w:ascii="Times New Roman" w:eastAsia="Times New Roman" w:hAnsi="Times New Roman"/>
          <w:b/>
          <w:bCs/>
          <w:sz w:val="20"/>
          <w:szCs w:val="20"/>
          <w:u w:val="single"/>
          <w:lang w:val="en-GB" w:eastAsia="zh-CN"/>
        </w:rPr>
        <w:t>Proposal 4</w:t>
      </w:r>
      <w:r w:rsidR="00F7571C" w:rsidRPr="001C137C">
        <w:rPr>
          <w:rFonts w:ascii="Times New Roman" w:eastAsia="Times New Roman" w:hAnsi="Times New Roman"/>
          <w:b/>
          <w:bCs/>
          <w:sz w:val="20"/>
          <w:szCs w:val="20"/>
          <w:u w:val="single"/>
          <w:lang w:val="en-GB" w:eastAsia="zh-CN"/>
        </w:rPr>
        <w:t>:</w:t>
      </w:r>
      <w:r w:rsidR="00F7571C" w:rsidRPr="001C137C">
        <w:rPr>
          <w:rFonts w:ascii="Times New Roman" w:eastAsia="Times New Roman" w:hAnsi="Times New Roman"/>
          <w:b/>
          <w:bCs/>
          <w:sz w:val="20"/>
          <w:szCs w:val="20"/>
          <w:lang w:val="en-GB" w:eastAsia="zh-CN"/>
        </w:rPr>
        <w:tab/>
      </w:r>
      <w:r w:rsidR="00F7571C">
        <w:rPr>
          <w:rFonts w:ascii="Times New Roman" w:eastAsia="Times New Roman" w:hAnsi="Times New Roman"/>
          <w:bCs/>
          <w:i/>
          <w:sz w:val="20"/>
          <w:szCs w:val="20"/>
          <w:lang w:eastAsia="zh-CN"/>
        </w:rPr>
        <w:t>ProSe Per Packet Reliability (PPPR) should be considered together with CBR and PPPP in the carrier selection mechanism for CA</w:t>
      </w:r>
      <w:r w:rsidR="002940FC">
        <w:rPr>
          <w:rFonts w:ascii="Times New Roman" w:eastAsia="Times New Roman" w:hAnsi="Times New Roman"/>
          <w:bCs/>
          <w:i/>
          <w:sz w:val="20"/>
          <w:szCs w:val="20"/>
          <w:lang w:eastAsia="zh-CN"/>
        </w:rPr>
        <w:t>, at least when duplication is activated</w:t>
      </w:r>
      <w:r w:rsidR="00F7571C">
        <w:rPr>
          <w:rFonts w:ascii="Times New Roman" w:eastAsia="Times New Roman" w:hAnsi="Times New Roman"/>
          <w:bCs/>
          <w:i/>
          <w:sz w:val="20"/>
          <w:szCs w:val="20"/>
          <w:lang w:eastAsia="zh-CN"/>
        </w:rPr>
        <w:t>.</w:t>
      </w:r>
    </w:p>
    <w:p w14:paraId="44F032C5" w14:textId="7F279593" w:rsidR="00BB260D" w:rsidRDefault="00BB260D" w:rsidP="00AE0A3D">
      <w:pPr>
        <w:rPr>
          <w:rFonts w:ascii="Times New Roman" w:hAnsi="Times New Roman"/>
          <w:sz w:val="20"/>
        </w:rPr>
      </w:pPr>
      <w:r>
        <w:rPr>
          <w:rFonts w:ascii="Times New Roman" w:hAnsi="Times New Roman"/>
          <w:sz w:val="20"/>
        </w:rPr>
        <w:t xml:space="preserve">In that case, </w:t>
      </w:r>
      <w:r w:rsidR="00F7571C">
        <w:rPr>
          <w:rFonts w:ascii="Times New Roman" w:hAnsi="Times New Roman"/>
          <w:sz w:val="20"/>
        </w:rPr>
        <w:t xml:space="preserve">we need to consider </w:t>
      </w:r>
      <w:r>
        <w:rPr>
          <w:rFonts w:ascii="Times New Roman" w:hAnsi="Times New Roman"/>
          <w:sz w:val="20"/>
        </w:rPr>
        <w:t xml:space="preserve">how to incorporate PPPR in addition to </w:t>
      </w:r>
      <w:r w:rsidR="00F7571C">
        <w:rPr>
          <w:rFonts w:ascii="Times New Roman" w:hAnsi="Times New Roman"/>
          <w:sz w:val="20"/>
        </w:rPr>
        <w:t xml:space="preserve">CBR and </w:t>
      </w:r>
      <w:r>
        <w:rPr>
          <w:rFonts w:ascii="Times New Roman" w:hAnsi="Times New Roman"/>
          <w:sz w:val="20"/>
        </w:rPr>
        <w:t xml:space="preserve">PPPP </w:t>
      </w:r>
      <w:r w:rsidR="00305D6A">
        <w:rPr>
          <w:rFonts w:ascii="Times New Roman" w:hAnsi="Times New Roman"/>
          <w:sz w:val="20"/>
        </w:rPr>
        <w:t>(</w:t>
      </w:r>
      <w:r>
        <w:rPr>
          <w:rFonts w:ascii="Times New Roman" w:hAnsi="Times New Roman"/>
          <w:sz w:val="20"/>
        </w:rPr>
        <w:t>that are already being considered</w:t>
      </w:r>
      <w:r w:rsidR="00305D6A">
        <w:rPr>
          <w:rFonts w:ascii="Times New Roman" w:hAnsi="Times New Roman"/>
          <w:sz w:val="20"/>
        </w:rPr>
        <w:t>) in carrier selection</w:t>
      </w:r>
      <w:r>
        <w:rPr>
          <w:rFonts w:ascii="Times New Roman" w:hAnsi="Times New Roman"/>
          <w:sz w:val="20"/>
        </w:rPr>
        <w:t>. In the email discussion</w:t>
      </w:r>
      <w:r w:rsidR="00F7571C">
        <w:rPr>
          <w:rFonts w:ascii="Times New Roman" w:hAnsi="Times New Roman"/>
          <w:sz w:val="20"/>
        </w:rPr>
        <w:t xml:space="preserve"> </w:t>
      </w:r>
      <w:sdt>
        <w:sdtPr>
          <w:rPr>
            <w:rFonts w:ascii="Times New Roman" w:hAnsi="Times New Roman"/>
            <w:sz w:val="20"/>
          </w:rPr>
          <w:id w:val="1297493071"/>
          <w:citation/>
        </w:sdtPr>
        <w:sdtEndPr/>
        <w:sdtContent>
          <w:r w:rsidR="00851B1B">
            <w:rPr>
              <w:rFonts w:ascii="Times New Roman" w:hAnsi="Times New Roman"/>
              <w:sz w:val="20"/>
            </w:rPr>
            <w:fldChar w:fldCharType="begin"/>
          </w:r>
          <w:r w:rsidR="00851B1B">
            <w:rPr>
              <w:rFonts w:ascii="Times New Roman" w:hAnsi="Times New Roman"/>
              <w:sz w:val="20"/>
            </w:rPr>
            <w:instrText xml:space="preserve"> CITATION LGemail \l 1033 </w:instrText>
          </w:r>
          <w:r w:rsidR="00851B1B">
            <w:rPr>
              <w:rFonts w:ascii="Times New Roman" w:hAnsi="Times New Roman"/>
              <w:sz w:val="20"/>
            </w:rPr>
            <w:fldChar w:fldCharType="separate"/>
          </w:r>
          <w:r w:rsidR="006E5B12" w:rsidRPr="006E5B12">
            <w:rPr>
              <w:rFonts w:ascii="Times New Roman" w:hAnsi="Times New Roman"/>
              <w:noProof/>
              <w:sz w:val="20"/>
            </w:rPr>
            <w:t>[1]</w:t>
          </w:r>
          <w:r w:rsidR="00851B1B">
            <w:rPr>
              <w:rFonts w:ascii="Times New Roman" w:hAnsi="Times New Roman"/>
              <w:sz w:val="20"/>
            </w:rPr>
            <w:fldChar w:fldCharType="end"/>
          </w:r>
        </w:sdtContent>
      </w:sdt>
      <w:r>
        <w:rPr>
          <w:rFonts w:ascii="Times New Roman" w:hAnsi="Times New Roman"/>
          <w:sz w:val="20"/>
        </w:rPr>
        <w:t>, many companies have expressed the view of reusing the CBR-PPPP tables from Rel-14 for the purpose of carrier selection as well. However, since PPPR is a newly defined parameter, the same cannot be applicable and we need to consider additional options, even if we end up reusing the Rel-14 CBR-PPPP tables for carrier selection. In this regard, we can consider the following options:</w:t>
      </w:r>
    </w:p>
    <w:p w14:paraId="7EDCFEB5" w14:textId="75B5FCAB" w:rsidR="00506DD1" w:rsidRDefault="00506DD1" w:rsidP="00BB260D">
      <w:pPr>
        <w:pStyle w:val="ListParagraph"/>
        <w:numPr>
          <w:ilvl w:val="0"/>
          <w:numId w:val="23"/>
        </w:numPr>
        <w:rPr>
          <w:rFonts w:ascii="Times New Roman" w:hAnsi="Times New Roman"/>
          <w:sz w:val="20"/>
        </w:rPr>
      </w:pPr>
      <w:r>
        <w:rPr>
          <w:rFonts w:ascii="Times New Roman" w:hAnsi="Times New Roman"/>
          <w:sz w:val="20"/>
        </w:rPr>
        <w:t xml:space="preserve">Apply PPPR </w:t>
      </w:r>
      <w:r w:rsidR="001331C7">
        <w:rPr>
          <w:rFonts w:ascii="Times New Roman" w:hAnsi="Times New Roman"/>
          <w:sz w:val="20"/>
        </w:rPr>
        <w:t xml:space="preserve">criterion </w:t>
      </w:r>
      <w:r>
        <w:rPr>
          <w:rFonts w:ascii="Times New Roman" w:hAnsi="Times New Roman"/>
          <w:sz w:val="20"/>
        </w:rPr>
        <w:t xml:space="preserve">at the end of the carrier selection procedure, regardless of the CBR values for each </w:t>
      </w:r>
      <w:r w:rsidR="00080813">
        <w:rPr>
          <w:rFonts w:ascii="Times New Roman" w:hAnsi="Times New Roman"/>
          <w:sz w:val="20"/>
        </w:rPr>
        <w:t xml:space="preserve">applicable </w:t>
      </w:r>
      <w:r>
        <w:rPr>
          <w:rFonts w:ascii="Times New Roman" w:hAnsi="Times New Roman"/>
          <w:sz w:val="20"/>
        </w:rPr>
        <w:t xml:space="preserve">carrier. In this case, once the set of carriers that the UE can </w:t>
      </w:r>
      <w:r w:rsidR="001331C7">
        <w:rPr>
          <w:rFonts w:ascii="Times New Roman" w:hAnsi="Times New Roman"/>
          <w:sz w:val="20"/>
        </w:rPr>
        <w:t xml:space="preserve">choose from to </w:t>
      </w:r>
      <w:r>
        <w:rPr>
          <w:rFonts w:ascii="Times New Roman" w:hAnsi="Times New Roman"/>
          <w:sz w:val="20"/>
        </w:rPr>
        <w:t xml:space="preserve">perform V2X transmissions has been determined (based on </w:t>
      </w:r>
      <w:r w:rsidR="001331C7">
        <w:rPr>
          <w:rFonts w:ascii="Times New Roman" w:hAnsi="Times New Roman"/>
          <w:sz w:val="20"/>
        </w:rPr>
        <w:t xml:space="preserve">CBR, </w:t>
      </w:r>
      <w:r>
        <w:rPr>
          <w:rFonts w:ascii="Times New Roman" w:hAnsi="Times New Roman"/>
          <w:sz w:val="20"/>
        </w:rPr>
        <w:t xml:space="preserve">PPPP), a </w:t>
      </w:r>
      <w:r w:rsidR="001331C7">
        <w:rPr>
          <w:rFonts w:ascii="Times New Roman" w:hAnsi="Times New Roman"/>
          <w:sz w:val="20"/>
        </w:rPr>
        <w:t>sub</w:t>
      </w:r>
      <w:r>
        <w:rPr>
          <w:rFonts w:ascii="Times New Roman" w:hAnsi="Times New Roman"/>
          <w:sz w:val="20"/>
        </w:rPr>
        <w:t>set of carriers is chosen fo</w:t>
      </w:r>
      <w:r w:rsidR="001F2E8B">
        <w:rPr>
          <w:rFonts w:ascii="Times New Roman" w:hAnsi="Times New Roman"/>
          <w:sz w:val="20"/>
        </w:rPr>
        <w:t xml:space="preserve">r duplicated </w:t>
      </w:r>
      <w:r w:rsidR="001F2E8B">
        <w:rPr>
          <w:rFonts w:ascii="Times New Roman" w:hAnsi="Times New Roman"/>
          <w:sz w:val="20"/>
        </w:rPr>
        <w:lastRenderedPageBreak/>
        <w:t xml:space="preserve">transmissions </w:t>
      </w:r>
      <w:r w:rsidR="001331C7">
        <w:rPr>
          <w:rFonts w:ascii="Times New Roman" w:hAnsi="Times New Roman"/>
          <w:sz w:val="20"/>
        </w:rPr>
        <w:t xml:space="preserve">based on a single </w:t>
      </w:r>
      <w:r w:rsidR="001F2E8B">
        <w:rPr>
          <w:rFonts w:ascii="Times New Roman" w:hAnsi="Times New Roman"/>
          <w:sz w:val="20"/>
        </w:rPr>
        <w:t xml:space="preserve">configured </w:t>
      </w:r>
      <w:r w:rsidR="001331C7">
        <w:rPr>
          <w:rFonts w:ascii="Times New Roman" w:hAnsi="Times New Roman"/>
          <w:sz w:val="20"/>
        </w:rPr>
        <w:t>PPPR threshold</w:t>
      </w:r>
      <w:r>
        <w:rPr>
          <w:rFonts w:ascii="Times New Roman" w:hAnsi="Times New Roman"/>
          <w:sz w:val="20"/>
        </w:rPr>
        <w:t xml:space="preserve">. These </w:t>
      </w:r>
      <w:r w:rsidR="001331C7">
        <w:rPr>
          <w:rFonts w:ascii="Times New Roman" w:hAnsi="Times New Roman"/>
          <w:sz w:val="20"/>
        </w:rPr>
        <w:t xml:space="preserve">carriers </w:t>
      </w:r>
      <w:r w:rsidR="007B1F9D">
        <w:rPr>
          <w:rFonts w:ascii="Times New Roman" w:hAnsi="Times New Roman"/>
          <w:sz w:val="20"/>
        </w:rPr>
        <w:t xml:space="preserve">for duplication </w:t>
      </w:r>
      <w:r>
        <w:rPr>
          <w:rFonts w:ascii="Times New Roman" w:hAnsi="Times New Roman"/>
          <w:sz w:val="20"/>
        </w:rPr>
        <w:t>can be chosen randomly or they could be the carriers with the lowest CBR value.</w:t>
      </w:r>
    </w:p>
    <w:p w14:paraId="2C9B7733" w14:textId="34C2FA59" w:rsidR="00BB260D" w:rsidRDefault="00C55FDB" w:rsidP="00BB260D">
      <w:pPr>
        <w:pStyle w:val="ListParagraph"/>
        <w:numPr>
          <w:ilvl w:val="0"/>
          <w:numId w:val="23"/>
        </w:numPr>
        <w:rPr>
          <w:rFonts w:ascii="Times New Roman" w:hAnsi="Times New Roman"/>
          <w:sz w:val="20"/>
        </w:rPr>
      </w:pPr>
      <w:r>
        <w:rPr>
          <w:rFonts w:ascii="Times New Roman" w:hAnsi="Times New Roman"/>
          <w:sz w:val="20"/>
        </w:rPr>
        <w:t>Define a per-carrier CBR threshold for each PPPR value (s</w:t>
      </w:r>
      <w:r w:rsidR="00851B1B">
        <w:rPr>
          <w:rFonts w:ascii="Times New Roman" w:hAnsi="Times New Roman"/>
          <w:sz w:val="20"/>
        </w:rPr>
        <w:t xml:space="preserve">imilar to PPPP as proposed in </w:t>
      </w:r>
      <w:sdt>
        <w:sdtPr>
          <w:rPr>
            <w:rFonts w:ascii="Times New Roman" w:hAnsi="Times New Roman"/>
            <w:sz w:val="20"/>
          </w:rPr>
          <w:id w:val="503404285"/>
          <w:citation/>
        </w:sdtPr>
        <w:sdtEndPr/>
        <w:sdtContent>
          <w:r w:rsidR="00851B1B">
            <w:rPr>
              <w:rFonts w:ascii="Times New Roman" w:hAnsi="Times New Roman"/>
              <w:sz w:val="20"/>
            </w:rPr>
            <w:fldChar w:fldCharType="begin"/>
          </w:r>
          <w:r w:rsidR="00851B1B">
            <w:rPr>
              <w:rFonts w:ascii="Times New Roman" w:hAnsi="Times New Roman"/>
              <w:sz w:val="20"/>
            </w:rPr>
            <w:instrText xml:space="preserve"> CITATION LGemail \l 1033 </w:instrText>
          </w:r>
          <w:r w:rsidR="00851B1B">
            <w:rPr>
              <w:rFonts w:ascii="Times New Roman" w:hAnsi="Times New Roman"/>
              <w:sz w:val="20"/>
            </w:rPr>
            <w:fldChar w:fldCharType="separate"/>
          </w:r>
          <w:r w:rsidR="006E5B12" w:rsidRPr="006E5B12">
            <w:rPr>
              <w:rFonts w:ascii="Times New Roman" w:hAnsi="Times New Roman"/>
              <w:noProof/>
              <w:sz w:val="20"/>
            </w:rPr>
            <w:t>[1]</w:t>
          </w:r>
          <w:r w:rsidR="00851B1B">
            <w:rPr>
              <w:rFonts w:ascii="Times New Roman" w:hAnsi="Times New Roman"/>
              <w:sz w:val="20"/>
            </w:rPr>
            <w:fldChar w:fldCharType="end"/>
          </w:r>
        </w:sdtContent>
      </w:sdt>
      <w:r w:rsidR="001331C7">
        <w:rPr>
          <w:rFonts w:ascii="Times New Roman" w:hAnsi="Times New Roman"/>
          <w:sz w:val="20"/>
        </w:rPr>
        <w:t>)</w:t>
      </w:r>
      <w:r>
        <w:rPr>
          <w:rFonts w:ascii="Times New Roman" w:hAnsi="Times New Roman"/>
          <w:sz w:val="20"/>
        </w:rPr>
        <w:t xml:space="preserve">. </w:t>
      </w:r>
      <w:r w:rsidR="001331C7">
        <w:rPr>
          <w:rFonts w:ascii="Times New Roman" w:hAnsi="Times New Roman"/>
          <w:sz w:val="20"/>
        </w:rPr>
        <w:t>Regardless of how many different PPPR values we end up defining, i</w:t>
      </w:r>
      <w:r>
        <w:rPr>
          <w:rFonts w:ascii="Times New Roman" w:hAnsi="Times New Roman"/>
          <w:sz w:val="20"/>
        </w:rPr>
        <w:t xml:space="preserve">n this case, the threshold relates to the CBR value </w:t>
      </w:r>
      <w:r w:rsidR="001331C7">
        <w:rPr>
          <w:rFonts w:ascii="Times New Roman" w:hAnsi="Times New Roman"/>
          <w:sz w:val="20"/>
        </w:rPr>
        <w:t xml:space="preserve">for each PPPR value, </w:t>
      </w:r>
      <w:r>
        <w:rPr>
          <w:rFonts w:ascii="Times New Roman" w:hAnsi="Times New Roman"/>
          <w:sz w:val="20"/>
        </w:rPr>
        <w:t xml:space="preserve">above which duplication on this carrier is not allowed. So, the </w:t>
      </w:r>
      <w:r w:rsidR="00506DD1">
        <w:rPr>
          <w:rFonts w:ascii="Times New Roman" w:hAnsi="Times New Roman"/>
          <w:sz w:val="20"/>
        </w:rPr>
        <w:t xml:space="preserve">procedures can be applied sequentially for each incoming packet where first a set of potential carriers is determined based on the CBR thresholds </w:t>
      </w:r>
      <w:r w:rsidR="00A41F0B">
        <w:rPr>
          <w:rFonts w:ascii="Times New Roman" w:hAnsi="Times New Roman"/>
          <w:sz w:val="20"/>
        </w:rPr>
        <w:t>specific to</w:t>
      </w:r>
      <w:r w:rsidR="00506DD1">
        <w:rPr>
          <w:rFonts w:ascii="Times New Roman" w:hAnsi="Times New Roman"/>
          <w:sz w:val="20"/>
        </w:rPr>
        <w:t xml:space="preserve"> that packet’s PPPP value. Then, from the set of carriers thus obtained, the set of carriers over which the packet needs to be duplicated is determined</w:t>
      </w:r>
      <w:r w:rsidR="004D1035">
        <w:rPr>
          <w:rFonts w:ascii="Times New Roman" w:hAnsi="Times New Roman"/>
          <w:sz w:val="20"/>
        </w:rPr>
        <w:t xml:space="preserve"> </w:t>
      </w:r>
      <w:r w:rsidR="009F15B9">
        <w:rPr>
          <w:rFonts w:ascii="Times New Roman" w:hAnsi="Times New Roman"/>
          <w:sz w:val="20"/>
        </w:rPr>
        <w:t>similarly</w:t>
      </w:r>
      <w:r w:rsidR="00506DD1">
        <w:rPr>
          <w:rFonts w:ascii="Times New Roman" w:hAnsi="Times New Roman"/>
          <w:sz w:val="20"/>
        </w:rPr>
        <w:t xml:space="preserve">. </w:t>
      </w:r>
    </w:p>
    <w:p w14:paraId="2EBC0A1E" w14:textId="77777777" w:rsidR="00506DD1" w:rsidRPr="00BB260D" w:rsidRDefault="00506DD1" w:rsidP="00506DD1">
      <w:pPr>
        <w:pStyle w:val="ListParagraph"/>
        <w:rPr>
          <w:rFonts w:ascii="Times New Roman" w:hAnsi="Times New Roman"/>
          <w:sz w:val="20"/>
        </w:rPr>
      </w:pPr>
    </w:p>
    <w:p w14:paraId="2EAAFCA2" w14:textId="61B4427D" w:rsidR="00506DD1" w:rsidRDefault="00506DD1" w:rsidP="00AE0A3D">
      <w:pPr>
        <w:rPr>
          <w:rFonts w:ascii="Times New Roman" w:eastAsia="Times New Roman" w:hAnsi="Times New Roman"/>
          <w:bCs/>
          <w:sz w:val="20"/>
          <w:szCs w:val="20"/>
          <w:lang w:val="en-GB" w:eastAsia="zh-CN"/>
        </w:rPr>
      </w:pPr>
      <w:r>
        <w:rPr>
          <w:rFonts w:ascii="Times New Roman" w:hAnsi="Times New Roman"/>
          <w:sz w:val="20"/>
        </w:rPr>
        <w:t>Regarding the two options, option 1 is simpler to implement but is functionally equivalent to defining a single PPPR threshold for all carriers</w:t>
      </w:r>
      <w:r w:rsidR="004D1035">
        <w:rPr>
          <w:rFonts w:ascii="Times New Roman" w:hAnsi="Times New Roman"/>
          <w:sz w:val="20"/>
        </w:rPr>
        <w:t>, irrespective of their CBR values</w:t>
      </w:r>
      <w:r>
        <w:rPr>
          <w:rFonts w:ascii="Times New Roman" w:hAnsi="Times New Roman"/>
          <w:sz w:val="20"/>
        </w:rPr>
        <w:t xml:space="preserve">. Option 2, </w:t>
      </w:r>
      <w:r w:rsidR="004D1035">
        <w:rPr>
          <w:rFonts w:ascii="Times New Roman" w:hAnsi="Times New Roman"/>
          <w:sz w:val="20"/>
        </w:rPr>
        <w:t>meanwhile</w:t>
      </w:r>
      <w:r>
        <w:rPr>
          <w:rFonts w:ascii="Times New Roman" w:hAnsi="Times New Roman"/>
          <w:sz w:val="20"/>
        </w:rPr>
        <w:t>, applies this PPPR threshold per carrier, taking into account their respective CBR values. Choosing between 1 and 2 hinges on an important a</w:t>
      </w:r>
      <w:r w:rsidR="00851B1B">
        <w:rPr>
          <w:rFonts w:ascii="Times New Roman" w:hAnsi="Times New Roman"/>
          <w:sz w:val="20"/>
        </w:rPr>
        <w:t xml:space="preserve">spect which is also raised in </w:t>
      </w:r>
      <w:sdt>
        <w:sdtPr>
          <w:rPr>
            <w:rFonts w:ascii="Times New Roman" w:hAnsi="Times New Roman"/>
            <w:sz w:val="20"/>
          </w:rPr>
          <w:id w:val="358854780"/>
          <w:citation/>
        </w:sdtPr>
        <w:sdtEndPr/>
        <w:sdtContent>
          <w:r w:rsidR="00851B1B">
            <w:rPr>
              <w:rFonts w:ascii="Times New Roman" w:hAnsi="Times New Roman"/>
              <w:sz w:val="20"/>
            </w:rPr>
            <w:fldChar w:fldCharType="begin"/>
          </w:r>
          <w:r w:rsidR="00851B1B">
            <w:rPr>
              <w:rFonts w:ascii="Times New Roman" w:hAnsi="Times New Roman"/>
              <w:sz w:val="20"/>
            </w:rPr>
            <w:instrText xml:space="preserve"> CITATION IntelDuplication \l 1033 </w:instrText>
          </w:r>
          <w:r w:rsidR="00851B1B">
            <w:rPr>
              <w:rFonts w:ascii="Times New Roman" w:hAnsi="Times New Roman"/>
              <w:sz w:val="20"/>
            </w:rPr>
            <w:fldChar w:fldCharType="separate"/>
          </w:r>
          <w:r w:rsidR="006E5B12" w:rsidRPr="006E5B12">
            <w:rPr>
              <w:rFonts w:ascii="Times New Roman" w:hAnsi="Times New Roman"/>
              <w:noProof/>
              <w:sz w:val="20"/>
            </w:rPr>
            <w:t>[5]</w:t>
          </w:r>
          <w:r w:rsidR="00851B1B">
            <w:rPr>
              <w:rFonts w:ascii="Times New Roman" w:hAnsi="Times New Roman"/>
              <w:sz w:val="20"/>
            </w:rPr>
            <w:fldChar w:fldCharType="end"/>
          </w:r>
        </w:sdtContent>
      </w:sdt>
      <w:r>
        <w:rPr>
          <w:rFonts w:ascii="Times New Roman" w:hAnsi="Times New Roman"/>
          <w:sz w:val="20"/>
        </w:rPr>
        <w:t xml:space="preserve">: </w:t>
      </w:r>
      <w:r>
        <w:rPr>
          <w:rFonts w:ascii="Times New Roman" w:eastAsia="Times New Roman" w:hAnsi="Times New Roman"/>
          <w:bCs/>
          <w:sz w:val="20"/>
          <w:szCs w:val="20"/>
          <w:lang w:val="en-GB" w:eastAsia="zh-CN"/>
        </w:rPr>
        <w:t>whether a particular V2X application or service type generates packets with the same reliability requirement or not (at least w</w:t>
      </w:r>
      <w:r w:rsidR="00EA447B">
        <w:rPr>
          <w:rFonts w:ascii="Times New Roman" w:eastAsia="Times New Roman" w:hAnsi="Times New Roman"/>
          <w:bCs/>
          <w:sz w:val="20"/>
          <w:szCs w:val="20"/>
          <w:lang w:val="en-GB" w:eastAsia="zh-CN"/>
        </w:rPr>
        <w:t>ithin a certain period of time)?</w:t>
      </w:r>
      <w:r>
        <w:rPr>
          <w:rFonts w:ascii="Times New Roman" w:eastAsia="Times New Roman" w:hAnsi="Times New Roman"/>
          <w:bCs/>
          <w:sz w:val="20"/>
          <w:szCs w:val="20"/>
          <w:lang w:val="en-GB" w:eastAsia="zh-CN"/>
        </w:rPr>
        <w:t xml:space="preserve"> In other words, whether or not the packets generated for a given V2X service have the same or different PPPR values associated with them</w:t>
      </w:r>
      <w:r w:rsidR="00913687">
        <w:rPr>
          <w:rFonts w:ascii="Times New Roman" w:eastAsia="Times New Roman" w:hAnsi="Times New Roman"/>
          <w:bCs/>
          <w:sz w:val="20"/>
          <w:szCs w:val="20"/>
          <w:lang w:val="en-GB" w:eastAsia="zh-CN"/>
        </w:rPr>
        <w:t xml:space="preserve">. </w:t>
      </w:r>
      <w:r w:rsidR="00EA447B">
        <w:rPr>
          <w:rFonts w:ascii="Times New Roman" w:eastAsia="Times New Roman" w:hAnsi="Times New Roman"/>
          <w:bCs/>
          <w:sz w:val="20"/>
          <w:szCs w:val="20"/>
          <w:lang w:val="en-GB" w:eastAsia="zh-CN"/>
        </w:rPr>
        <w:t>So, RAN2 is encouraged to discuss and decide between option 1 and 2 based on the granularity of PPPR values related to service types.</w:t>
      </w:r>
    </w:p>
    <w:p w14:paraId="28A9C051" w14:textId="27547D44" w:rsidR="00E86837" w:rsidRPr="00332463" w:rsidRDefault="00CF3154" w:rsidP="0033246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5</w:t>
      </w:r>
      <w:r w:rsidR="008F7B19" w:rsidRPr="001C137C">
        <w:rPr>
          <w:rFonts w:ascii="Times New Roman" w:eastAsia="Times New Roman" w:hAnsi="Times New Roman"/>
          <w:b/>
          <w:bCs/>
          <w:sz w:val="20"/>
          <w:szCs w:val="20"/>
          <w:u w:val="single"/>
          <w:lang w:val="en-GB" w:eastAsia="zh-CN"/>
        </w:rPr>
        <w:t>:</w:t>
      </w:r>
      <w:r w:rsidR="008F7B19" w:rsidRPr="001C137C">
        <w:rPr>
          <w:rFonts w:ascii="Times New Roman" w:eastAsia="Times New Roman" w:hAnsi="Times New Roman"/>
          <w:b/>
          <w:bCs/>
          <w:sz w:val="20"/>
          <w:szCs w:val="20"/>
          <w:lang w:val="en-GB" w:eastAsia="zh-CN"/>
        </w:rPr>
        <w:tab/>
      </w:r>
      <w:r w:rsidR="00913687">
        <w:rPr>
          <w:rFonts w:ascii="Times New Roman" w:eastAsia="Times New Roman" w:hAnsi="Times New Roman"/>
          <w:bCs/>
          <w:i/>
          <w:sz w:val="20"/>
          <w:szCs w:val="20"/>
          <w:lang w:val="en-GB" w:eastAsia="zh-CN"/>
        </w:rPr>
        <w:t xml:space="preserve">RAN2 to discuss and decide whether a single or per-carrier PPPR threshold needs to be configured in the carrier selection procedure when performing duplicated transmissions over multiple carriers. </w:t>
      </w:r>
    </w:p>
    <w:p w14:paraId="50A28EC3" w14:textId="77777777" w:rsidR="008669B1" w:rsidRPr="00E0063E" w:rsidRDefault="008669B1" w:rsidP="008669B1">
      <w:pPr>
        <w:pStyle w:val="Tdoc"/>
      </w:pPr>
      <w:r w:rsidRPr="00E0063E">
        <w:t>Conclusion</w:t>
      </w:r>
    </w:p>
    <w:p w14:paraId="50A28EC4" w14:textId="5EFD16A1"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BD4C5D">
        <w:rPr>
          <w:rFonts w:ascii="Times New Roman" w:eastAsia="Times New Roman" w:hAnsi="Times New Roman"/>
          <w:bCs/>
          <w:sz w:val="20"/>
          <w:szCs w:val="20"/>
          <w:lang w:val="en-GB" w:eastAsia="zh-CN"/>
        </w:rPr>
        <w:t xml:space="preserve">aspects related to the </w:t>
      </w:r>
      <w:r w:rsidR="00CF3154">
        <w:rPr>
          <w:rFonts w:ascii="Times New Roman" w:eastAsia="Times New Roman" w:hAnsi="Times New Roman"/>
          <w:bCs/>
          <w:sz w:val="20"/>
          <w:szCs w:val="20"/>
          <w:lang w:val="en-GB" w:eastAsia="zh-CN"/>
        </w:rPr>
        <w:t>carrier selection mechanism for CA over V2X and makes the following proposals</w:t>
      </w:r>
      <w:r w:rsidR="00777344">
        <w:rPr>
          <w:rFonts w:ascii="Times New Roman" w:eastAsia="Times New Roman" w:hAnsi="Times New Roman"/>
          <w:bCs/>
          <w:sz w:val="20"/>
          <w:szCs w:val="20"/>
          <w:lang w:val="en-GB" w:eastAsia="zh-CN"/>
        </w:rPr>
        <w:t>:</w:t>
      </w:r>
    </w:p>
    <w:p w14:paraId="79FE43DE" w14:textId="77777777" w:rsidR="00CF3154" w:rsidRPr="00EA447B" w:rsidRDefault="00CF3154" w:rsidP="00CF315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case of limited TX capability UE should be considered when performing carrier selection for CA.</w:t>
      </w:r>
    </w:p>
    <w:p w14:paraId="2A7E94CF" w14:textId="77777777" w:rsidR="00CF3154" w:rsidRPr="00332463" w:rsidRDefault="00CF3154" w:rsidP="00CF315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EA447B">
        <w:rPr>
          <w:rFonts w:ascii="Times New Roman" w:eastAsia="Times New Roman" w:hAnsi="Times New Roman"/>
          <w:bCs/>
          <w:i/>
          <w:sz w:val="20"/>
          <w:szCs w:val="20"/>
          <w:lang w:eastAsia="zh-CN"/>
        </w:rPr>
        <w:t xml:space="preserve">Every time a V2X service is initiated, the set of carriers passed to the lower layers </w:t>
      </w:r>
      <w:r>
        <w:rPr>
          <w:rFonts w:ascii="Times New Roman" w:eastAsia="Times New Roman" w:hAnsi="Times New Roman"/>
          <w:bCs/>
          <w:i/>
          <w:sz w:val="20"/>
          <w:szCs w:val="20"/>
          <w:lang w:eastAsia="zh-CN"/>
        </w:rPr>
        <w:t>should be</w:t>
      </w:r>
      <w:r w:rsidRPr="00EA447B">
        <w:rPr>
          <w:rFonts w:ascii="Times New Roman" w:eastAsia="Times New Roman" w:hAnsi="Times New Roman"/>
          <w:bCs/>
          <w:i/>
          <w:sz w:val="20"/>
          <w:szCs w:val="20"/>
          <w:lang w:eastAsia="zh-CN"/>
        </w:rPr>
        <w:t xml:space="preserve"> a subset of carriers mapped to that service and supported by UE </w:t>
      </w:r>
      <w:r>
        <w:rPr>
          <w:rFonts w:ascii="Times New Roman" w:eastAsia="Times New Roman" w:hAnsi="Times New Roman"/>
          <w:bCs/>
          <w:i/>
          <w:sz w:val="20"/>
          <w:szCs w:val="20"/>
          <w:lang w:eastAsia="zh-CN"/>
        </w:rPr>
        <w:t xml:space="preserve">TX </w:t>
      </w:r>
      <w:r w:rsidRPr="00EA447B">
        <w:rPr>
          <w:rFonts w:ascii="Times New Roman" w:eastAsia="Times New Roman" w:hAnsi="Times New Roman"/>
          <w:bCs/>
          <w:i/>
          <w:sz w:val="20"/>
          <w:szCs w:val="20"/>
          <w:lang w:eastAsia="zh-CN"/>
        </w:rPr>
        <w:t>capability</w:t>
      </w:r>
      <w:r>
        <w:rPr>
          <w:rFonts w:ascii="Times New Roman" w:eastAsia="Times New Roman" w:hAnsi="Times New Roman"/>
          <w:bCs/>
          <w:i/>
          <w:sz w:val="20"/>
          <w:szCs w:val="20"/>
          <w:lang w:val="en-GB" w:eastAsia="zh-CN"/>
        </w:rPr>
        <w:t>.</w:t>
      </w:r>
    </w:p>
    <w:p w14:paraId="551F9819" w14:textId="77777777" w:rsidR="00CF3154" w:rsidRDefault="00CF3154" w:rsidP="00CF3154">
      <w:pPr>
        <w:ind w:left="1170" w:hanging="1170"/>
        <w:rPr>
          <w:rFonts w:ascii="Times New Roman" w:hAnsi="Times New Roman"/>
          <w:sz w:val="20"/>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EA447B">
        <w:rPr>
          <w:rFonts w:ascii="Times New Roman" w:eastAsia="Times New Roman" w:hAnsi="Times New Roman"/>
          <w:bCs/>
          <w:i/>
          <w:sz w:val="20"/>
          <w:szCs w:val="20"/>
          <w:lang w:eastAsia="zh-CN"/>
        </w:rPr>
        <w:t>No other enhancements</w:t>
      </w:r>
      <w:r>
        <w:rPr>
          <w:rFonts w:ascii="Times New Roman" w:eastAsia="Times New Roman" w:hAnsi="Times New Roman"/>
          <w:bCs/>
          <w:i/>
          <w:sz w:val="20"/>
          <w:szCs w:val="20"/>
          <w:lang w:eastAsia="zh-CN"/>
        </w:rPr>
        <w:t xml:space="preserve"> need to be considered for</w:t>
      </w:r>
      <w:r w:rsidRPr="00EA447B">
        <w:rPr>
          <w:rFonts w:ascii="Times New Roman" w:eastAsia="Times New Roman" w:hAnsi="Times New Roman"/>
          <w:bCs/>
          <w:i/>
          <w:sz w:val="20"/>
          <w:szCs w:val="20"/>
          <w:lang w:eastAsia="zh-CN"/>
        </w:rPr>
        <w:t xml:space="preserve"> UEs with limited TX capability when applying the CBR-PPPP carrier selection criteria</w:t>
      </w:r>
      <w:r>
        <w:rPr>
          <w:rFonts w:ascii="Times New Roman" w:eastAsia="Times New Roman" w:hAnsi="Times New Roman"/>
          <w:bCs/>
          <w:i/>
          <w:sz w:val="20"/>
          <w:szCs w:val="20"/>
          <w:lang w:eastAsia="zh-CN"/>
        </w:rPr>
        <w:t>.</w:t>
      </w:r>
    </w:p>
    <w:p w14:paraId="381ADB30" w14:textId="77777777" w:rsidR="00CF3154" w:rsidRDefault="00CF3154" w:rsidP="00CF3154">
      <w:pPr>
        <w:ind w:left="1170" w:hanging="1170"/>
        <w:rPr>
          <w:rFonts w:ascii="Times New Roman" w:hAnsi="Times New Roman"/>
          <w:sz w:val="20"/>
        </w:rPr>
      </w:pPr>
      <w:r>
        <w:rPr>
          <w:rFonts w:ascii="Times New Roman" w:eastAsia="Times New Roman" w:hAnsi="Times New Roman"/>
          <w:b/>
          <w:bCs/>
          <w:sz w:val="20"/>
          <w:szCs w:val="20"/>
          <w:u w:val="single"/>
          <w:lang w:val="en-GB" w:eastAsia="zh-CN"/>
        </w:rPr>
        <w:t>Proposal 4</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ProSe Per Packet Reliability (PPPR) should be considered together with CBR and PPPP in the carrier selection mechanism for CA, at least when duplication is activated.</w:t>
      </w:r>
    </w:p>
    <w:p w14:paraId="79578DAF" w14:textId="77777777" w:rsidR="00CF3154" w:rsidRPr="00332463" w:rsidRDefault="00CF3154" w:rsidP="00CF315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5</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discuss and decide whether a single or per-carrier PPPR threshold needs to be configured in the carrier selection procedure when performing duplicated transmissions over multiple carriers. </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697514BB" w14:textId="77777777" w:rsidR="006E5B12"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E5B12" w14:paraId="3C15D28F" w14:textId="77777777">
                <w:trPr>
                  <w:divId w:val="1648708368"/>
                  <w:tblCellSpacing w:w="15" w:type="dxa"/>
                </w:trPr>
                <w:tc>
                  <w:tcPr>
                    <w:tcW w:w="50" w:type="pct"/>
                    <w:hideMark/>
                  </w:tcPr>
                  <w:p w14:paraId="35C10114" w14:textId="77777777" w:rsidR="006E5B12" w:rsidRDefault="006E5B12">
                    <w:pPr>
                      <w:pStyle w:val="Bibliography"/>
                      <w:rPr>
                        <w:noProof/>
                        <w:sz w:val="24"/>
                        <w:szCs w:val="24"/>
                      </w:rPr>
                    </w:pPr>
                    <w:r>
                      <w:rPr>
                        <w:noProof/>
                      </w:rPr>
                      <w:t xml:space="preserve">[1] </w:t>
                    </w:r>
                  </w:p>
                </w:tc>
                <w:tc>
                  <w:tcPr>
                    <w:tcW w:w="0" w:type="auto"/>
                    <w:hideMark/>
                  </w:tcPr>
                  <w:p w14:paraId="48533B46" w14:textId="77777777" w:rsidR="006E5B12" w:rsidRDefault="006E5B12">
                    <w:pPr>
                      <w:pStyle w:val="Bibliography"/>
                      <w:rPr>
                        <w:noProof/>
                      </w:rPr>
                    </w:pPr>
                    <w:r>
                      <w:rPr>
                        <w:noProof/>
                      </w:rPr>
                      <w:t xml:space="preserve">"R2-180xxxx, Summary of e-mail discussion [100#41] Tx carrier selection, LG". </w:t>
                    </w:r>
                  </w:p>
                </w:tc>
              </w:tr>
              <w:tr w:rsidR="006E5B12" w14:paraId="49426434" w14:textId="77777777">
                <w:trPr>
                  <w:divId w:val="1648708368"/>
                  <w:tblCellSpacing w:w="15" w:type="dxa"/>
                </w:trPr>
                <w:tc>
                  <w:tcPr>
                    <w:tcW w:w="50" w:type="pct"/>
                    <w:hideMark/>
                  </w:tcPr>
                  <w:p w14:paraId="2C3B8188" w14:textId="77777777" w:rsidR="006E5B12" w:rsidRDefault="006E5B12">
                    <w:pPr>
                      <w:pStyle w:val="Bibliography"/>
                      <w:rPr>
                        <w:noProof/>
                      </w:rPr>
                    </w:pPr>
                    <w:r>
                      <w:rPr>
                        <w:noProof/>
                      </w:rPr>
                      <w:t xml:space="preserve">[2] </w:t>
                    </w:r>
                  </w:p>
                </w:tc>
                <w:tc>
                  <w:tcPr>
                    <w:tcW w:w="0" w:type="auto"/>
                    <w:hideMark/>
                  </w:tcPr>
                  <w:p w14:paraId="01E5001F" w14:textId="77777777" w:rsidR="006E5B12" w:rsidRDefault="006E5B12">
                    <w:pPr>
                      <w:pStyle w:val="Bibliography"/>
                      <w:rPr>
                        <w:noProof/>
                      </w:rPr>
                    </w:pPr>
                    <w:r>
                      <w:rPr>
                        <w:noProof/>
                      </w:rPr>
                      <w:t xml:space="preserve">"RAN2#100, "Chairman Notes"". </w:t>
                    </w:r>
                  </w:p>
                </w:tc>
              </w:tr>
              <w:tr w:rsidR="006E5B12" w14:paraId="15A2069D" w14:textId="77777777">
                <w:trPr>
                  <w:divId w:val="1648708368"/>
                  <w:tblCellSpacing w:w="15" w:type="dxa"/>
                </w:trPr>
                <w:tc>
                  <w:tcPr>
                    <w:tcW w:w="50" w:type="pct"/>
                    <w:hideMark/>
                  </w:tcPr>
                  <w:p w14:paraId="130AE88D" w14:textId="77777777" w:rsidR="006E5B12" w:rsidRDefault="006E5B12">
                    <w:pPr>
                      <w:pStyle w:val="Bibliography"/>
                      <w:rPr>
                        <w:noProof/>
                      </w:rPr>
                    </w:pPr>
                    <w:r>
                      <w:rPr>
                        <w:noProof/>
                      </w:rPr>
                      <w:t xml:space="preserve">[3] </w:t>
                    </w:r>
                  </w:p>
                </w:tc>
                <w:tc>
                  <w:tcPr>
                    <w:tcW w:w="0" w:type="auto"/>
                    <w:hideMark/>
                  </w:tcPr>
                  <w:p w14:paraId="2488228B" w14:textId="77777777" w:rsidR="006E5B12" w:rsidRDefault="006E5B12">
                    <w:pPr>
                      <w:pStyle w:val="Bibliography"/>
                      <w:rPr>
                        <w:noProof/>
                      </w:rPr>
                    </w:pPr>
                    <w:r>
                      <w:rPr>
                        <w:noProof/>
                      </w:rPr>
                      <w:t xml:space="preserve">"RAN1#91, "Chairman Notes"". </w:t>
                    </w:r>
                  </w:p>
                </w:tc>
              </w:tr>
              <w:tr w:rsidR="006E5B12" w14:paraId="73E1609D" w14:textId="77777777">
                <w:trPr>
                  <w:divId w:val="1648708368"/>
                  <w:tblCellSpacing w:w="15" w:type="dxa"/>
                </w:trPr>
                <w:tc>
                  <w:tcPr>
                    <w:tcW w:w="50" w:type="pct"/>
                    <w:hideMark/>
                  </w:tcPr>
                  <w:p w14:paraId="03E47FE4" w14:textId="77777777" w:rsidR="006E5B12" w:rsidRDefault="006E5B12">
                    <w:pPr>
                      <w:pStyle w:val="Bibliography"/>
                      <w:rPr>
                        <w:noProof/>
                      </w:rPr>
                    </w:pPr>
                    <w:r>
                      <w:rPr>
                        <w:noProof/>
                      </w:rPr>
                      <w:t xml:space="preserve">[4] </w:t>
                    </w:r>
                  </w:p>
                </w:tc>
                <w:tc>
                  <w:tcPr>
                    <w:tcW w:w="0" w:type="auto"/>
                    <w:hideMark/>
                  </w:tcPr>
                  <w:p w14:paraId="700B12E9" w14:textId="77777777" w:rsidR="006E5B12" w:rsidRDefault="006E5B12">
                    <w:pPr>
                      <w:pStyle w:val="Bibliography"/>
                      <w:rPr>
                        <w:noProof/>
                      </w:rPr>
                    </w:pPr>
                    <w:r>
                      <w:rPr>
                        <w:noProof/>
                      </w:rPr>
                      <w:t xml:space="preserve">"S2-181368, "Reply LS on Reliability for eV2X", SA2". </w:t>
                    </w:r>
                  </w:p>
                </w:tc>
              </w:tr>
              <w:tr w:rsidR="006E5B12" w14:paraId="2B85BEDB" w14:textId="77777777">
                <w:trPr>
                  <w:divId w:val="1648708368"/>
                  <w:tblCellSpacing w:w="15" w:type="dxa"/>
                </w:trPr>
                <w:tc>
                  <w:tcPr>
                    <w:tcW w:w="50" w:type="pct"/>
                    <w:hideMark/>
                  </w:tcPr>
                  <w:p w14:paraId="28445D80" w14:textId="77777777" w:rsidR="006E5B12" w:rsidRDefault="006E5B12">
                    <w:pPr>
                      <w:pStyle w:val="Bibliography"/>
                      <w:rPr>
                        <w:noProof/>
                      </w:rPr>
                    </w:pPr>
                    <w:r>
                      <w:rPr>
                        <w:noProof/>
                      </w:rPr>
                      <w:t xml:space="preserve">[5] </w:t>
                    </w:r>
                  </w:p>
                </w:tc>
                <w:tc>
                  <w:tcPr>
                    <w:tcW w:w="0" w:type="auto"/>
                    <w:hideMark/>
                  </w:tcPr>
                  <w:p w14:paraId="61C3B1B8" w14:textId="77777777" w:rsidR="006E5B12" w:rsidRDefault="006E5B12">
                    <w:pPr>
                      <w:pStyle w:val="Bibliography"/>
                      <w:rPr>
                        <w:noProof/>
                      </w:rPr>
                    </w:pPr>
                    <w:r>
                      <w:rPr>
                        <w:noProof/>
                      </w:rPr>
                      <w:t xml:space="preserve">"R2-180xxxx, Packet duplication aspects for CA based eV2X, Intel Corporation". </w:t>
                    </w:r>
                  </w:p>
                </w:tc>
              </w:tr>
            </w:tbl>
            <w:p w14:paraId="44F79753" w14:textId="77777777" w:rsidR="006E5B12" w:rsidRDefault="006E5B12">
              <w:pPr>
                <w:divId w:val="1648708368"/>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506DD1" w:rsidRDefault="00506DD1">
      <w:pPr>
        <w:spacing w:after="0" w:line="240" w:lineRule="auto"/>
      </w:pPr>
      <w:r>
        <w:separator/>
      </w:r>
    </w:p>
  </w:endnote>
  <w:endnote w:type="continuationSeparator" w:id="0">
    <w:p w14:paraId="50A28EF3" w14:textId="77777777" w:rsidR="00506DD1" w:rsidRDefault="00506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506DD1" w:rsidRDefault="00506DD1"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1E73">
      <w:rPr>
        <w:rFonts w:ascii="Arial" w:hAnsi="Arial" w:cs="Arial"/>
        <w:b/>
        <w:noProof/>
        <w:sz w:val="18"/>
        <w:szCs w:val="18"/>
      </w:rPr>
      <w:t>4</w:t>
    </w:r>
    <w:r>
      <w:rPr>
        <w:rFonts w:ascii="Arial" w:hAnsi="Arial" w:cs="Arial"/>
        <w:b/>
        <w:sz w:val="18"/>
        <w:szCs w:val="18"/>
      </w:rPr>
      <w:fldChar w:fldCharType="end"/>
    </w:r>
  </w:p>
  <w:p w14:paraId="50A28EF5" w14:textId="77777777" w:rsidR="00506DD1" w:rsidRDefault="00506D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506DD1" w:rsidRDefault="00506DD1">
      <w:pPr>
        <w:spacing w:after="0" w:line="240" w:lineRule="auto"/>
      </w:pPr>
      <w:r>
        <w:separator/>
      </w:r>
    </w:p>
  </w:footnote>
  <w:footnote w:type="continuationSeparator" w:id="0">
    <w:p w14:paraId="50A28EF1" w14:textId="77777777" w:rsidR="00506DD1" w:rsidRDefault="00506D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9A6733"/>
    <w:multiLevelType w:val="hybridMultilevel"/>
    <w:tmpl w:val="D5047A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2F5C82"/>
    <w:multiLevelType w:val="hybridMultilevel"/>
    <w:tmpl w:val="417A3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13"/>
  </w:num>
  <w:num w:numId="4">
    <w:abstractNumId w:val="12"/>
  </w:num>
  <w:num w:numId="5">
    <w:abstractNumId w:val="3"/>
    <w:lvlOverride w:ilvl="0">
      <w:startOverride w:val="1"/>
    </w:lvlOverride>
  </w:num>
  <w:num w:numId="6">
    <w:abstractNumId w:val="5"/>
    <w:lvlOverride w:ilvl="0">
      <w:startOverride w:val="2"/>
    </w:lvlOverride>
  </w:num>
  <w:num w:numId="7">
    <w:abstractNumId w:val="20"/>
  </w:num>
  <w:num w:numId="8">
    <w:abstractNumId w:val="8"/>
  </w:num>
  <w:num w:numId="9">
    <w:abstractNumId w:val="6"/>
  </w:num>
  <w:num w:numId="10">
    <w:abstractNumId w:val="16"/>
  </w:num>
  <w:num w:numId="11">
    <w:abstractNumId w:val="22"/>
  </w:num>
  <w:num w:numId="12">
    <w:abstractNumId w:val="4"/>
  </w:num>
  <w:num w:numId="13">
    <w:abstractNumId w:val="7"/>
  </w:num>
  <w:num w:numId="14">
    <w:abstractNumId w:val="1"/>
  </w:num>
  <w:num w:numId="15">
    <w:abstractNumId w:val="2"/>
  </w:num>
  <w:num w:numId="16">
    <w:abstractNumId w:val="11"/>
  </w:num>
  <w:num w:numId="17">
    <w:abstractNumId w:val="19"/>
  </w:num>
  <w:num w:numId="18">
    <w:abstractNumId w:val="9"/>
  </w:num>
  <w:num w:numId="19">
    <w:abstractNumId w:val="17"/>
  </w:num>
  <w:num w:numId="20">
    <w:abstractNumId w:val="0"/>
  </w:num>
  <w:num w:numId="21">
    <w:abstractNumId w:val="21"/>
  </w:num>
  <w:num w:numId="22">
    <w:abstractNumId w:val="1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50909"/>
    <w:rsid w:val="00053B8A"/>
    <w:rsid w:val="0005607B"/>
    <w:rsid w:val="00063092"/>
    <w:rsid w:val="000632AE"/>
    <w:rsid w:val="00066057"/>
    <w:rsid w:val="00071BD0"/>
    <w:rsid w:val="000760CC"/>
    <w:rsid w:val="0007638E"/>
    <w:rsid w:val="00077473"/>
    <w:rsid w:val="00080813"/>
    <w:rsid w:val="00081766"/>
    <w:rsid w:val="0008197A"/>
    <w:rsid w:val="00096596"/>
    <w:rsid w:val="000A09E6"/>
    <w:rsid w:val="000A7E1C"/>
    <w:rsid w:val="000E4761"/>
    <w:rsid w:val="000E493C"/>
    <w:rsid w:val="000F1C37"/>
    <w:rsid w:val="00100001"/>
    <w:rsid w:val="00111236"/>
    <w:rsid w:val="0011610B"/>
    <w:rsid w:val="00120B9E"/>
    <w:rsid w:val="001331C7"/>
    <w:rsid w:val="00143F5D"/>
    <w:rsid w:val="00144CD4"/>
    <w:rsid w:val="00147C5C"/>
    <w:rsid w:val="00151E30"/>
    <w:rsid w:val="00154CC9"/>
    <w:rsid w:val="00160710"/>
    <w:rsid w:val="0016207C"/>
    <w:rsid w:val="0016488C"/>
    <w:rsid w:val="00171180"/>
    <w:rsid w:val="00175515"/>
    <w:rsid w:val="00175B7F"/>
    <w:rsid w:val="00175DCB"/>
    <w:rsid w:val="00195430"/>
    <w:rsid w:val="00197B45"/>
    <w:rsid w:val="001A793C"/>
    <w:rsid w:val="001B5B3A"/>
    <w:rsid w:val="001B7098"/>
    <w:rsid w:val="001C137C"/>
    <w:rsid w:val="001C6E8B"/>
    <w:rsid w:val="001D28A0"/>
    <w:rsid w:val="001E221E"/>
    <w:rsid w:val="001E54F9"/>
    <w:rsid w:val="001F2E8B"/>
    <w:rsid w:val="0020567B"/>
    <w:rsid w:val="0020671E"/>
    <w:rsid w:val="00225341"/>
    <w:rsid w:val="00241C97"/>
    <w:rsid w:val="00253F58"/>
    <w:rsid w:val="00255F2A"/>
    <w:rsid w:val="00257E52"/>
    <w:rsid w:val="00260222"/>
    <w:rsid w:val="00263354"/>
    <w:rsid w:val="00265EF0"/>
    <w:rsid w:val="00266940"/>
    <w:rsid w:val="00270C65"/>
    <w:rsid w:val="00274F99"/>
    <w:rsid w:val="00276574"/>
    <w:rsid w:val="002769B9"/>
    <w:rsid w:val="00281DB7"/>
    <w:rsid w:val="00283FDE"/>
    <w:rsid w:val="00286053"/>
    <w:rsid w:val="00291433"/>
    <w:rsid w:val="00291DB2"/>
    <w:rsid w:val="00293F66"/>
    <w:rsid w:val="002940FC"/>
    <w:rsid w:val="0029495D"/>
    <w:rsid w:val="002A5F0F"/>
    <w:rsid w:val="002A78E6"/>
    <w:rsid w:val="002B17B0"/>
    <w:rsid w:val="002B2F0A"/>
    <w:rsid w:val="002F04F8"/>
    <w:rsid w:val="002F153B"/>
    <w:rsid w:val="002F432E"/>
    <w:rsid w:val="00302977"/>
    <w:rsid w:val="00305D6A"/>
    <w:rsid w:val="00330823"/>
    <w:rsid w:val="00332463"/>
    <w:rsid w:val="00332851"/>
    <w:rsid w:val="00336D1D"/>
    <w:rsid w:val="003379D6"/>
    <w:rsid w:val="00337A0E"/>
    <w:rsid w:val="00345654"/>
    <w:rsid w:val="0035278E"/>
    <w:rsid w:val="00361EF9"/>
    <w:rsid w:val="003848A3"/>
    <w:rsid w:val="00384CB8"/>
    <w:rsid w:val="00385E3E"/>
    <w:rsid w:val="00396B24"/>
    <w:rsid w:val="003A766F"/>
    <w:rsid w:val="003B424F"/>
    <w:rsid w:val="003B6208"/>
    <w:rsid w:val="003B6BC4"/>
    <w:rsid w:val="003C2812"/>
    <w:rsid w:val="003D1D55"/>
    <w:rsid w:val="003D61CB"/>
    <w:rsid w:val="003E1161"/>
    <w:rsid w:val="003E76DD"/>
    <w:rsid w:val="003F0F74"/>
    <w:rsid w:val="0040277F"/>
    <w:rsid w:val="004035EF"/>
    <w:rsid w:val="00412F14"/>
    <w:rsid w:val="00415F96"/>
    <w:rsid w:val="00416235"/>
    <w:rsid w:val="00422DA2"/>
    <w:rsid w:val="00424635"/>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A45E2"/>
    <w:rsid w:val="004B2F1A"/>
    <w:rsid w:val="004C546C"/>
    <w:rsid w:val="004D1035"/>
    <w:rsid w:val="004D44CA"/>
    <w:rsid w:val="004D6C2B"/>
    <w:rsid w:val="004D7A2E"/>
    <w:rsid w:val="004E2339"/>
    <w:rsid w:val="004E3975"/>
    <w:rsid w:val="004E3ED3"/>
    <w:rsid w:val="005067A7"/>
    <w:rsid w:val="00506DD1"/>
    <w:rsid w:val="00511AF4"/>
    <w:rsid w:val="0051392C"/>
    <w:rsid w:val="005214C0"/>
    <w:rsid w:val="005231DC"/>
    <w:rsid w:val="00523734"/>
    <w:rsid w:val="00527286"/>
    <w:rsid w:val="005279F9"/>
    <w:rsid w:val="0055379C"/>
    <w:rsid w:val="00555440"/>
    <w:rsid w:val="0055706A"/>
    <w:rsid w:val="00557402"/>
    <w:rsid w:val="00583DDD"/>
    <w:rsid w:val="00593190"/>
    <w:rsid w:val="00597FD5"/>
    <w:rsid w:val="005A4656"/>
    <w:rsid w:val="005A7CEA"/>
    <w:rsid w:val="005C158A"/>
    <w:rsid w:val="005C3DFF"/>
    <w:rsid w:val="005C3F4C"/>
    <w:rsid w:val="005E3E1B"/>
    <w:rsid w:val="005E4E14"/>
    <w:rsid w:val="005F30EF"/>
    <w:rsid w:val="00625D8E"/>
    <w:rsid w:val="00627647"/>
    <w:rsid w:val="00633024"/>
    <w:rsid w:val="006502C0"/>
    <w:rsid w:val="00661C20"/>
    <w:rsid w:val="00667231"/>
    <w:rsid w:val="006720DF"/>
    <w:rsid w:val="00673EBD"/>
    <w:rsid w:val="00696FDC"/>
    <w:rsid w:val="006A27E5"/>
    <w:rsid w:val="006A65D5"/>
    <w:rsid w:val="006C65A8"/>
    <w:rsid w:val="006D0058"/>
    <w:rsid w:val="006D0ADA"/>
    <w:rsid w:val="006D512C"/>
    <w:rsid w:val="006D7CC2"/>
    <w:rsid w:val="006E0F37"/>
    <w:rsid w:val="006E5B12"/>
    <w:rsid w:val="006F631D"/>
    <w:rsid w:val="00705D31"/>
    <w:rsid w:val="00710503"/>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1E73"/>
    <w:rsid w:val="00792327"/>
    <w:rsid w:val="00797358"/>
    <w:rsid w:val="007A2068"/>
    <w:rsid w:val="007A49CD"/>
    <w:rsid w:val="007B1F9D"/>
    <w:rsid w:val="007C3A70"/>
    <w:rsid w:val="007D042C"/>
    <w:rsid w:val="007D05E3"/>
    <w:rsid w:val="007D32DD"/>
    <w:rsid w:val="00813FBF"/>
    <w:rsid w:val="00816149"/>
    <w:rsid w:val="00821487"/>
    <w:rsid w:val="00827742"/>
    <w:rsid w:val="00833E79"/>
    <w:rsid w:val="00835599"/>
    <w:rsid w:val="008418C6"/>
    <w:rsid w:val="00851B1B"/>
    <w:rsid w:val="00861C7A"/>
    <w:rsid w:val="008669B1"/>
    <w:rsid w:val="00875F14"/>
    <w:rsid w:val="008775ED"/>
    <w:rsid w:val="00883EF2"/>
    <w:rsid w:val="008848AB"/>
    <w:rsid w:val="00886353"/>
    <w:rsid w:val="00897CC2"/>
    <w:rsid w:val="008A1604"/>
    <w:rsid w:val="008A3B9F"/>
    <w:rsid w:val="008A3EC6"/>
    <w:rsid w:val="008B0017"/>
    <w:rsid w:val="008B7DB0"/>
    <w:rsid w:val="008C0567"/>
    <w:rsid w:val="008C6004"/>
    <w:rsid w:val="008D2846"/>
    <w:rsid w:val="008E03BE"/>
    <w:rsid w:val="008E5071"/>
    <w:rsid w:val="008F15B9"/>
    <w:rsid w:val="008F7B19"/>
    <w:rsid w:val="00901F6D"/>
    <w:rsid w:val="00902C16"/>
    <w:rsid w:val="00913687"/>
    <w:rsid w:val="00915CAD"/>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917F0"/>
    <w:rsid w:val="009A301E"/>
    <w:rsid w:val="009A3832"/>
    <w:rsid w:val="009A5E1C"/>
    <w:rsid w:val="009B6A2D"/>
    <w:rsid w:val="009C4F61"/>
    <w:rsid w:val="009D5BAB"/>
    <w:rsid w:val="009E6ED4"/>
    <w:rsid w:val="009E7171"/>
    <w:rsid w:val="009F06CB"/>
    <w:rsid w:val="009F15B9"/>
    <w:rsid w:val="009F731B"/>
    <w:rsid w:val="009F758B"/>
    <w:rsid w:val="00A3157F"/>
    <w:rsid w:val="00A35BD3"/>
    <w:rsid w:val="00A41F0B"/>
    <w:rsid w:val="00A44954"/>
    <w:rsid w:val="00A45F0D"/>
    <w:rsid w:val="00A5035B"/>
    <w:rsid w:val="00A53711"/>
    <w:rsid w:val="00A601C3"/>
    <w:rsid w:val="00A63B12"/>
    <w:rsid w:val="00A824AF"/>
    <w:rsid w:val="00A83DE0"/>
    <w:rsid w:val="00A86A88"/>
    <w:rsid w:val="00A92667"/>
    <w:rsid w:val="00AB388C"/>
    <w:rsid w:val="00AC4F72"/>
    <w:rsid w:val="00AD20FE"/>
    <w:rsid w:val="00AE0A3D"/>
    <w:rsid w:val="00AE13FE"/>
    <w:rsid w:val="00AE5BAD"/>
    <w:rsid w:val="00AE6CB5"/>
    <w:rsid w:val="00AF256D"/>
    <w:rsid w:val="00B019D2"/>
    <w:rsid w:val="00B14023"/>
    <w:rsid w:val="00B20B32"/>
    <w:rsid w:val="00B329F9"/>
    <w:rsid w:val="00B438F2"/>
    <w:rsid w:val="00B45EDF"/>
    <w:rsid w:val="00B70F01"/>
    <w:rsid w:val="00B737FF"/>
    <w:rsid w:val="00B74D9C"/>
    <w:rsid w:val="00B76EA2"/>
    <w:rsid w:val="00B810AC"/>
    <w:rsid w:val="00B9000F"/>
    <w:rsid w:val="00B91D6D"/>
    <w:rsid w:val="00B92FEE"/>
    <w:rsid w:val="00B9460B"/>
    <w:rsid w:val="00BA2CEB"/>
    <w:rsid w:val="00BB260D"/>
    <w:rsid w:val="00BB7B6E"/>
    <w:rsid w:val="00BD4C5D"/>
    <w:rsid w:val="00BD4D14"/>
    <w:rsid w:val="00BE0DBD"/>
    <w:rsid w:val="00BE6D20"/>
    <w:rsid w:val="00BF78E3"/>
    <w:rsid w:val="00C10CE1"/>
    <w:rsid w:val="00C27475"/>
    <w:rsid w:val="00C348A8"/>
    <w:rsid w:val="00C47BFB"/>
    <w:rsid w:val="00C55FDB"/>
    <w:rsid w:val="00C6374F"/>
    <w:rsid w:val="00C641CB"/>
    <w:rsid w:val="00C65B7C"/>
    <w:rsid w:val="00C667DF"/>
    <w:rsid w:val="00C67B49"/>
    <w:rsid w:val="00C73BA9"/>
    <w:rsid w:val="00C77DE9"/>
    <w:rsid w:val="00C8595C"/>
    <w:rsid w:val="00C90D45"/>
    <w:rsid w:val="00CA4212"/>
    <w:rsid w:val="00CA751B"/>
    <w:rsid w:val="00CB6AB5"/>
    <w:rsid w:val="00CD2ABF"/>
    <w:rsid w:val="00CD375C"/>
    <w:rsid w:val="00CD4245"/>
    <w:rsid w:val="00CE5D88"/>
    <w:rsid w:val="00CE70AB"/>
    <w:rsid w:val="00CF3154"/>
    <w:rsid w:val="00D0160E"/>
    <w:rsid w:val="00D05CFA"/>
    <w:rsid w:val="00D106DD"/>
    <w:rsid w:val="00D244A7"/>
    <w:rsid w:val="00D30389"/>
    <w:rsid w:val="00D304C8"/>
    <w:rsid w:val="00D30D35"/>
    <w:rsid w:val="00D4144E"/>
    <w:rsid w:val="00D4639F"/>
    <w:rsid w:val="00D5646E"/>
    <w:rsid w:val="00D65AAE"/>
    <w:rsid w:val="00D722C2"/>
    <w:rsid w:val="00D74365"/>
    <w:rsid w:val="00D75EC2"/>
    <w:rsid w:val="00D75FE1"/>
    <w:rsid w:val="00D80BD1"/>
    <w:rsid w:val="00D94525"/>
    <w:rsid w:val="00D96CEC"/>
    <w:rsid w:val="00DA2C5B"/>
    <w:rsid w:val="00DC00B2"/>
    <w:rsid w:val="00DC299B"/>
    <w:rsid w:val="00DD532A"/>
    <w:rsid w:val="00DE207A"/>
    <w:rsid w:val="00DF074B"/>
    <w:rsid w:val="00DF07FB"/>
    <w:rsid w:val="00DF106B"/>
    <w:rsid w:val="00DF2222"/>
    <w:rsid w:val="00DF25A3"/>
    <w:rsid w:val="00E0063E"/>
    <w:rsid w:val="00E10C75"/>
    <w:rsid w:val="00E13016"/>
    <w:rsid w:val="00E14C3C"/>
    <w:rsid w:val="00E267E6"/>
    <w:rsid w:val="00E26BB6"/>
    <w:rsid w:val="00E31E41"/>
    <w:rsid w:val="00E32368"/>
    <w:rsid w:val="00E42BBE"/>
    <w:rsid w:val="00E460EF"/>
    <w:rsid w:val="00E53137"/>
    <w:rsid w:val="00E60548"/>
    <w:rsid w:val="00E63487"/>
    <w:rsid w:val="00E65894"/>
    <w:rsid w:val="00E6786C"/>
    <w:rsid w:val="00E73970"/>
    <w:rsid w:val="00E76581"/>
    <w:rsid w:val="00E77D40"/>
    <w:rsid w:val="00E86837"/>
    <w:rsid w:val="00E87B8A"/>
    <w:rsid w:val="00E93113"/>
    <w:rsid w:val="00E936F6"/>
    <w:rsid w:val="00EA447B"/>
    <w:rsid w:val="00EB0968"/>
    <w:rsid w:val="00EC1C57"/>
    <w:rsid w:val="00EC7E0A"/>
    <w:rsid w:val="00ED00AF"/>
    <w:rsid w:val="00ED7949"/>
    <w:rsid w:val="00EE3B7D"/>
    <w:rsid w:val="00EF7293"/>
    <w:rsid w:val="00F14233"/>
    <w:rsid w:val="00F16547"/>
    <w:rsid w:val="00F16840"/>
    <w:rsid w:val="00F20B33"/>
    <w:rsid w:val="00F2103E"/>
    <w:rsid w:val="00F239D6"/>
    <w:rsid w:val="00F25073"/>
    <w:rsid w:val="00F267E0"/>
    <w:rsid w:val="00F27189"/>
    <w:rsid w:val="00F349C6"/>
    <w:rsid w:val="00F37D4B"/>
    <w:rsid w:val="00F37FEE"/>
    <w:rsid w:val="00F443D7"/>
    <w:rsid w:val="00F46717"/>
    <w:rsid w:val="00F6097D"/>
    <w:rsid w:val="00F71990"/>
    <w:rsid w:val="00F7571C"/>
    <w:rsid w:val="00F77B6D"/>
    <w:rsid w:val="00F77BD9"/>
    <w:rsid w:val="00F816A9"/>
    <w:rsid w:val="00F83629"/>
    <w:rsid w:val="00F87B5D"/>
    <w:rsid w:val="00F97382"/>
    <w:rsid w:val="00FA03CA"/>
    <w:rsid w:val="00FA4DC9"/>
    <w:rsid w:val="00FB08ED"/>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2333">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3728999">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67578691">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97918055">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37315799">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6833594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3843165">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599223688">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218858">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8774681">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3416744">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12338356">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4529779">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96566902">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4116927">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4957719">
      <w:bodyDiv w:val="1"/>
      <w:marLeft w:val="0"/>
      <w:marRight w:val="0"/>
      <w:marTop w:val="0"/>
      <w:marBottom w:val="0"/>
      <w:divBdr>
        <w:top w:val="none" w:sz="0" w:space="0" w:color="auto"/>
        <w:left w:val="none" w:sz="0" w:space="0" w:color="auto"/>
        <w:bottom w:val="none" w:sz="0" w:space="0" w:color="auto"/>
        <w:right w:val="none" w:sz="0" w:space="0" w:color="auto"/>
      </w:divBdr>
    </w:div>
    <w:div w:id="1426266496">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4959667">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3424697">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48708368">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39228078">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09075444">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LGemail</b:Tag>
    <b:SourceType>ConferenceProceedings</b:SourceType>
    <b:Guid>{58025675-4B58-4DD8-9E2C-015AE6FB08A8}</b:Guid>
    <b:Title>R2-180xxxx, Summary of e-mail discussion [100#41] Tx carrier selection, LG</b:Title>
    <b:RefOrder>1</b:RefOrder>
  </b:Source>
  <b:Source>
    <b:Tag>RAN21003</b:Tag>
    <b:SourceType>ConferenceProceedings</b:SourceType>
    <b:Guid>{1C9B9CFA-70A0-473E-9922-111A4F431550}</b:Guid>
    <b:Title>RAN2#100, "Chairman Notes"</b:Title>
    <b:RefOrder>2</b:RefOrder>
  </b:Source>
  <b:Source>
    <b:Tag>RAN191</b:Tag>
    <b:SourceType>ConferenceProceedings</b:SourceType>
    <b:Guid>{8D36767F-ABBA-423D-8006-6729BCA6F086}</b:Guid>
    <b:Title>RAN1#91, "Chairman Notes"</b:Title>
    <b:RefOrder>3</b:RefOrder>
  </b:Source>
  <b:Source>
    <b:Tag>SA2LS</b:Tag>
    <b:SourceType>ConferenceProceedings</b:SourceType>
    <b:Guid>{5845D167-2164-4F80-A82D-D9F18FB8E510}</b:Guid>
    <b:Title>S2-181368, "Reply LS on Reliability for eV2X", SA2</b:Title>
    <b:RefOrder>4</b:RefOrder>
  </b:Source>
  <b:Source>
    <b:Tag>IntelDuplication</b:Tag>
    <b:SourceType>ConferenceProceedings</b:SourceType>
    <b:Guid>{F0F8C099-6025-46EF-96E0-1D4BE4FB47E5}</b:Guid>
    <b:Title>R2-180xxxx, Packet duplication aspects for CA based eV2X, Intel Corporation</b:Title>
    <b:RefOrder>5</b:RefOrder>
  </b:Source>
</b:Sources>
</file>

<file path=customXml/itemProps1.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0F02E3F1-77F7-4709-897E-9DE2A4D1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4</Pages>
  <Words>1703</Words>
  <Characters>8678</Characters>
  <Application>Microsoft Office Word</Application>
  <DocSecurity>0</DocSecurity>
  <Lines>142</Lines>
  <Paragraphs>66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265</cp:revision>
  <dcterms:created xsi:type="dcterms:W3CDTF">2017-08-12T02:26:00Z</dcterms:created>
  <dcterms:modified xsi:type="dcterms:W3CDTF">2018-02-16T01:32:00Z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2018-02-16 01:32:40Z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