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6345E7DF" w:rsidR="00553234" w:rsidRPr="00442222" w:rsidRDefault="00553234"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EB4808">
        <w:rPr>
          <w:rFonts w:ascii="Arial" w:hAnsi="Arial" w:cs="Arial"/>
          <w:b/>
          <w:bCs/>
          <w:noProof/>
          <w:snapToGrid w:val="0"/>
          <w:kern w:val="0"/>
          <w:sz w:val="28"/>
          <w:szCs w:val="28"/>
          <w:lang w:val="en-GB"/>
        </w:rPr>
        <w:t>1</w:t>
      </w:r>
      <w:r>
        <w:rPr>
          <w:rFonts w:ascii="Arial" w:hAnsi="Arial" w:cs="Arial"/>
          <w:b/>
          <w:bCs/>
          <w:noProof/>
          <w:snapToGrid w:val="0"/>
          <w:kern w:val="0"/>
          <w:sz w:val="28"/>
          <w:szCs w:val="28"/>
          <w:lang w:val="en-GB"/>
        </w:rPr>
        <w:t>01</w:t>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t>R2-18</w:t>
      </w:r>
      <w:r w:rsidR="00B50D18">
        <w:rPr>
          <w:rFonts w:ascii="Arial" w:hAnsi="Arial" w:cs="Arial"/>
          <w:b/>
          <w:bCs/>
          <w:noProof/>
          <w:snapToGrid w:val="0"/>
          <w:kern w:val="0"/>
          <w:sz w:val="28"/>
          <w:szCs w:val="28"/>
        </w:rPr>
        <w:t>02046</w:t>
      </w:r>
    </w:p>
    <w:p w14:paraId="3D29C805" w14:textId="32BB977F" w:rsidR="00553234" w:rsidRPr="00402985" w:rsidRDefault="00945FA9"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Athens</w:t>
      </w:r>
      <w:r w:rsidR="00553234"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Greece</w:t>
      </w:r>
      <w:r w:rsidR="00553234"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26 Feb</w:t>
      </w:r>
      <w:r w:rsidR="00553234">
        <w:rPr>
          <w:rFonts w:ascii="Arial" w:hAnsi="Arial" w:cs="Arial"/>
          <w:b/>
          <w:bCs/>
          <w:noProof/>
          <w:kern w:val="0"/>
          <w:sz w:val="28"/>
          <w:szCs w:val="28"/>
          <w:lang w:val="en-GB"/>
        </w:rPr>
        <w:t xml:space="preserve"> </w:t>
      </w:r>
      <w:r>
        <w:rPr>
          <w:rFonts w:ascii="Arial" w:hAnsi="Arial" w:cs="Arial"/>
          <w:b/>
          <w:bCs/>
          <w:noProof/>
          <w:kern w:val="0"/>
          <w:sz w:val="28"/>
          <w:szCs w:val="28"/>
          <w:lang w:val="en-GB"/>
        </w:rPr>
        <w:t>–</w:t>
      </w:r>
      <w:r w:rsidR="00553234">
        <w:rPr>
          <w:rFonts w:ascii="Arial" w:hAnsi="Arial" w:cs="Arial"/>
          <w:b/>
          <w:bCs/>
          <w:noProof/>
          <w:kern w:val="0"/>
          <w:sz w:val="28"/>
          <w:szCs w:val="28"/>
          <w:lang w:val="en-GB"/>
        </w:rPr>
        <w:t xml:space="preserve"> </w:t>
      </w:r>
      <w:r>
        <w:rPr>
          <w:rFonts w:ascii="Arial" w:hAnsi="Arial" w:cs="Arial"/>
          <w:b/>
          <w:bCs/>
          <w:noProof/>
          <w:kern w:val="0"/>
          <w:sz w:val="28"/>
          <w:szCs w:val="28"/>
          <w:lang w:val="en-GB"/>
        </w:rPr>
        <w:t>02 March</w:t>
      </w:r>
      <w:r w:rsidR="00553234" w:rsidRPr="008A4FE1">
        <w:rPr>
          <w:rFonts w:ascii="Arial" w:hAnsi="Arial" w:cs="Arial"/>
          <w:b/>
          <w:bCs/>
          <w:noProof/>
          <w:kern w:val="0"/>
          <w:sz w:val="28"/>
          <w:szCs w:val="28"/>
          <w:lang w:val="en-GB"/>
        </w:rPr>
        <w:t xml:space="preserve"> 201</w:t>
      </w:r>
      <w:r w:rsidR="00553234">
        <w:rPr>
          <w:rFonts w:ascii="Arial" w:hAnsi="Arial" w:cs="Arial"/>
          <w:b/>
          <w:bCs/>
          <w:noProof/>
          <w:kern w:val="0"/>
          <w:sz w:val="28"/>
          <w:szCs w:val="28"/>
          <w:lang w:val="en-GB"/>
        </w:rPr>
        <w:t>8</w:t>
      </w:r>
      <w:r w:rsidR="00553234">
        <w:rPr>
          <w:rFonts w:ascii="Arial" w:hAnsi="Arial" w:cs="Arial"/>
          <w:b/>
          <w:bCs/>
          <w:noProof/>
          <w:kern w:val="0"/>
          <w:sz w:val="28"/>
          <w:szCs w:val="28"/>
        </w:rPr>
        <w:t xml:space="preserve"> </w:t>
      </w:r>
      <w:r w:rsidR="00553234">
        <w:rPr>
          <w:rFonts w:ascii="Arial" w:hAnsi="Arial" w:cs="Arial"/>
          <w:b/>
          <w:bCs/>
          <w:noProof/>
          <w:kern w:val="0"/>
          <w:sz w:val="28"/>
          <w:szCs w:val="28"/>
          <w:lang w:val="en-GB"/>
        </w:rPr>
        <w:tab/>
      </w:r>
      <w:r w:rsidR="00553234">
        <w:rPr>
          <w:rFonts w:ascii="Arial" w:hAnsi="Arial" w:cs="Arial"/>
          <w:b/>
          <w:bCs/>
          <w:noProof/>
          <w:kern w:val="0"/>
          <w:sz w:val="28"/>
          <w:szCs w:val="28"/>
          <w:lang w:val="en-GB"/>
        </w:rPr>
        <w:tab/>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553F214E"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780871">
        <w:rPr>
          <w:rFonts w:ascii="Arial" w:hAnsi="Arial" w:cs="Arial"/>
          <w:b/>
          <w:bCs/>
          <w:noProof/>
          <w:snapToGrid w:val="0"/>
          <w:kern w:val="0"/>
          <w:sz w:val="28"/>
          <w:szCs w:val="28"/>
        </w:rPr>
        <w:t>, Sane</w:t>
      </w:r>
      <w:r w:rsidR="001806A8">
        <w:rPr>
          <w:rFonts w:ascii="Arial" w:hAnsi="Arial" w:cs="Arial"/>
          <w:b/>
          <w:bCs/>
          <w:noProof/>
          <w:snapToGrid w:val="0"/>
          <w:kern w:val="0"/>
          <w:sz w:val="28"/>
          <w:szCs w:val="28"/>
        </w:rPr>
        <w:t>chips</w:t>
      </w:r>
    </w:p>
    <w:p w14:paraId="59B94E8E" w14:textId="66E3C635"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945FA9">
        <w:rPr>
          <w:rFonts w:ascii="Arial" w:hAnsi="Arial" w:cs="Arial"/>
          <w:b/>
          <w:bCs/>
          <w:noProof/>
          <w:snapToGrid w:val="0"/>
          <w:kern w:val="0"/>
          <w:sz w:val="28"/>
          <w:szCs w:val="28"/>
        </w:rPr>
        <w:t xml:space="preserve">Security of REJECT message </w:t>
      </w:r>
      <w:r w:rsidR="001806A8">
        <w:rPr>
          <w:rFonts w:ascii="Arial" w:hAnsi="Arial" w:cs="Arial"/>
          <w:b/>
          <w:bCs/>
          <w:noProof/>
          <w:snapToGrid w:val="0"/>
          <w:kern w:val="0"/>
          <w:sz w:val="28"/>
          <w:szCs w:val="28"/>
        </w:rPr>
        <w:t xml:space="preserve"> </w:t>
      </w:r>
    </w:p>
    <w:p w14:paraId="350787AF" w14:textId="2165C7F3"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B50D18">
        <w:rPr>
          <w:rFonts w:ascii="Arial" w:hAnsi="Arial" w:cs="Arial"/>
          <w:b/>
          <w:bCs/>
          <w:noProof/>
          <w:snapToGrid w:val="0"/>
          <w:kern w:val="0"/>
          <w:sz w:val="28"/>
          <w:szCs w:val="28"/>
        </w:rPr>
        <w:t>10.4.1.7.6</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41D8F911" w14:textId="585CA4E5" w:rsidR="00827512" w:rsidRDefault="001156DF" w:rsidP="006F2252">
      <w:r>
        <w:t xml:space="preserve">At RAN2#99bis, it was agreed that </w:t>
      </w:r>
      <w:r w:rsidRPr="003A5159">
        <w:rPr>
          <w:i/>
        </w:rPr>
        <w:t>in response to the RESUME Req from the UE, the gNB can send a REJECT message without integrity protection (and no ciphering)</w:t>
      </w:r>
      <w:r w:rsidR="003B79ED">
        <w:t>.</w:t>
      </w:r>
      <w:r>
        <w:t xml:space="preserve"> SA3 was asked </w:t>
      </w:r>
      <w:r w:rsidR="000130CA">
        <w:t xml:space="preserve">to check if this would be an issue from security perspective and an LS was sent to verify this </w:t>
      </w:r>
      <w:r w:rsidR="000130CA">
        <w:fldChar w:fldCharType="begin"/>
      </w:r>
      <w:r w:rsidR="000130CA">
        <w:instrText xml:space="preserve"> REF _Ref505265280 \r \h </w:instrText>
      </w:r>
      <w:r w:rsidR="000130CA">
        <w:fldChar w:fldCharType="separate"/>
      </w:r>
      <w:r w:rsidR="000130CA">
        <w:t>[1]</w:t>
      </w:r>
      <w:r w:rsidR="000130CA">
        <w:fldChar w:fldCharType="end"/>
      </w:r>
      <w:r w:rsidR="000130CA">
        <w:t>.</w:t>
      </w:r>
      <w:r w:rsidR="00827512">
        <w:t xml:space="preserve"> SA3 response is in </w:t>
      </w:r>
      <w:r w:rsidR="00827512">
        <w:fldChar w:fldCharType="begin"/>
      </w:r>
      <w:r w:rsidR="00827512">
        <w:instrText xml:space="preserve"> REF _Ref505265441 \r \h </w:instrText>
      </w:r>
      <w:r w:rsidR="00827512">
        <w:fldChar w:fldCharType="separate"/>
      </w:r>
      <w:r w:rsidR="00827512">
        <w:t>[2]</w:t>
      </w:r>
      <w:r w:rsidR="00827512">
        <w:fldChar w:fldCharType="end"/>
      </w:r>
      <w:r w:rsidR="00827512">
        <w:t>. In summary, the following can be noted from SA3 response:</w:t>
      </w:r>
    </w:p>
    <w:p w14:paraId="752EC300" w14:textId="77777777" w:rsidR="00827512" w:rsidRDefault="00827512" w:rsidP="006F2252"/>
    <w:tbl>
      <w:tblPr>
        <w:tblStyle w:val="TableGrid"/>
        <w:tblW w:w="0" w:type="auto"/>
        <w:tblLook w:val="04A0" w:firstRow="1" w:lastRow="0" w:firstColumn="1" w:lastColumn="0" w:noHBand="0" w:noVBand="1"/>
      </w:tblPr>
      <w:tblGrid>
        <w:gridCol w:w="9771"/>
      </w:tblGrid>
      <w:tr w:rsidR="00827512" w14:paraId="3FEBE929" w14:textId="77777777" w:rsidTr="00827512">
        <w:tc>
          <w:tcPr>
            <w:tcW w:w="9771" w:type="dxa"/>
          </w:tcPr>
          <w:p w14:paraId="1DFBC0BA" w14:textId="27BCB160" w:rsidR="00827512" w:rsidRPr="003A5159" w:rsidRDefault="00827512" w:rsidP="00827512">
            <w:pPr>
              <w:rPr>
                <w:i/>
                <w:sz w:val="24"/>
              </w:rPr>
            </w:pPr>
            <w:r w:rsidRPr="003A5159">
              <w:rPr>
                <w:i/>
                <w:sz w:val="24"/>
              </w:rPr>
              <w:t xml:space="preserve">SA3 acknowledges the risk of DoS attack by a fake gNB if Reject message is sent unprotected over </w:t>
            </w:r>
            <w:r w:rsidRPr="003A5159">
              <w:rPr>
                <w:i/>
                <w:noProof/>
                <w:sz w:val="24"/>
              </w:rPr>
              <w:t>SRB0</w:t>
            </w:r>
            <w:r w:rsidRPr="003A5159">
              <w:rPr>
                <w:i/>
                <w:sz w:val="24"/>
              </w:rPr>
              <w:t xml:space="preserve">. </w:t>
            </w:r>
          </w:p>
          <w:p w14:paraId="0CED7CAE" w14:textId="77777777" w:rsidR="00827512" w:rsidRPr="003A5159" w:rsidRDefault="00827512" w:rsidP="00827512">
            <w:pPr>
              <w:rPr>
                <w:i/>
              </w:rPr>
            </w:pPr>
          </w:p>
          <w:p w14:paraId="21366C78" w14:textId="0DD4D9A9" w:rsidR="00827512" w:rsidRDefault="00827512" w:rsidP="00827512">
            <w:r w:rsidRPr="003A5159">
              <w:rPr>
                <w:i/>
                <w:sz w:val="24"/>
              </w:rPr>
              <w:t>SA3 would like to emphasize that changing the value of the wait timer does not eliminate the aforementioned DoS risk as long as the wait timer is binding to the UE.</w:t>
            </w:r>
            <w:r>
              <w:rPr>
                <w:sz w:val="24"/>
              </w:rPr>
              <w:t xml:space="preserve"> </w:t>
            </w:r>
          </w:p>
        </w:tc>
      </w:tr>
    </w:tbl>
    <w:p w14:paraId="04567DD0" w14:textId="77777777" w:rsidR="00827512" w:rsidRDefault="00827512" w:rsidP="006F2252"/>
    <w:p w14:paraId="6F5B30C0" w14:textId="77777777" w:rsidR="00DA7973" w:rsidRDefault="00827512" w:rsidP="006F2252">
      <w:r>
        <w:t xml:space="preserve">Based on the above RAN2, should discuss ways to mitigate the security implications of the above solution. </w:t>
      </w:r>
    </w:p>
    <w:p w14:paraId="3D3D280B" w14:textId="77777777" w:rsidR="00DA7973" w:rsidRDefault="00DA7973" w:rsidP="006F2252"/>
    <w:p w14:paraId="1D8637C8" w14:textId="77C4E843" w:rsidR="0047305C" w:rsidRDefault="00381B58" w:rsidP="006F2252">
      <w:pPr>
        <w:rPr>
          <w:rFonts w:ascii="Arial" w:hAnsi="Arial" w:cs="Arial"/>
          <w:b/>
          <w:bCs/>
          <w:kern w:val="0"/>
          <w:sz w:val="32"/>
          <w:szCs w:val="36"/>
        </w:rPr>
      </w:pPr>
      <w:r>
        <w:t xml:space="preserve">In </w:t>
      </w:r>
      <w:r w:rsidR="003A5159">
        <w:t>the meanwhile</w:t>
      </w:r>
      <w:r w:rsidR="00073BCE">
        <w:t>, RAN2 also received an LS from RAN3</w:t>
      </w:r>
      <w:r w:rsidR="00885E69">
        <w:t xml:space="preserve"> </w:t>
      </w:r>
      <w:r w:rsidR="00885E69">
        <w:fldChar w:fldCharType="begin"/>
      </w:r>
      <w:r w:rsidR="00885E69">
        <w:instrText xml:space="preserve"> REF _Ref505286433 \r \h </w:instrText>
      </w:r>
      <w:r w:rsidR="00885E69">
        <w:fldChar w:fldCharType="separate"/>
      </w:r>
      <w:r w:rsidR="00885E69">
        <w:t>[3]</w:t>
      </w:r>
      <w:r w:rsidR="00885E69">
        <w:fldChar w:fldCharType="end"/>
      </w:r>
      <w:r w:rsidR="00073BCE">
        <w:t xml:space="preserve"> indicating that </w:t>
      </w:r>
      <w:r w:rsidR="005153FD">
        <w:t xml:space="preserve">RAN3 are discussing a procedure in which the UE sending </w:t>
      </w:r>
      <w:r w:rsidR="003A5159">
        <w:t>RNAU</w:t>
      </w:r>
      <w:r w:rsidR="005153FD">
        <w:t xml:space="preserve"> </w:t>
      </w:r>
      <w:r w:rsidR="003A5159">
        <w:t>request</w:t>
      </w:r>
      <w:r w:rsidR="005153FD">
        <w:t xml:space="preserve"> could be sent back to INACTIVE without anchor change. This procedure would also require the UE to be sent back to INACTIVE mode (i.e. similar to REJECT) but would need the network to acknowledge the </w:t>
      </w:r>
      <w:r w:rsidR="003A5159">
        <w:t>RNAU</w:t>
      </w:r>
      <w:r w:rsidR="005153FD">
        <w:t xml:space="preserve"> message from the UE. Such an acknowledgement should be integrity protected and hence sending the reject message over SRB0 (without integrity protection) is unsuitable. Considering the similarities between the two issues, i</w:t>
      </w:r>
      <w:r w:rsidR="00827512">
        <w:t xml:space="preserve">n this contribution we propose a </w:t>
      </w:r>
      <w:r w:rsidR="005153FD">
        <w:t xml:space="preserve">unified frame work for sending an integrity protected REJECT message to the UE.  </w:t>
      </w:r>
    </w:p>
    <w:p w14:paraId="36B65BB2" w14:textId="41E12097"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241922D7" w14:textId="6C621031" w:rsidR="00D73122" w:rsidRDefault="00D73122" w:rsidP="00D73122">
      <w:r>
        <w:t xml:space="preserve">The </w:t>
      </w:r>
      <w:r w:rsidR="00C531B7">
        <w:t>mechanism</w:t>
      </w:r>
      <w:r>
        <w:t xml:space="preserve"> for successful RESUME and the REJECT are </w:t>
      </w:r>
      <w:r w:rsidR="00C531B7">
        <w:t xml:space="preserve">as </w:t>
      </w:r>
      <w:r>
        <w:t xml:space="preserve">depicted in </w:t>
      </w:r>
      <w:r w:rsidR="005153FD">
        <w:fldChar w:fldCharType="begin"/>
      </w:r>
      <w:r w:rsidR="005153FD">
        <w:instrText xml:space="preserve"> REF _Ref505286872 \h </w:instrText>
      </w:r>
      <w:r w:rsidR="005153FD">
        <w:fldChar w:fldCharType="separate"/>
      </w:r>
      <w:r w:rsidR="005153FD">
        <w:t xml:space="preserve">Figure </w:t>
      </w:r>
      <w:r w:rsidR="005153FD">
        <w:rPr>
          <w:noProof/>
        </w:rPr>
        <w:t>1</w:t>
      </w:r>
      <w:r w:rsidR="005153FD">
        <w:fldChar w:fldCharType="end"/>
      </w:r>
      <w:r w:rsidR="005153FD">
        <w:t xml:space="preserve"> </w:t>
      </w:r>
      <w:r>
        <w:t>below</w:t>
      </w:r>
      <w:r w:rsidR="003A5159">
        <w:t xml:space="preserve"> for reference</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956"/>
      </w:tblGrid>
      <w:tr w:rsidR="00D73122" w14:paraId="0EE3B9A3" w14:textId="77777777" w:rsidTr="00D73122">
        <w:tc>
          <w:tcPr>
            <w:tcW w:w="4885" w:type="dxa"/>
          </w:tcPr>
          <w:p w14:paraId="59AA9B26" w14:textId="77777777" w:rsidR="005153FD" w:rsidRDefault="005153FD" w:rsidP="005153FD">
            <w:pPr>
              <w:keepNext/>
              <w:jc w:val="center"/>
            </w:pPr>
            <w:r w:rsidRPr="005153FD">
              <w:rPr>
                <w:noProof/>
              </w:rPr>
              <w:lastRenderedPageBreak/>
              <w:drawing>
                <wp:inline distT="0" distB="0" distL="0" distR="0" wp14:anchorId="0F17061F" wp14:editId="6DDC6D36">
                  <wp:extent cx="2777706" cy="2116444"/>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1583" cy="2119398"/>
                          </a:xfrm>
                          <a:prstGeom prst="rect">
                            <a:avLst/>
                          </a:prstGeom>
                          <a:noFill/>
                          <a:ln>
                            <a:noFill/>
                          </a:ln>
                        </pic:spPr>
                      </pic:pic>
                    </a:graphicData>
                  </a:graphic>
                </wp:inline>
              </w:drawing>
            </w:r>
          </w:p>
          <w:p w14:paraId="6B3118DA" w14:textId="06FB1D63" w:rsidR="00D73122" w:rsidRDefault="00D73122" w:rsidP="00D73122">
            <w:pPr>
              <w:jc w:val="center"/>
            </w:pPr>
            <w:r>
              <w:t>Resume</w:t>
            </w:r>
          </w:p>
        </w:tc>
        <w:tc>
          <w:tcPr>
            <w:tcW w:w="4886" w:type="dxa"/>
          </w:tcPr>
          <w:p w14:paraId="16AA2FD4" w14:textId="4862BA42" w:rsidR="00D73122" w:rsidRDefault="009D7F9A" w:rsidP="00D73122">
            <w:pPr>
              <w:jc w:val="center"/>
            </w:pPr>
            <w:r w:rsidRPr="009D7F9A">
              <w:rPr>
                <w:noProof/>
              </w:rPr>
              <w:drawing>
                <wp:inline distT="0" distB="0" distL="0" distR="0" wp14:anchorId="2B19FDAD" wp14:editId="6FCB6B29">
                  <wp:extent cx="3001341" cy="2107935"/>
                  <wp:effectExtent l="0" t="0" r="889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7235" cy="2126121"/>
                          </a:xfrm>
                          <a:prstGeom prst="rect">
                            <a:avLst/>
                          </a:prstGeom>
                          <a:noFill/>
                          <a:ln>
                            <a:noFill/>
                          </a:ln>
                        </pic:spPr>
                      </pic:pic>
                    </a:graphicData>
                  </a:graphic>
                </wp:inline>
              </w:drawing>
            </w:r>
          </w:p>
          <w:p w14:paraId="55934C52" w14:textId="6B343114" w:rsidR="00D73122" w:rsidRDefault="00D73122" w:rsidP="00D73122">
            <w:pPr>
              <w:jc w:val="center"/>
            </w:pPr>
            <w:r>
              <w:t>Reject</w:t>
            </w:r>
          </w:p>
        </w:tc>
      </w:tr>
      <w:tr w:rsidR="00D73122" w14:paraId="54D19363" w14:textId="77777777" w:rsidTr="00D73122">
        <w:tc>
          <w:tcPr>
            <w:tcW w:w="9771" w:type="dxa"/>
            <w:gridSpan w:val="2"/>
          </w:tcPr>
          <w:p w14:paraId="28BF7AAA" w14:textId="45DE6D55" w:rsidR="00D73122" w:rsidRDefault="005153FD" w:rsidP="005153FD">
            <w:pPr>
              <w:pStyle w:val="Caption"/>
              <w:jc w:val="center"/>
            </w:pPr>
            <w:bookmarkStart w:id="2" w:name="_Ref505286872"/>
            <w:r>
              <w:t xml:space="preserve">Figure </w:t>
            </w:r>
            <w:r w:rsidR="00C941C1">
              <w:fldChar w:fldCharType="begin"/>
            </w:r>
            <w:r w:rsidR="00C941C1">
              <w:instrText xml:space="preserve"> SEQ Figure \* ARABIC </w:instrText>
            </w:r>
            <w:r w:rsidR="00C941C1">
              <w:fldChar w:fldCharType="separate"/>
            </w:r>
            <w:r w:rsidR="000A22DF">
              <w:rPr>
                <w:noProof/>
              </w:rPr>
              <w:t>1</w:t>
            </w:r>
            <w:r w:rsidR="00C941C1">
              <w:rPr>
                <w:noProof/>
              </w:rPr>
              <w:fldChar w:fldCharType="end"/>
            </w:r>
            <w:bookmarkEnd w:id="2"/>
            <w:r>
              <w:t>: Current status of RESUME and REJECT in NR</w:t>
            </w:r>
          </w:p>
        </w:tc>
      </w:tr>
    </w:tbl>
    <w:p w14:paraId="671590CB" w14:textId="648DA2F0" w:rsidR="00D84ABB" w:rsidRDefault="005153FD" w:rsidP="00D73122">
      <w:r>
        <w:t xml:space="preserve">As seen from </w:t>
      </w:r>
      <w:r>
        <w:fldChar w:fldCharType="begin"/>
      </w:r>
      <w:r>
        <w:instrText xml:space="preserve"> REF _Ref505286872 \h </w:instrText>
      </w:r>
      <w:r>
        <w:fldChar w:fldCharType="separate"/>
      </w:r>
      <w:r>
        <w:t xml:space="preserve">Figure </w:t>
      </w:r>
      <w:r>
        <w:rPr>
          <w:noProof/>
        </w:rPr>
        <w:t>1</w:t>
      </w:r>
      <w:r>
        <w:fldChar w:fldCharType="end"/>
      </w:r>
      <w:r>
        <w:t xml:space="preserve">, when the network wants </w:t>
      </w:r>
      <w:r w:rsidR="003A5159">
        <w:t>to REJECT</w:t>
      </w:r>
      <w:r>
        <w:t xml:space="preserve"> the UE’s RRC Resume request, it will not perform a context fetch but instead send a REJECT message over SRB0. However, given the response from SA3, sending REJECT without integrity protection </w:t>
      </w:r>
      <w:r w:rsidR="003A5159">
        <w:t>shall</w:t>
      </w:r>
      <w:r>
        <w:t xml:space="preserve"> be avoided. </w:t>
      </w:r>
      <w:r w:rsidR="00C531B7">
        <w:t>Although concerns were expressed at the time when REJECT over SRB0 was agreed, t</w:t>
      </w:r>
      <w:r w:rsidR="003A5159">
        <w:t>he main motivation given for the REJECT without security was to handle congestion. However, i</w:t>
      </w:r>
      <w:r>
        <w:t>t should be noted that</w:t>
      </w:r>
      <w:r w:rsidR="00D84ABB">
        <w:t xml:space="preserve"> during congestion, it is usually the air-interface that is the bottleneck. </w:t>
      </w:r>
      <w:r w:rsidR="003A5159">
        <w:t xml:space="preserve">However, sending REJECT with and without integrity protection results in same number of messages over the air. Hence, this should not be an issue on the bottleneck link. </w:t>
      </w:r>
      <w:r w:rsidR="00C531B7">
        <w:t>Thus</w:t>
      </w:r>
      <w:r w:rsidR="003A5159">
        <w:t>, this</w:t>
      </w:r>
      <w:r w:rsidR="00D84ABB">
        <w:t xml:space="preserve"> shouldn’t preclude the gNB to send a </w:t>
      </w:r>
      <w:r w:rsidR="00D84ABB" w:rsidRPr="00C531B7">
        <w:rPr>
          <w:i/>
        </w:rPr>
        <w:t>context request like</w:t>
      </w:r>
      <w:r w:rsidR="00D84ABB">
        <w:t xml:space="preserve"> message to the anchor gNB. Of course, if both air-interface and core-network interfaces are all congested then there are a number of </w:t>
      </w:r>
      <w:r w:rsidR="003A5159">
        <w:t xml:space="preserve">other means, such as the </w:t>
      </w:r>
      <w:r w:rsidR="00D84ABB">
        <w:t>access barring techniques</w:t>
      </w:r>
      <w:r w:rsidR="003A5159">
        <w:t xml:space="preserve"> etc,</w:t>
      </w:r>
      <w:r w:rsidR="00D84ABB">
        <w:t xml:space="preserve"> that could be employed to </w:t>
      </w:r>
      <w:r w:rsidR="003A5159">
        <w:t>protect</w:t>
      </w:r>
      <w:r w:rsidR="00D84ABB">
        <w:t xml:space="preserve"> the network from temporary peaks in access</w:t>
      </w:r>
      <w:r w:rsidR="003A5159">
        <w:t xml:space="preserve"> attempts</w:t>
      </w:r>
      <w:r w:rsidR="00D84ABB">
        <w:t>. So, clearly, congestion in network doesn’t warrant introducing an insecure solution for REJECT.</w:t>
      </w:r>
      <w:r w:rsidR="000A22DF">
        <w:t xml:space="preserve"> So, we make the following observations: </w:t>
      </w:r>
    </w:p>
    <w:p w14:paraId="7A4FC009" w14:textId="6087022B" w:rsidR="000F4CFF" w:rsidRDefault="000F4CFF" w:rsidP="00D73122">
      <w:pPr>
        <w:rPr>
          <w:b/>
        </w:rPr>
      </w:pPr>
    </w:p>
    <w:p w14:paraId="44723DE2" w14:textId="3B15F790" w:rsidR="000F4CFF" w:rsidRDefault="000F4CFF" w:rsidP="000F4CFF">
      <w:pPr>
        <w:rPr>
          <w:b/>
        </w:rPr>
      </w:pPr>
      <w:r>
        <w:rPr>
          <w:b/>
        </w:rPr>
        <w:t xml:space="preserve">Observation 1: Sending an unprotected REJECT message (with no integrity protection) </w:t>
      </w:r>
      <w:r w:rsidRPr="00D84ABB">
        <w:rPr>
          <w:b/>
        </w:rPr>
        <w:t>introduc</w:t>
      </w:r>
      <w:r>
        <w:rPr>
          <w:b/>
        </w:rPr>
        <w:t>es</w:t>
      </w:r>
      <w:r w:rsidRPr="00D84ABB">
        <w:rPr>
          <w:b/>
        </w:rPr>
        <w:t xml:space="preserve"> security vulnerabilit</w:t>
      </w:r>
      <w:r>
        <w:rPr>
          <w:b/>
        </w:rPr>
        <w:t>ies</w:t>
      </w:r>
      <w:r w:rsidRPr="00D84ABB">
        <w:rPr>
          <w:b/>
        </w:rPr>
        <w:t xml:space="preserve"> </w:t>
      </w:r>
      <w:r>
        <w:rPr>
          <w:b/>
        </w:rPr>
        <w:t>as indicated by SA3 and this shall be avoided</w:t>
      </w:r>
    </w:p>
    <w:p w14:paraId="54C72448" w14:textId="77777777" w:rsidR="000F4CFF" w:rsidRPr="00D84ABB" w:rsidRDefault="000F4CFF" w:rsidP="000F4CFF">
      <w:pPr>
        <w:rPr>
          <w:b/>
        </w:rPr>
      </w:pPr>
    </w:p>
    <w:p w14:paraId="6D0C9D2B" w14:textId="745F3E79" w:rsidR="00B1189C" w:rsidRDefault="00D84ABB" w:rsidP="00D73122">
      <w:pPr>
        <w:rPr>
          <w:b/>
        </w:rPr>
      </w:pPr>
      <w:r w:rsidRPr="00D84ABB">
        <w:rPr>
          <w:b/>
        </w:rPr>
        <w:t xml:space="preserve">Observation </w:t>
      </w:r>
      <w:r w:rsidR="000F4CFF">
        <w:rPr>
          <w:b/>
        </w:rPr>
        <w:t>2</w:t>
      </w:r>
      <w:r w:rsidRPr="00D84ABB">
        <w:rPr>
          <w:b/>
        </w:rPr>
        <w:t xml:space="preserve">: </w:t>
      </w:r>
      <w:r w:rsidR="00B1189C">
        <w:rPr>
          <w:b/>
        </w:rPr>
        <w:t xml:space="preserve">Integrity protecting the REJECT message over air-interface doesn’t result in any more messages over air-interface compared to sending it without integrity protection </w:t>
      </w:r>
    </w:p>
    <w:p w14:paraId="66CDC49A" w14:textId="77777777" w:rsidR="000F4CFF" w:rsidRDefault="000F4CFF" w:rsidP="00D73122">
      <w:pPr>
        <w:rPr>
          <w:b/>
        </w:rPr>
      </w:pPr>
    </w:p>
    <w:p w14:paraId="36FDE136" w14:textId="76C7B73E" w:rsidR="00B1189C" w:rsidRDefault="00B1189C" w:rsidP="00D73122">
      <w:pPr>
        <w:rPr>
          <w:b/>
        </w:rPr>
      </w:pPr>
      <w:r>
        <w:rPr>
          <w:b/>
        </w:rPr>
        <w:t xml:space="preserve">Observation </w:t>
      </w:r>
      <w:r w:rsidR="000F4CFF">
        <w:rPr>
          <w:b/>
        </w:rPr>
        <w:t>3</w:t>
      </w:r>
      <w:r>
        <w:rPr>
          <w:b/>
        </w:rPr>
        <w:t xml:space="preserve">: </w:t>
      </w:r>
      <w:r w:rsidR="00D84ABB" w:rsidRPr="00D84ABB">
        <w:rPr>
          <w:b/>
        </w:rPr>
        <w:t>Handling congestion in the network</w:t>
      </w:r>
      <w:r>
        <w:rPr>
          <w:b/>
        </w:rPr>
        <w:t xml:space="preserve"> nodes/interfaces</w:t>
      </w:r>
      <w:r w:rsidR="00D84ABB" w:rsidRPr="00D84ABB">
        <w:rPr>
          <w:b/>
        </w:rPr>
        <w:t xml:space="preserve"> can be achieved by </w:t>
      </w:r>
      <w:r>
        <w:rPr>
          <w:b/>
        </w:rPr>
        <w:t>other</w:t>
      </w:r>
      <w:r w:rsidR="00D84ABB" w:rsidRPr="00D84ABB">
        <w:rPr>
          <w:b/>
        </w:rPr>
        <w:t xml:space="preserve"> means (e.g. access barring)</w:t>
      </w:r>
    </w:p>
    <w:p w14:paraId="1C55EBD1" w14:textId="274478DC" w:rsidR="00D84ABB" w:rsidRDefault="00D84ABB" w:rsidP="00D73122"/>
    <w:p w14:paraId="08DD51CA" w14:textId="121E389F" w:rsidR="00D84ABB" w:rsidRDefault="00D84ABB" w:rsidP="00D73122">
      <w:r>
        <w:t>Given the above observation</w:t>
      </w:r>
      <w:r w:rsidR="000F4CFF">
        <w:t>s</w:t>
      </w:r>
      <w:r>
        <w:t xml:space="preserve">, we propose that if the </w:t>
      </w:r>
      <w:r w:rsidR="002E5737">
        <w:t xml:space="preserve">target </w:t>
      </w:r>
      <w:r>
        <w:t xml:space="preserve">gNB decides to REJECT the RRC RESUME request message, the </w:t>
      </w:r>
      <w:r w:rsidR="002E5737">
        <w:t xml:space="preserve">target </w:t>
      </w:r>
      <w:r>
        <w:t xml:space="preserve">gNB still </w:t>
      </w:r>
      <w:r w:rsidR="002E5737">
        <w:t>contacts the anchor gNB and uses the stored security context in the anchor gNB to integrity protect the REJECT message (e.g. appending a short MAC-I or full integrity protection using the stored K</w:t>
      </w:r>
      <w:r w:rsidR="002E5737" w:rsidRPr="002E5737">
        <w:rPr>
          <w:vertAlign w:val="subscript"/>
        </w:rPr>
        <w:t>RRCInt</w:t>
      </w:r>
      <w:r w:rsidR="002E5737" w:rsidRPr="002E5737">
        <w:t xml:space="preserve"> </w:t>
      </w:r>
      <w:r w:rsidR="002E5737">
        <w:t xml:space="preserve">of the anchor gNB). The integrity protected REJECT message may be sent over SRB1 to the UE. The overall procedure for this is as depicted in </w:t>
      </w:r>
      <w:r w:rsidR="00A31A7B">
        <w:fldChar w:fldCharType="begin"/>
      </w:r>
      <w:r w:rsidR="00A31A7B">
        <w:instrText xml:space="preserve"> REF _Ref505288586 \h </w:instrText>
      </w:r>
      <w:r w:rsidR="00A31A7B">
        <w:fldChar w:fldCharType="separate"/>
      </w:r>
      <w:r w:rsidR="00A31A7B">
        <w:t xml:space="preserve">Figure </w:t>
      </w:r>
      <w:r w:rsidR="00A31A7B">
        <w:rPr>
          <w:noProof/>
        </w:rPr>
        <w:t>2</w:t>
      </w:r>
      <w:r w:rsidR="00A31A7B">
        <w:fldChar w:fldCharType="end"/>
      </w:r>
      <w:r w:rsidR="00A31A7B">
        <w:t xml:space="preserve"> </w:t>
      </w:r>
      <w:r w:rsidR="002E5737">
        <w:t xml:space="preserve">below. </w:t>
      </w:r>
    </w:p>
    <w:p w14:paraId="7C96DAB8" w14:textId="77777777" w:rsidR="002E5737" w:rsidRPr="00D84ABB" w:rsidRDefault="002E5737" w:rsidP="00D73122"/>
    <w:p w14:paraId="1C6CC254" w14:textId="77777777" w:rsidR="00A31A7B" w:rsidRDefault="00A31A7B" w:rsidP="00A31A7B">
      <w:pPr>
        <w:keepNext/>
        <w:jc w:val="center"/>
      </w:pPr>
      <w:r w:rsidRPr="00A31A7B">
        <w:rPr>
          <w:noProof/>
        </w:rPr>
        <w:drawing>
          <wp:inline distT="0" distB="0" distL="0" distR="0" wp14:anchorId="579EA8EB" wp14:editId="4CBD7ED0">
            <wp:extent cx="5071110" cy="33096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1110" cy="3309620"/>
                    </a:xfrm>
                    <a:prstGeom prst="rect">
                      <a:avLst/>
                    </a:prstGeom>
                    <a:noFill/>
                    <a:ln>
                      <a:noFill/>
                    </a:ln>
                  </pic:spPr>
                </pic:pic>
              </a:graphicData>
            </a:graphic>
          </wp:inline>
        </w:drawing>
      </w:r>
    </w:p>
    <w:p w14:paraId="2F4D89F3" w14:textId="5ADADD66" w:rsidR="004B5502" w:rsidRDefault="00A31A7B" w:rsidP="00A31A7B">
      <w:pPr>
        <w:pStyle w:val="Caption"/>
        <w:jc w:val="center"/>
      </w:pPr>
      <w:bookmarkStart w:id="3" w:name="_Ref505288586"/>
      <w:r>
        <w:t xml:space="preserve">Figure </w:t>
      </w:r>
      <w:r w:rsidR="00C941C1">
        <w:fldChar w:fldCharType="begin"/>
      </w:r>
      <w:r w:rsidR="00C941C1">
        <w:instrText xml:space="preserve"> SEQ Figure \* ARABIC </w:instrText>
      </w:r>
      <w:r w:rsidR="00C941C1">
        <w:fldChar w:fldCharType="separate"/>
      </w:r>
      <w:r w:rsidR="000A22DF">
        <w:rPr>
          <w:noProof/>
        </w:rPr>
        <w:t>2</w:t>
      </w:r>
      <w:r w:rsidR="00C941C1">
        <w:rPr>
          <w:noProof/>
        </w:rPr>
        <w:fldChar w:fldCharType="end"/>
      </w:r>
      <w:bookmarkEnd w:id="3"/>
      <w:r>
        <w:t>: Integrity protected REJECT procedure</w:t>
      </w:r>
    </w:p>
    <w:p w14:paraId="4D4C06A3" w14:textId="57052EA6" w:rsidR="000A22DF" w:rsidRDefault="00A31A7B" w:rsidP="00A31A7B">
      <w:r>
        <w:t>One advantage of the above procedure is that the same frame work can also be reused to support the RNA</w:t>
      </w:r>
      <w:r w:rsidR="00B1189C">
        <w:t>U procedure</w:t>
      </w:r>
      <w:r>
        <w:t xml:space="preserve"> without anchor change as indicated by RAN3 </w:t>
      </w:r>
      <w:r>
        <w:fldChar w:fldCharType="begin"/>
      </w:r>
      <w:r>
        <w:instrText xml:space="preserve"> REF _Ref505286433 \r \h </w:instrText>
      </w:r>
      <w:r>
        <w:fldChar w:fldCharType="separate"/>
      </w:r>
      <w:r>
        <w:t>[3]</w:t>
      </w:r>
      <w:r>
        <w:fldChar w:fldCharType="end"/>
      </w:r>
      <w:r>
        <w:t xml:space="preserve">. In this case, the REJECT message may </w:t>
      </w:r>
      <w:r w:rsidR="000A22DF">
        <w:t>contain</w:t>
      </w:r>
      <w:r>
        <w:t xml:space="preserve"> the RNA Update Acknowledgement which is again integrity protected by the anchor gNB. This procedure is depicted in </w:t>
      </w:r>
      <w:r w:rsidR="00C531B7">
        <w:fldChar w:fldCharType="begin"/>
      </w:r>
      <w:r w:rsidR="00C531B7">
        <w:instrText xml:space="preserve"> REF _Ref505690453 \h </w:instrText>
      </w:r>
      <w:r w:rsidR="00C531B7">
        <w:fldChar w:fldCharType="separate"/>
      </w:r>
      <w:r w:rsidR="00C531B7">
        <w:t xml:space="preserve">Figure </w:t>
      </w:r>
      <w:r w:rsidR="00C531B7">
        <w:rPr>
          <w:noProof/>
        </w:rPr>
        <w:t>3</w:t>
      </w:r>
      <w:r w:rsidR="00C531B7">
        <w:fldChar w:fldCharType="end"/>
      </w:r>
      <w:r w:rsidR="00C531B7">
        <w:t xml:space="preserve"> </w:t>
      </w:r>
      <w:r>
        <w:t>below.</w:t>
      </w:r>
      <w:r w:rsidR="00B1189C">
        <w:t xml:space="preserve"> </w:t>
      </w:r>
    </w:p>
    <w:p w14:paraId="369F1B6A" w14:textId="77777777" w:rsidR="000A22DF" w:rsidRDefault="000A22DF" w:rsidP="000A22DF">
      <w:pPr>
        <w:keepNext/>
        <w:jc w:val="center"/>
      </w:pPr>
      <w:r w:rsidRPr="000A22DF">
        <w:rPr>
          <w:noProof/>
        </w:rPr>
        <w:drawing>
          <wp:inline distT="0" distB="0" distL="0" distR="0" wp14:anchorId="08F41DBB" wp14:editId="38FF79A9">
            <wp:extent cx="5071110" cy="33096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71110" cy="3309620"/>
                    </a:xfrm>
                    <a:prstGeom prst="rect">
                      <a:avLst/>
                    </a:prstGeom>
                    <a:noFill/>
                    <a:ln>
                      <a:noFill/>
                    </a:ln>
                  </pic:spPr>
                </pic:pic>
              </a:graphicData>
            </a:graphic>
          </wp:inline>
        </w:drawing>
      </w:r>
    </w:p>
    <w:p w14:paraId="49E97B47" w14:textId="2A8585C5" w:rsidR="000A22DF" w:rsidRDefault="000A22DF" w:rsidP="000A22DF">
      <w:pPr>
        <w:pStyle w:val="Caption"/>
        <w:jc w:val="center"/>
      </w:pPr>
      <w:bookmarkStart w:id="4" w:name="_Ref505690453"/>
      <w:r>
        <w:t xml:space="preserve">Figure </w:t>
      </w:r>
      <w:r w:rsidR="00C941C1">
        <w:fldChar w:fldCharType="begin"/>
      </w:r>
      <w:r w:rsidR="00C941C1">
        <w:instrText xml:space="preserve"> SEQ Figure \* ARABIC </w:instrText>
      </w:r>
      <w:r w:rsidR="00C941C1">
        <w:fldChar w:fldCharType="separate"/>
      </w:r>
      <w:r>
        <w:rPr>
          <w:noProof/>
        </w:rPr>
        <w:t>3</w:t>
      </w:r>
      <w:r w:rsidR="00C941C1">
        <w:rPr>
          <w:noProof/>
        </w:rPr>
        <w:fldChar w:fldCharType="end"/>
      </w:r>
      <w:bookmarkEnd w:id="4"/>
      <w:r>
        <w:t>: Proposed solution for RNAU without anchor change</w:t>
      </w:r>
    </w:p>
    <w:p w14:paraId="1BAF9C49" w14:textId="77777777" w:rsidR="000A22DF" w:rsidRDefault="000A22DF" w:rsidP="00A31A7B"/>
    <w:p w14:paraId="259066A3" w14:textId="014219C0" w:rsidR="00A31A7B" w:rsidRDefault="00B1189C" w:rsidP="00A31A7B">
      <w:r>
        <w:t>Thus, the REJECT message carrying a piggy backed container that is integrity protected by the anchor gNB can be used for both RNAU and congestion scenarios.</w:t>
      </w:r>
      <w:r w:rsidR="000A22DF">
        <w:t xml:space="preserve"> Based on the above, we make the following proposals: </w:t>
      </w:r>
      <w:r>
        <w:t xml:space="preserve"> </w:t>
      </w:r>
      <w:r w:rsidR="00A31A7B">
        <w:t xml:space="preserve"> </w:t>
      </w:r>
    </w:p>
    <w:p w14:paraId="66D243FD" w14:textId="2B87350D" w:rsidR="00B1189C" w:rsidRDefault="00B1189C" w:rsidP="00A31A7B"/>
    <w:p w14:paraId="0AA59195" w14:textId="77777777" w:rsidR="000A22DF" w:rsidRDefault="000A22DF" w:rsidP="000A22DF">
      <w:pPr>
        <w:rPr>
          <w:b/>
        </w:rPr>
      </w:pPr>
      <w:r w:rsidRPr="00B1189C">
        <w:rPr>
          <w:b/>
        </w:rPr>
        <w:t>Proposal 1: REJECT message shall not be sent over SRB0 (</w:t>
      </w:r>
      <w:r>
        <w:rPr>
          <w:b/>
        </w:rPr>
        <w:t>UE shall discard such a message</w:t>
      </w:r>
      <w:r w:rsidRPr="00B1189C">
        <w:rPr>
          <w:b/>
        </w:rPr>
        <w:t>) – i.e. revert the agreement from RAN2#99-bis</w:t>
      </w:r>
    </w:p>
    <w:p w14:paraId="0CCEAD1E" w14:textId="77777777" w:rsidR="000A22DF" w:rsidRPr="00B1189C" w:rsidRDefault="000A22DF" w:rsidP="000A22DF">
      <w:pPr>
        <w:rPr>
          <w:b/>
        </w:rPr>
      </w:pPr>
    </w:p>
    <w:p w14:paraId="6FD3FCE9" w14:textId="7F871184" w:rsidR="000A22DF" w:rsidRDefault="000A22DF" w:rsidP="000A22DF">
      <w:pPr>
        <w:rPr>
          <w:b/>
        </w:rPr>
      </w:pPr>
      <w:r w:rsidRPr="00B1189C">
        <w:rPr>
          <w:b/>
        </w:rPr>
        <w:t>Proposal 2: REJECT message shall be sent over SRB1 and shall carry a piggy backed container which is integrity protected by the anchor gNB</w:t>
      </w:r>
      <w:r w:rsidR="00C941C1">
        <w:rPr>
          <w:b/>
        </w:rPr>
        <w:t>:</w:t>
      </w:r>
    </w:p>
    <w:p w14:paraId="329A6C82" w14:textId="77777777" w:rsidR="000A22DF" w:rsidRDefault="000A22DF" w:rsidP="000A22DF">
      <w:pPr>
        <w:rPr>
          <w:b/>
        </w:rPr>
      </w:pPr>
    </w:p>
    <w:p w14:paraId="6941866C" w14:textId="015F91C6" w:rsidR="000A22DF" w:rsidRDefault="000A22DF" w:rsidP="00C941C1">
      <w:pPr>
        <w:ind w:left="420"/>
        <w:rPr>
          <w:b/>
        </w:rPr>
      </w:pPr>
      <w:r w:rsidRPr="00B1189C">
        <w:rPr>
          <w:b/>
        </w:rPr>
        <w:t xml:space="preserve">Proposal 2a: The integrity protected container in the REJECT message </w:t>
      </w:r>
      <w:r w:rsidR="00891E8C">
        <w:rPr>
          <w:b/>
        </w:rPr>
        <w:t>may</w:t>
      </w:r>
      <w:r w:rsidRPr="00B1189C">
        <w:rPr>
          <w:b/>
        </w:rPr>
        <w:t xml:space="preserve"> carry a wait timer (REJECT case during congestion) or </w:t>
      </w:r>
    </w:p>
    <w:p w14:paraId="11CEDD37" w14:textId="77777777" w:rsidR="000A22DF" w:rsidRDefault="000A22DF" w:rsidP="000A22DF">
      <w:pPr>
        <w:rPr>
          <w:b/>
        </w:rPr>
      </w:pPr>
    </w:p>
    <w:p w14:paraId="4AE24C1D" w14:textId="35926D1E" w:rsidR="00B1189C" w:rsidRDefault="000A22DF" w:rsidP="00C941C1">
      <w:pPr>
        <w:ind w:left="420"/>
        <w:rPr>
          <w:b/>
        </w:rPr>
      </w:pPr>
      <w:r>
        <w:rPr>
          <w:b/>
        </w:rPr>
        <w:t xml:space="preserve">Proposal </w:t>
      </w:r>
      <w:r w:rsidR="00C941C1">
        <w:rPr>
          <w:b/>
        </w:rPr>
        <w:t>2b</w:t>
      </w:r>
      <w:r>
        <w:rPr>
          <w:b/>
        </w:rPr>
        <w:t xml:space="preserve">: </w:t>
      </w:r>
      <w:r w:rsidRPr="00B1189C">
        <w:rPr>
          <w:b/>
        </w:rPr>
        <w:t xml:space="preserve">The integrity protected container in the REJECT message </w:t>
      </w:r>
      <w:r w:rsidR="00891E8C">
        <w:rPr>
          <w:b/>
        </w:rPr>
        <w:t>may</w:t>
      </w:r>
      <w:r w:rsidRPr="00B1189C">
        <w:rPr>
          <w:b/>
        </w:rPr>
        <w:t xml:space="preserve"> carry </w:t>
      </w:r>
      <w:r>
        <w:rPr>
          <w:b/>
        </w:rPr>
        <w:t xml:space="preserve">the </w:t>
      </w:r>
      <w:r w:rsidRPr="00B1189C">
        <w:rPr>
          <w:b/>
        </w:rPr>
        <w:t xml:space="preserve">RNAU ACK </w:t>
      </w:r>
      <w:r>
        <w:rPr>
          <w:b/>
        </w:rPr>
        <w:t xml:space="preserve">message </w:t>
      </w:r>
      <w:r w:rsidRPr="00B1189C">
        <w:rPr>
          <w:b/>
        </w:rPr>
        <w:t>(RNAU without anchor change scenario)</w:t>
      </w:r>
    </w:p>
    <w:p w14:paraId="736AB9FE" w14:textId="606E3E81" w:rsidR="000603D6" w:rsidRDefault="000603D6" w:rsidP="000A22DF">
      <w:pPr>
        <w:rPr>
          <w:b/>
        </w:rPr>
      </w:pPr>
    </w:p>
    <w:p w14:paraId="0060D72C" w14:textId="7DD1D58A" w:rsidR="000603D6" w:rsidRPr="00B1189C" w:rsidRDefault="000603D6" w:rsidP="000A22DF">
      <w:pPr>
        <w:rPr>
          <w:b/>
        </w:rPr>
      </w:pPr>
      <w:r>
        <w:rPr>
          <w:b/>
        </w:rPr>
        <w:t xml:space="preserve">Proposal </w:t>
      </w:r>
      <w:r w:rsidR="00C941C1">
        <w:rPr>
          <w:b/>
        </w:rPr>
        <w:t>3</w:t>
      </w:r>
      <w:r>
        <w:rPr>
          <w:b/>
        </w:rPr>
        <w:t xml:space="preserve">: Send LSs to RAN3 and SA3 informing them about the above framework </w:t>
      </w:r>
    </w:p>
    <w:p w14:paraId="789B3D6C" w14:textId="3E5DFCC1"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230E0733" w14:textId="736BB95A" w:rsidR="00A504A8" w:rsidRDefault="00B1189C" w:rsidP="00A504A8">
      <w:r>
        <w:t>In this contribution we discussed the security implications of sending a REJECT message over SRB0 in light of the LS response from SA3 in</w:t>
      </w:r>
      <w:r>
        <w:fldChar w:fldCharType="begin"/>
      </w:r>
      <w:r>
        <w:instrText xml:space="preserve"> REF _Ref505265441 \r \h </w:instrText>
      </w:r>
      <w:r>
        <w:fldChar w:fldCharType="separate"/>
      </w:r>
      <w:r>
        <w:t>[2]</w:t>
      </w:r>
      <w:r>
        <w:fldChar w:fldCharType="end"/>
      </w:r>
      <w:r>
        <w:t xml:space="preserve">. We also highlighted that this issue has synergies with the RNAU procedure without anchor change as indicated by RAN3 </w:t>
      </w:r>
      <w:r>
        <w:fldChar w:fldCharType="begin"/>
      </w:r>
      <w:r>
        <w:instrText xml:space="preserve"> REF _Ref505286433 \r \h </w:instrText>
      </w:r>
      <w:r>
        <w:fldChar w:fldCharType="separate"/>
      </w:r>
      <w:r>
        <w:t>[3]</w:t>
      </w:r>
      <w:r>
        <w:fldChar w:fldCharType="end"/>
      </w:r>
      <w:r>
        <w:t xml:space="preserve">. </w:t>
      </w:r>
    </w:p>
    <w:p w14:paraId="74AC25E6" w14:textId="77777777" w:rsidR="000F4CFF" w:rsidRDefault="000F4CFF" w:rsidP="00A504A8"/>
    <w:p w14:paraId="06B2A3AA" w14:textId="7A3C4190" w:rsidR="00B1189C" w:rsidRDefault="00B1189C" w:rsidP="00A504A8">
      <w:r>
        <w:t>The following observation is made:</w:t>
      </w:r>
    </w:p>
    <w:p w14:paraId="640B8262" w14:textId="09948724" w:rsidR="000F4CFF" w:rsidRDefault="000F4CFF" w:rsidP="000F4CFF">
      <w:pPr>
        <w:rPr>
          <w:b/>
        </w:rPr>
      </w:pPr>
      <w:r>
        <w:rPr>
          <w:b/>
        </w:rPr>
        <w:t xml:space="preserve">Observation 1: Sending an unprotected REJECT message (with no integrity protection) </w:t>
      </w:r>
      <w:r w:rsidRPr="00D84ABB">
        <w:rPr>
          <w:b/>
        </w:rPr>
        <w:t>introduc</w:t>
      </w:r>
      <w:r>
        <w:rPr>
          <w:b/>
        </w:rPr>
        <w:t>es</w:t>
      </w:r>
      <w:r w:rsidRPr="00D84ABB">
        <w:rPr>
          <w:b/>
        </w:rPr>
        <w:t xml:space="preserve"> security vulnerabilit</w:t>
      </w:r>
      <w:r>
        <w:rPr>
          <w:b/>
        </w:rPr>
        <w:t>ies</w:t>
      </w:r>
      <w:r w:rsidRPr="00D84ABB">
        <w:rPr>
          <w:b/>
        </w:rPr>
        <w:t xml:space="preserve"> </w:t>
      </w:r>
      <w:r>
        <w:rPr>
          <w:b/>
        </w:rPr>
        <w:t>as indicated by SA3 and this shall be avoided</w:t>
      </w:r>
    </w:p>
    <w:p w14:paraId="221125E1" w14:textId="77777777" w:rsidR="000F4CFF" w:rsidRPr="00D84ABB" w:rsidRDefault="000F4CFF" w:rsidP="000F4CFF">
      <w:pPr>
        <w:rPr>
          <w:b/>
        </w:rPr>
      </w:pPr>
    </w:p>
    <w:p w14:paraId="2895D593" w14:textId="06E6EC41" w:rsidR="000F4CFF" w:rsidRDefault="000F4CFF" w:rsidP="000F4CFF">
      <w:pPr>
        <w:rPr>
          <w:b/>
        </w:rPr>
      </w:pPr>
      <w:r w:rsidRPr="00D84ABB">
        <w:rPr>
          <w:b/>
        </w:rPr>
        <w:t xml:space="preserve">Observation </w:t>
      </w:r>
      <w:r>
        <w:rPr>
          <w:b/>
        </w:rPr>
        <w:t>2</w:t>
      </w:r>
      <w:r w:rsidRPr="00D84ABB">
        <w:rPr>
          <w:b/>
        </w:rPr>
        <w:t xml:space="preserve">: </w:t>
      </w:r>
      <w:r>
        <w:rPr>
          <w:b/>
        </w:rPr>
        <w:t xml:space="preserve">Integrity protecting the REJECT message over air-interface doesn’t result in any more messages over air-interface compared to sending it without integrity protection </w:t>
      </w:r>
    </w:p>
    <w:p w14:paraId="64021FFA" w14:textId="77777777" w:rsidR="000F4CFF" w:rsidRDefault="000F4CFF" w:rsidP="000F4CFF">
      <w:pPr>
        <w:rPr>
          <w:b/>
        </w:rPr>
      </w:pPr>
    </w:p>
    <w:p w14:paraId="172F386E" w14:textId="77777777" w:rsidR="000F4CFF" w:rsidRDefault="000F4CFF" w:rsidP="000F4CFF">
      <w:pPr>
        <w:rPr>
          <w:b/>
        </w:rPr>
      </w:pPr>
      <w:r>
        <w:rPr>
          <w:b/>
        </w:rPr>
        <w:t xml:space="preserve">Observation 3: </w:t>
      </w:r>
      <w:r w:rsidRPr="00D84ABB">
        <w:rPr>
          <w:b/>
        </w:rPr>
        <w:t>Handling congestion in the network</w:t>
      </w:r>
      <w:r>
        <w:rPr>
          <w:b/>
        </w:rPr>
        <w:t xml:space="preserve"> nodes/interfaces</w:t>
      </w:r>
      <w:r w:rsidRPr="00D84ABB">
        <w:rPr>
          <w:b/>
        </w:rPr>
        <w:t xml:space="preserve"> can be achieved by </w:t>
      </w:r>
      <w:r>
        <w:rPr>
          <w:b/>
        </w:rPr>
        <w:t>other</w:t>
      </w:r>
      <w:r w:rsidRPr="00D84ABB">
        <w:rPr>
          <w:b/>
        </w:rPr>
        <w:t xml:space="preserve"> means (e.g. access barring)</w:t>
      </w:r>
    </w:p>
    <w:p w14:paraId="2297A7F1" w14:textId="0B36DAAD" w:rsidR="004B5502" w:rsidRDefault="004B5502" w:rsidP="00A504A8"/>
    <w:p w14:paraId="526FC489" w14:textId="166F80C7" w:rsidR="000F4CFF" w:rsidRDefault="000F4CFF" w:rsidP="00A504A8">
      <w:r>
        <w:t xml:space="preserve">Based on the above observations, a unified framework to handle the REJECT during congestion and REJECT for RNAU procedure is proposed as follows: </w:t>
      </w:r>
    </w:p>
    <w:p w14:paraId="4EAC1A60" w14:textId="77777777" w:rsidR="000F4CFF" w:rsidRDefault="000F4CFF" w:rsidP="00A504A8"/>
    <w:p w14:paraId="22DCBB98" w14:textId="77777777" w:rsidR="00C941C1" w:rsidRDefault="00C941C1" w:rsidP="00C941C1">
      <w:pPr>
        <w:rPr>
          <w:b/>
        </w:rPr>
      </w:pPr>
      <w:r w:rsidRPr="00B1189C">
        <w:rPr>
          <w:b/>
        </w:rPr>
        <w:t>Proposal 1: REJECT message shall not be sent over SRB0 (</w:t>
      </w:r>
      <w:r>
        <w:rPr>
          <w:b/>
        </w:rPr>
        <w:t>UE shall discard such a message</w:t>
      </w:r>
      <w:r w:rsidRPr="00B1189C">
        <w:rPr>
          <w:b/>
        </w:rPr>
        <w:t>) – i.e. revert the agreement from RAN2#99-bis</w:t>
      </w:r>
    </w:p>
    <w:p w14:paraId="09157F0D" w14:textId="77777777" w:rsidR="00C941C1" w:rsidRPr="00B1189C" w:rsidRDefault="00C941C1" w:rsidP="00C941C1">
      <w:pPr>
        <w:rPr>
          <w:b/>
        </w:rPr>
      </w:pPr>
    </w:p>
    <w:p w14:paraId="18B7DE7B" w14:textId="77777777" w:rsidR="00C941C1" w:rsidRDefault="00C941C1" w:rsidP="00C941C1">
      <w:pPr>
        <w:rPr>
          <w:b/>
        </w:rPr>
      </w:pPr>
      <w:r w:rsidRPr="00B1189C">
        <w:rPr>
          <w:b/>
        </w:rPr>
        <w:t>Proposal 2: REJECT message shall be sent over SRB1 and shall carry a piggy backed container which is integrity protected by the anchor gNB</w:t>
      </w:r>
      <w:r>
        <w:rPr>
          <w:b/>
        </w:rPr>
        <w:t>:</w:t>
      </w:r>
    </w:p>
    <w:p w14:paraId="60DED678" w14:textId="77777777" w:rsidR="00C941C1" w:rsidRDefault="00C941C1" w:rsidP="00C941C1">
      <w:pPr>
        <w:rPr>
          <w:b/>
        </w:rPr>
      </w:pPr>
    </w:p>
    <w:p w14:paraId="5FD6A5DD" w14:textId="77777777" w:rsidR="00C941C1" w:rsidRDefault="00C941C1" w:rsidP="00C941C1">
      <w:pPr>
        <w:ind w:left="420"/>
        <w:rPr>
          <w:b/>
        </w:rPr>
      </w:pPr>
      <w:r w:rsidRPr="00B1189C">
        <w:rPr>
          <w:b/>
        </w:rPr>
        <w:t xml:space="preserve">Proposal 2a: The integrity protected container in the REJECT message </w:t>
      </w:r>
      <w:r>
        <w:rPr>
          <w:b/>
        </w:rPr>
        <w:t>may</w:t>
      </w:r>
      <w:r w:rsidRPr="00B1189C">
        <w:rPr>
          <w:b/>
        </w:rPr>
        <w:t xml:space="preserve"> carry a wait timer (REJECT case during congestion) or </w:t>
      </w:r>
    </w:p>
    <w:p w14:paraId="48A5FB2F" w14:textId="77777777" w:rsidR="00C941C1" w:rsidRDefault="00C941C1" w:rsidP="00C941C1">
      <w:pPr>
        <w:rPr>
          <w:b/>
        </w:rPr>
      </w:pPr>
    </w:p>
    <w:p w14:paraId="22A20322" w14:textId="77777777" w:rsidR="00C941C1" w:rsidRDefault="00C941C1" w:rsidP="00C941C1">
      <w:pPr>
        <w:ind w:left="420"/>
        <w:rPr>
          <w:b/>
        </w:rPr>
      </w:pPr>
      <w:r>
        <w:rPr>
          <w:b/>
        </w:rPr>
        <w:t xml:space="preserve">Proposal 2b: </w:t>
      </w:r>
      <w:r w:rsidRPr="00B1189C">
        <w:rPr>
          <w:b/>
        </w:rPr>
        <w:t xml:space="preserve">The integrity protected container in the REJECT message </w:t>
      </w:r>
      <w:r>
        <w:rPr>
          <w:b/>
        </w:rPr>
        <w:t>may</w:t>
      </w:r>
      <w:r w:rsidRPr="00B1189C">
        <w:rPr>
          <w:b/>
        </w:rPr>
        <w:t xml:space="preserve"> carry </w:t>
      </w:r>
      <w:r>
        <w:rPr>
          <w:b/>
        </w:rPr>
        <w:t xml:space="preserve">the </w:t>
      </w:r>
      <w:r w:rsidRPr="00B1189C">
        <w:rPr>
          <w:b/>
        </w:rPr>
        <w:t xml:space="preserve">RNAU ACK </w:t>
      </w:r>
      <w:r>
        <w:rPr>
          <w:b/>
        </w:rPr>
        <w:t xml:space="preserve">message </w:t>
      </w:r>
      <w:r w:rsidRPr="00B1189C">
        <w:rPr>
          <w:b/>
        </w:rPr>
        <w:t>(RNAU without anchor change scenario)</w:t>
      </w:r>
    </w:p>
    <w:p w14:paraId="3C5EE6A6" w14:textId="77777777" w:rsidR="00C941C1" w:rsidRDefault="00C941C1" w:rsidP="00C941C1">
      <w:pPr>
        <w:rPr>
          <w:b/>
        </w:rPr>
      </w:pPr>
    </w:p>
    <w:p w14:paraId="1FC34A18" w14:textId="77777777" w:rsidR="00C941C1" w:rsidRPr="00B1189C" w:rsidRDefault="00C941C1" w:rsidP="00C941C1">
      <w:pPr>
        <w:rPr>
          <w:b/>
        </w:rPr>
      </w:pPr>
      <w:r>
        <w:rPr>
          <w:b/>
        </w:rPr>
        <w:t xml:space="preserve">Proposal 3: Send LSs to RAN3 and SA3 informing them about the above framework </w:t>
      </w:r>
    </w:p>
    <w:p w14:paraId="6A97AE49" w14:textId="5F646051"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5" w:name="_GoBack"/>
      <w:bookmarkEnd w:id="5"/>
      <w:r>
        <w:rPr>
          <w:rFonts w:ascii="Arial" w:hAnsi="Arial" w:cs="Arial"/>
          <w:b w:val="0"/>
          <w:bCs w:val="0"/>
          <w:kern w:val="0"/>
          <w:sz w:val="32"/>
          <w:szCs w:val="36"/>
        </w:rPr>
        <w:t>References</w:t>
      </w:r>
    </w:p>
    <w:p w14:paraId="71E2554D" w14:textId="6F0A6DFC" w:rsidR="00945FA9" w:rsidRPr="00945FA9" w:rsidRDefault="00945FA9" w:rsidP="00945FA9">
      <w:pPr>
        <w:pStyle w:val="ListParagraph"/>
        <w:numPr>
          <w:ilvl w:val="0"/>
          <w:numId w:val="27"/>
        </w:numPr>
        <w:ind w:firstLineChars="0"/>
      </w:pPr>
      <w:bookmarkStart w:id="6" w:name="_Ref505265280"/>
      <w:r w:rsidRPr="009913C9">
        <w:t xml:space="preserve">R2-1712052, </w:t>
      </w:r>
      <w:r w:rsidRPr="00945FA9">
        <w:rPr>
          <w:bCs/>
        </w:rPr>
        <w:t>LS on security during Resume reject in INACTIVE state in NR, RAN WG2</w:t>
      </w:r>
      <w:bookmarkEnd w:id="6"/>
    </w:p>
    <w:p w14:paraId="7E2A413F" w14:textId="3F3FF395" w:rsidR="00945FA9" w:rsidRDefault="001156DF" w:rsidP="001156DF">
      <w:pPr>
        <w:pStyle w:val="ListParagraph"/>
        <w:numPr>
          <w:ilvl w:val="0"/>
          <w:numId w:val="27"/>
        </w:numPr>
        <w:ind w:firstLineChars="0"/>
      </w:pPr>
      <w:bookmarkStart w:id="7" w:name="_Ref505265441"/>
      <w:r w:rsidRPr="001156DF">
        <w:t>S3- 180349</w:t>
      </w:r>
      <w:r>
        <w:t xml:space="preserve">, </w:t>
      </w:r>
      <w:r w:rsidRPr="001156DF">
        <w:t>Reply LS on security during Resume reject in INACTIVE state in NR</w:t>
      </w:r>
      <w:r>
        <w:t>, SA3</w:t>
      </w:r>
      <w:bookmarkEnd w:id="7"/>
    </w:p>
    <w:p w14:paraId="137076D8" w14:textId="19B01A52" w:rsidR="00A815A9" w:rsidRPr="00A504A8" w:rsidRDefault="00A815A9" w:rsidP="00A815A9">
      <w:pPr>
        <w:pStyle w:val="ListParagraph"/>
        <w:numPr>
          <w:ilvl w:val="0"/>
          <w:numId w:val="27"/>
        </w:numPr>
        <w:ind w:firstLineChars="0"/>
      </w:pPr>
      <w:bookmarkStart w:id="8" w:name="_Ref505286433"/>
      <w:r w:rsidRPr="00A815A9">
        <w:t>R2-1800015</w:t>
      </w:r>
      <w:r>
        <w:t xml:space="preserve">, </w:t>
      </w:r>
      <w:r w:rsidRPr="00A815A9">
        <w:t>LS on periodical RNA update (R3-175013)</w:t>
      </w:r>
      <w:r>
        <w:t>,</w:t>
      </w:r>
      <w:r w:rsidRPr="00A815A9">
        <w:tab/>
        <w:t>RAN3</w:t>
      </w:r>
      <w:bookmarkEnd w:id="8"/>
    </w:p>
    <w:sectPr w:rsidR="00A815A9" w:rsidRPr="00A504A8" w:rsidSect="00BF0850">
      <w:headerReference w:type="default" r:id="rId12"/>
      <w:footerReference w:type="even"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864140" w:rsidRDefault="00864140" w:rsidP="00FF0AAD">
      <w:r>
        <w:separator/>
      </w:r>
    </w:p>
  </w:endnote>
  <w:endnote w:type="continuationSeparator" w:id="0">
    <w:p w14:paraId="557B2D7E" w14:textId="77777777" w:rsidR="00864140" w:rsidRDefault="00864140"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ED5032" w:rsidRDefault="00A03D3F">
    <w:pPr>
      <w:pStyle w:val="Footer"/>
      <w:framePr w:wrap="around" w:vAnchor="text" w:hAnchor="margin" w:xAlign="right" w:y="1"/>
      <w:rPr>
        <w:rStyle w:val="PageNumber"/>
      </w:rPr>
    </w:pPr>
    <w:r>
      <w:rPr>
        <w:rStyle w:val="PageNumber"/>
      </w:rPr>
      <w:fldChar w:fldCharType="begin"/>
    </w:r>
    <w:r w:rsidR="00ED5032">
      <w:rPr>
        <w:rStyle w:val="PageNumber"/>
      </w:rPr>
      <w:instrText xml:space="preserve">PAGE  </w:instrText>
    </w:r>
    <w:r>
      <w:rPr>
        <w:rStyle w:val="PageNumber"/>
      </w:rPr>
      <w:fldChar w:fldCharType="end"/>
    </w:r>
  </w:p>
  <w:p w14:paraId="4C804623" w14:textId="77777777" w:rsidR="00ED5032" w:rsidRDefault="00ED5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ED5032" w:rsidRDefault="00ED5032"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864140" w:rsidRDefault="00864140" w:rsidP="00FF0AAD">
      <w:r>
        <w:separator/>
      </w:r>
    </w:p>
  </w:footnote>
  <w:footnote w:type="continuationSeparator" w:id="0">
    <w:p w14:paraId="4D1DCB5E" w14:textId="77777777" w:rsidR="00864140" w:rsidRDefault="00864140"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ED5032" w:rsidRDefault="00ED503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5"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4"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9"/>
  </w:num>
  <w:num w:numId="3">
    <w:abstractNumId w:val="23"/>
  </w:num>
  <w:num w:numId="4">
    <w:abstractNumId w:val="2"/>
  </w:num>
  <w:num w:numId="5">
    <w:abstractNumId w:val="13"/>
  </w:num>
  <w:num w:numId="6">
    <w:abstractNumId w:val="9"/>
  </w:num>
  <w:num w:numId="7">
    <w:abstractNumId w:val="15"/>
  </w:num>
  <w:num w:numId="8">
    <w:abstractNumId w:val="21"/>
  </w:num>
  <w:num w:numId="9">
    <w:abstractNumId w:val="26"/>
  </w:num>
  <w:num w:numId="10">
    <w:abstractNumId w:val="7"/>
  </w:num>
  <w:num w:numId="11">
    <w:abstractNumId w:val="17"/>
  </w:num>
  <w:num w:numId="12">
    <w:abstractNumId w:val="16"/>
  </w:num>
  <w:num w:numId="13">
    <w:abstractNumId w:val="25"/>
  </w:num>
  <w:num w:numId="14">
    <w:abstractNumId w:val="3"/>
  </w:num>
  <w:num w:numId="15">
    <w:abstractNumId w:val="4"/>
  </w:num>
  <w:num w:numId="16">
    <w:abstractNumId w:val="20"/>
  </w:num>
  <w:num w:numId="17">
    <w:abstractNumId w:val="6"/>
  </w:num>
  <w:num w:numId="18">
    <w:abstractNumId w:val="24"/>
  </w:num>
  <w:num w:numId="19">
    <w:abstractNumId w:val="8"/>
  </w:num>
  <w:num w:numId="20">
    <w:abstractNumId w:val="11"/>
  </w:num>
  <w:num w:numId="21">
    <w:abstractNumId w:val="12"/>
  </w:num>
  <w:num w:numId="22">
    <w:abstractNumId w:val="14"/>
  </w:num>
  <w:num w:numId="23">
    <w:abstractNumId w:val="5"/>
  </w:num>
  <w:num w:numId="24">
    <w:abstractNumId w:val="18"/>
  </w:num>
  <w:num w:numId="25">
    <w:abstractNumId w:val="10"/>
  </w:num>
  <w:num w:numId="26">
    <w:abstractNumId w:val="1"/>
  </w:num>
  <w:num w:numId="2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E002E"/>
    <w:rsid w:val="002E28F9"/>
    <w:rsid w:val="002E5737"/>
    <w:rsid w:val="002E7525"/>
    <w:rsid w:val="002F01CA"/>
    <w:rsid w:val="002F1163"/>
    <w:rsid w:val="002F2924"/>
    <w:rsid w:val="002F3161"/>
    <w:rsid w:val="002F5517"/>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382"/>
    <w:rsid w:val="00C72471"/>
    <w:rsid w:val="00C72B4C"/>
    <w:rsid w:val="00C8086B"/>
    <w:rsid w:val="00C82D97"/>
    <w:rsid w:val="00C84D14"/>
    <w:rsid w:val="00C91C45"/>
    <w:rsid w:val="00C9369C"/>
    <w:rsid w:val="00C93EDD"/>
    <w:rsid w:val="00C941C1"/>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2A624-E1F3-4441-95A8-F47B315E9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5</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18</cp:revision>
  <cp:lastPrinted>2113-01-01T00:00:00Z</cp:lastPrinted>
  <dcterms:created xsi:type="dcterms:W3CDTF">2018-02-01T15:57:00Z</dcterms:created>
  <dcterms:modified xsi:type="dcterms:W3CDTF">2018-02-15T17:07:00Z</dcterms:modified>
</cp:coreProperties>
</file>