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782B8AF7" w:rsidR="00A941DF" w:rsidRPr="00EE006E" w:rsidRDefault="00A941DF" w:rsidP="00A941DF">
      <w:pPr>
        <w:pStyle w:val="CRCoverPage"/>
        <w:tabs>
          <w:tab w:val="right" w:pos="9639"/>
        </w:tabs>
        <w:spacing w:after="0"/>
        <w:jc w:val="both"/>
        <w:rPr>
          <w:b/>
          <w:i/>
          <w:noProof/>
          <w:sz w:val="24"/>
          <w:szCs w:val="24"/>
          <w:lang w:eastAsia="ko-KR"/>
        </w:rPr>
      </w:pPr>
      <w:bookmarkStart w:id="0" w:name="OLE_LINK1"/>
      <w:bookmarkStart w:id="1" w:name="OLE_LINK2"/>
      <w:bookmarkStart w:id="2" w:name="_GoBack"/>
      <w:bookmarkEnd w:id="2"/>
      <w:r w:rsidRPr="00ED0D79">
        <w:rPr>
          <w:b/>
          <w:sz w:val="24"/>
          <w:szCs w:val="24"/>
        </w:rPr>
        <w:t xml:space="preserve">3GPP TSG RAN WG1 </w:t>
      </w:r>
      <w:r w:rsidR="005525FD">
        <w:rPr>
          <w:b/>
          <w:sz w:val="24"/>
          <w:szCs w:val="24"/>
        </w:rPr>
        <w:t xml:space="preserve">Ad-Hoc </w:t>
      </w:r>
      <w:r w:rsidRPr="00ED0D79">
        <w:rPr>
          <w:b/>
          <w:sz w:val="24"/>
          <w:szCs w:val="24"/>
        </w:rPr>
        <w:t xml:space="preserve">Meeting </w:t>
      </w:r>
      <w:r w:rsidR="005525FD">
        <w:rPr>
          <w:b/>
          <w:sz w:val="24"/>
          <w:szCs w:val="24"/>
        </w:rPr>
        <w:t>1901</w:t>
      </w:r>
      <w:r w:rsidRPr="00EE006E">
        <w:rPr>
          <w:rFonts w:hint="eastAsia"/>
          <w:b/>
          <w:sz w:val="24"/>
          <w:szCs w:val="24"/>
          <w:lang w:eastAsia="ko-KR"/>
        </w:rPr>
        <w:tab/>
      </w:r>
      <w:r w:rsidR="005525FD">
        <w:rPr>
          <w:b/>
          <w:sz w:val="24"/>
          <w:szCs w:val="24"/>
          <w:lang w:eastAsia="ko-KR"/>
        </w:rPr>
        <w:t>R1-190</w:t>
      </w:r>
      <w:r w:rsidR="00B478F2">
        <w:rPr>
          <w:b/>
          <w:sz w:val="24"/>
          <w:szCs w:val="24"/>
          <w:lang w:eastAsia="ko-KR"/>
        </w:rPr>
        <w:t>1035</w:t>
      </w:r>
    </w:p>
    <w:bookmarkEnd w:id="0"/>
    <w:bookmarkEnd w:id="1"/>
    <w:p w14:paraId="38D4F591" w14:textId="5C852AA6" w:rsidR="00A941DF" w:rsidRDefault="005525FD" w:rsidP="00A941DF">
      <w:pPr>
        <w:tabs>
          <w:tab w:val="left" w:pos="1985"/>
        </w:tabs>
        <w:rPr>
          <w:rFonts w:ascii="Arial" w:hAnsi="Arial"/>
          <w:b/>
          <w:bCs/>
          <w:noProof/>
          <w:sz w:val="24"/>
          <w:szCs w:val="24"/>
        </w:rPr>
      </w:pPr>
      <w:r>
        <w:rPr>
          <w:rFonts w:ascii="Arial" w:hAnsi="Arial"/>
          <w:b/>
          <w:bCs/>
          <w:noProof/>
          <w:sz w:val="24"/>
          <w:szCs w:val="24"/>
        </w:rPr>
        <w:t>Taipei</w:t>
      </w:r>
      <w:r w:rsidR="00A941DF" w:rsidRPr="0046153C">
        <w:rPr>
          <w:rFonts w:ascii="Arial" w:hAnsi="Arial"/>
          <w:b/>
          <w:bCs/>
          <w:noProof/>
          <w:sz w:val="24"/>
          <w:szCs w:val="24"/>
        </w:rPr>
        <w:t xml:space="preserve">, </w:t>
      </w:r>
      <w:r>
        <w:rPr>
          <w:rFonts w:ascii="Arial" w:hAnsi="Arial"/>
          <w:b/>
          <w:bCs/>
          <w:noProof/>
          <w:sz w:val="24"/>
          <w:szCs w:val="24"/>
        </w:rPr>
        <w:t>Taiwan</w:t>
      </w:r>
      <w:r w:rsidR="00A941DF" w:rsidRPr="0046153C">
        <w:rPr>
          <w:rFonts w:ascii="Arial" w:hAnsi="Arial"/>
          <w:b/>
          <w:bCs/>
          <w:noProof/>
          <w:sz w:val="24"/>
          <w:szCs w:val="24"/>
        </w:rPr>
        <w:t xml:space="preserve">, </w:t>
      </w:r>
      <w:r>
        <w:rPr>
          <w:rFonts w:ascii="Arial" w:hAnsi="Arial"/>
          <w:b/>
          <w:bCs/>
          <w:noProof/>
          <w:sz w:val="24"/>
          <w:szCs w:val="24"/>
        </w:rPr>
        <w:t>January 21st – 25th, 2019</w:t>
      </w:r>
    </w:p>
    <w:p w14:paraId="08664EDD" w14:textId="2C9AD349"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2D46B4">
        <w:rPr>
          <w:rFonts w:ascii="Arial" w:hAnsi="Arial"/>
          <w:sz w:val="24"/>
        </w:rPr>
        <w:t>7.2.2</w:t>
      </w:r>
      <w:r w:rsidR="00802897">
        <w:rPr>
          <w:rFonts w:ascii="Arial" w:hAnsi="Arial"/>
          <w:sz w:val="24"/>
        </w:rPr>
        <w:t>.2</w:t>
      </w:r>
      <w:r w:rsidR="005525FD">
        <w:rPr>
          <w:rFonts w:ascii="Arial" w:hAnsi="Arial"/>
          <w:sz w:val="24"/>
        </w:rPr>
        <w:t>.</w:t>
      </w:r>
      <w:r w:rsidR="00802897">
        <w:rPr>
          <w:rFonts w:ascii="Arial" w:hAnsi="Arial"/>
          <w:sz w:val="24"/>
        </w:rPr>
        <w:t>5</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374613CF"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802897">
        <w:rPr>
          <w:rFonts w:ascii="Arial" w:hAnsi="Arial"/>
          <w:sz w:val="24"/>
        </w:rPr>
        <w:t>Wideband operation</w:t>
      </w:r>
      <w:r w:rsidR="00423FB6">
        <w:rPr>
          <w:rFonts w:ascii="Arial" w:hAnsi="Arial"/>
          <w:sz w:val="24"/>
        </w:rPr>
        <w:t xml:space="preserve"> for NR-U</w:t>
      </w:r>
      <w:r w:rsidR="005525FD">
        <w:rPr>
          <w:rFonts w:ascii="Arial" w:hAnsi="Arial"/>
          <w:sz w:val="24"/>
        </w:rPr>
        <w:t xml:space="preserve"> </w:t>
      </w:r>
    </w:p>
    <w:p w14:paraId="3CDE6BAF" w14:textId="34511D06" w:rsidR="008E6CE3" w:rsidRPr="00EE006E" w:rsidRDefault="008E6CE3" w:rsidP="000F1465">
      <w:pPr>
        <w:tabs>
          <w:tab w:val="left" w:pos="1985"/>
        </w:tabs>
        <w:spacing w:before="180"/>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2977DEDB" w:rsidR="00407785" w:rsidRDefault="000349BD" w:rsidP="00407785">
      <w:pPr>
        <w:jc w:val="both"/>
        <w:rPr>
          <w:lang w:val="en-US"/>
        </w:rPr>
      </w:pPr>
      <w:r w:rsidRPr="000349BD">
        <w:rPr>
          <w:lang w:val="en-US"/>
        </w:rPr>
        <w:t xml:space="preserve">A work item on NR-based access to unlicensed spectrum was agreed in RAN #82 meeting [1]. </w:t>
      </w:r>
      <w:r>
        <w:rPr>
          <w:lang w:val="en-US"/>
        </w:rPr>
        <w:t xml:space="preserve">Design for wide-band operation </w:t>
      </w:r>
      <w:r w:rsidRPr="000349BD">
        <w:rPr>
          <w:lang w:val="en-US"/>
        </w:rPr>
        <w:t xml:space="preserve">is one of objectives of the work item. NR-U should specify the followings for </w:t>
      </w:r>
      <w:r>
        <w:rPr>
          <w:lang w:val="en-US"/>
        </w:rPr>
        <w:t>wideband operation</w:t>
      </w:r>
      <w:r w:rsidRPr="000349BD">
        <w:rPr>
          <w:lang w:val="en-US"/>
        </w:rPr>
        <w:t>:</w:t>
      </w:r>
    </w:p>
    <w:p w14:paraId="7E793E2F" w14:textId="77777777" w:rsidR="00FE65A9" w:rsidRDefault="00FE65A9" w:rsidP="00FE65A9">
      <w:pPr>
        <w:pStyle w:val="B2"/>
        <w:rPr>
          <w:lang w:eastAsia="ja-JP"/>
        </w:rPr>
      </w:pPr>
      <w:r>
        <w:rPr>
          <w:lang w:eastAsia="ja-JP"/>
        </w:rPr>
        <w:t>-</w:t>
      </w:r>
      <w:r>
        <w:rPr>
          <w:lang w:eastAsia="ja-JP"/>
        </w:rPr>
        <w:tab/>
        <w:t>Wide band operation (in integer multiples of 20MHz) for DL and UL for NR-U supported with multiple serving cells, and</w:t>
      </w:r>
      <w:r w:rsidRPr="00594645">
        <w:rPr>
          <w:lang w:eastAsia="ja-JP"/>
        </w:rPr>
        <w:t xml:space="preserve"> </w:t>
      </w:r>
      <w:r w:rsidRPr="00646108">
        <w:rPr>
          <w:lang w:eastAsia="ja-JP"/>
        </w:rPr>
        <w:t xml:space="preserve">wideband operation (in integer multiples of 20MHz) for DL and UL for NR-U supported with one serving cell </w:t>
      </w:r>
      <w:r>
        <w:rPr>
          <w:lang w:eastAsia="ja-JP"/>
        </w:rPr>
        <w:t xml:space="preserve">with bandwidth &gt; 20MHz </w:t>
      </w:r>
      <w:r w:rsidRPr="00646108">
        <w:rPr>
          <w:lang w:eastAsia="ja-JP"/>
        </w:rPr>
        <w:t xml:space="preserve">with potential scheduling constraint </w:t>
      </w:r>
      <w:r w:rsidRPr="00594645">
        <w:rPr>
          <w:lang w:eastAsia="ja-JP"/>
        </w:rPr>
        <w:t xml:space="preserve">subject to </w:t>
      </w:r>
      <w:r>
        <w:rPr>
          <w:lang w:eastAsia="ja-JP"/>
        </w:rPr>
        <w:t xml:space="preserve">input from RAN2 and </w:t>
      </w:r>
      <w:r w:rsidRPr="00594645">
        <w:rPr>
          <w:lang w:eastAsia="ja-JP"/>
        </w:rPr>
        <w:t>RAN4 on feasibility</w:t>
      </w:r>
      <w:r w:rsidRPr="004F0BC2">
        <w:rPr>
          <w:lang w:eastAsia="ja-JP"/>
        </w:rPr>
        <w:t xml:space="preserve"> </w:t>
      </w:r>
      <w:r w:rsidRPr="00646108">
        <w:rPr>
          <w:lang w:eastAsia="ja-JP"/>
        </w:rPr>
        <w:t>of operating the wideband carrier when LBT is unsuccessful in one</w:t>
      </w:r>
      <w:r>
        <w:rPr>
          <w:lang w:eastAsia="ja-JP"/>
        </w:rPr>
        <w:t xml:space="preserve"> or more</w:t>
      </w:r>
      <w:r w:rsidRPr="00646108">
        <w:rPr>
          <w:lang w:eastAsia="ja-JP"/>
        </w:rPr>
        <w:t xml:space="preserve"> LBT subband</w:t>
      </w:r>
      <w:r>
        <w:rPr>
          <w:lang w:eastAsia="ja-JP"/>
        </w:rPr>
        <w:t>s</w:t>
      </w:r>
      <w:r w:rsidRPr="00646108">
        <w:rPr>
          <w:lang w:eastAsia="ja-JP"/>
        </w:rPr>
        <w:t xml:space="preserve"> within the wideband carri</w:t>
      </w:r>
      <w:r>
        <w:rPr>
          <w:lang w:eastAsia="ja-JP"/>
        </w:rPr>
        <w:t>er</w:t>
      </w:r>
      <w:r w:rsidRPr="00594645">
        <w:rPr>
          <w:lang w:eastAsia="ja-JP"/>
        </w:rPr>
        <w:t xml:space="preserve">. </w:t>
      </w:r>
      <w:r>
        <w:rPr>
          <w:lang w:eastAsia="ja-JP"/>
        </w:rPr>
        <w:t xml:space="preserve">For all wide-band operation cases, </w:t>
      </w:r>
      <w:r w:rsidRPr="00594645">
        <w:rPr>
          <w:lang w:eastAsia="ja-JP"/>
        </w:rPr>
        <w:t>CCA</w:t>
      </w:r>
      <w:r>
        <w:rPr>
          <w:lang w:eastAsia="ja-JP"/>
        </w:rPr>
        <w:t xml:space="preserve"> is</w:t>
      </w:r>
      <w:r w:rsidRPr="00594645">
        <w:rPr>
          <w:lang w:eastAsia="ja-JP"/>
        </w:rPr>
        <w:t xml:space="preserve"> performed in</w:t>
      </w:r>
      <w:r>
        <w:rPr>
          <w:lang w:eastAsia="ja-JP"/>
        </w:rPr>
        <w:t xml:space="preserve"> units</w:t>
      </w:r>
      <w:r w:rsidRPr="00594645">
        <w:rPr>
          <w:lang w:eastAsia="ja-JP"/>
        </w:rPr>
        <w:t xml:space="preserve"> of 20MHz</w:t>
      </w:r>
      <w:r>
        <w:rPr>
          <w:lang w:eastAsia="ja-JP"/>
        </w:rPr>
        <w:t xml:space="preserve"> (at least for 5GHz)</w:t>
      </w:r>
      <w:r w:rsidRPr="00594645">
        <w:rPr>
          <w:lang w:eastAsia="ja-JP"/>
        </w:rPr>
        <w:t>.</w:t>
      </w:r>
    </w:p>
    <w:p w14:paraId="7AACE62C" w14:textId="0CEB2C6D" w:rsidR="00CC2546" w:rsidRPr="00FE65A9" w:rsidRDefault="00FE65A9" w:rsidP="00FE65A9">
      <w:pPr>
        <w:spacing w:after="0" w:line="288" w:lineRule="auto"/>
        <w:jc w:val="both"/>
        <w:rPr>
          <w:rFonts w:eastAsia="MS Mincho"/>
          <w:lang w:val="en-US" w:eastAsia="ja-JP"/>
        </w:rPr>
      </w:pPr>
      <w:r w:rsidRPr="00EE006E">
        <w:rPr>
          <w:lang w:val="en-US" w:eastAsia="ja-JP"/>
        </w:rPr>
        <w:t xml:space="preserve">This contribution discusses the </w:t>
      </w:r>
      <w:r>
        <w:rPr>
          <w:lang w:val="en-US" w:eastAsia="ja-JP"/>
        </w:rPr>
        <w:t>aspects of wide-band operation for both downlink and uplink NR-U operation</w:t>
      </w:r>
    </w:p>
    <w:p w14:paraId="76550D88" w14:textId="78C64CB0" w:rsidR="008454C6" w:rsidRDefault="003F0726" w:rsidP="008454C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u w:val="single"/>
          <w:lang w:val="en-US" w:eastAsia="ja-JP"/>
        </w:rPr>
      </w:pPr>
      <w:r>
        <w:rPr>
          <w:lang w:val="en-US" w:eastAsia="ja-JP"/>
        </w:rPr>
        <w:t>Wideband operation</w:t>
      </w:r>
    </w:p>
    <w:p w14:paraId="6AC819B8" w14:textId="3D168B7E" w:rsidR="003F0726" w:rsidRDefault="008454C6" w:rsidP="008454C6">
      <w:pPr>
        <w:spacing w:line="288" w:lineRule="auto"/>
        <w:jc w:val="both"/>
        <w:rPr>
          <w:lang w:val="en-US" w:eastAsia="ja-JP"/>
        </w:rPr>
      </w:pPr>
      <w:r>
        <w:rPr>
          <w:lang w:val="en-US" w:eastAsia="ja-JP"/>
        </w:rPr>
        <w:t xml:space="preserve">In </w:t>
      </w:r>
      <w:r w:rsidR="003F0726">
        <w:rPr>
          <w:lang w:val="en-US" w:eastAsia="ja-JP"/>
        </w:rPr>
        <w:t>RAN1 #94bis, the following a</w:t>
      </w:r>
      <w:r w:rsidR="004933A0">
        <w:rPr>
          <w:lang w:val="en-US" w:eastAsia="ja-JP"/>
        </w:rPr>
        <w:t xml:space="preserve">greement was made for </w:t>
      </w:r>
      <w:r w:rsidR="004933A0">
        <w:rPr>
          <w:rFonts w:hint="eastAsia"/>
          <w:lang w:val="en-US"/>
        </w:rPr>
        <w:t xml:space="preserve">downlink </w:t>
      </w:r>
      <w:r w:rsidR="00E87D9C">
        <w:rPr>
          <w:lang w:val="en-US"/>
        </w:rPr>
        <w:t xml:space="preserve">NR-U </w:t>
      </w:r>
      <w:r w:rsidR="004933A0">
        <w:rPr>
          <w:rFonts w:hint="eastAsia"/>
          <w:lang w:val="en-US"/>
        </w:rPr>
        <w:t xml:space="preserve">wideband </w:t>
      </w:r>
      <w:r w:rsidR="003F0726">
        <w:rPr>
          <w:lang w:val="en-US" w:eastAsia="ja-JP"/>
        </w:rPr>
        <w:t>operation</w:t>
      </w:r>
      <w:r w:rsidR="002233FF">
        <w:rPr>
          <w:lang w:val="en-US" w:eastAsia="ja-JP"/>
        </w:rPr>
        <w:t>.</w:t>
      </w:r>
    </w:p>
    <w:p w14:paraId="1DBF1E9E" w14:textId="2E8EA2E6" w:rsidR="003F0726" w:rsidRPr="00B56382" w:rsidRDefault="003F0726" w:rsidP="003F0726">
      <w:pPr>
        <w:ind w:left="360"/>
        <w:rPr>
          <w:i/>
          <w:lang w:eastAsia="x-none"/>
        </w:rPr>
      </w:pPr>
      <w:r w:rsidRPr="00B56382">
        <w:rPr>
          <w:b/>
          <w:i/>
          <w:highlight w:val="green"/>
          <w:lang w:eastAsia="x-none"/>
        </w:rPr>
        <w:t>Agreement</w:t>
      </w:r>
      <w:r w:rsidRPr="00B56382">
        <w:rPr>
          <w:i/>
          <w:highlight w:val="green"/>
          <w:lang w:eastAsia="x-none"/>
        </w:rPr>
        <w:t>:</w:t>
      </w:r>
    </w:p>
    <w:p w14:paraId="480655DC" w14:textId="77777777" w:rsidR="003F0726" w:rsidRPr="00B56382" w:rsidRDefault="003F0726" w:rsidP="003F0726">
      <w:pPr>
        <w:numPr>
          <w:ilvl w:val="0"/>
          <w:numId w:val="37"/>
        </w:numPr>
        <w:spacing w:after="0"/>
        <w:ind w:left="1080"/>
        <w:rPr>
          <w:i/>
          <w:lang w:eastAsia="x-none"/>
        </w:rPr>
      </w:pPr>
      <w:r w:rsidRPr="00B56382">
        <w:rPr>
          <w:i/>
          <w:lang w:eastAsia="x-none"/>
        </w:rPr>
        <w:t>NR-U should support that a serving cell can be configured with bandwidth larger than 20 MHz.</w:t>
      </w:r>
    </w:p>
    <w:p w14:paraId="3618B72F" w14:textId="77777777" w:rsidR="003F0726" w:rsidRPr="00B56382" w:rsidRDefault="003F0726" w:rsidP="003F0726">
      <w:pPr>
        <w:numPr>
          <w:ilvl w:val="1"/>
          <w:numId w:val="37"/>
        </w:numPr>
        <w:spacing w:after="0"/>
        <w:ind w:left="1800"/>
        <w:rPr>
          <w:i/>
          <w:lang w:eastAsia="x-none"/>
        </w:rPr>
      </w:pPr>
      <w:r w:rsidRPr="00B56382">
        <w:rPr>
          <w:i/>
          <w:lang w:eastAsia="x-none"/>
        </w:rPr>
        <w:t>For DL operation, the following options for BWP-based operation within a carrier with bandwidth larger than 20 MHz can be considered.</w:t>
      </w:r>
    </w:p>
    <w:p w14:paraId="6D384CE1" w14:textId="77777777" w:rsidR="003F0726" w:rsidRPr="00B56382" w:rsidRDefault="003F0726" w:rsidP="003F0726">
      <w:pPr>
        <w:numPr>
          <w:ilvl w:val="2"/>
          <w:numId w:val="37"/>
        </w:numPr>
        <w:spacing w:after="0"/>
        <w:ind w:left="2520"/>
        <w:rPr>
          <w:i/>
          <w:lang w:eastAsia="x-none"/>
        </w:rPr>
      </w:pPr>
      <w:r w:rsidRPr="00B56382">
        <w:rPr>
          <w:i/>
          <w:lang w:eastAsia="x-none"/>
        </w:rPr>
        <w:t>Option 1a: Multiple BWPs configured, multiple BWPs activated, transmission of PDSCH on one or more BWPs</w:t>
      </w:r>
    </w:p>
    <w:p w14:paraId="23EA4688" w14:textId="77777777" w:rsidR="003F0726" w:rsidRPr="00B56382" w:rsidRDefault="003F0726" w:rsidP="003F0726">
      <w:pPr>
        <w:numPr>
          <w:ilvl w:val="2"/>
          <w:numId w:val="37"/>
        </w:numPr>
        <w:spacing w:after="0"/>
        <w:ind w:left="2520"/>
        <w:rPr>
          <w:i/>
          <w:lang w:eastAsia="x-none"/>
        </w:rPr>
      </w:pPr>
      <w:r w:rsidRPr="00B56382">
        <w:rPr>
          <w:i/>
          <w:lang w:eastAsia="x-none"/>
        </w:rPr>
        <w:t>Option 1b: Multiple BWPs configured, multiple BWPs activated, transmission of PDSCH on single BWP</w:t>
      </w:r>
    </w:p>
    <w:p w14:paraId="6DA08D5F" w14:textId="77777777" w:rsidR="003F0726" w:rsidRPr="00B56382" w:rsidRDefault="003F0726" w:rsidP="003F0726">
      <w:pPr>
        <w:numPr>
          <w:ilvl w:val="2"/>
          <w:numId w:val="37"/>
        </w:numPr>
        <w:spacing w:after="0"/>
        <w:ind w:left="2520"/>
        <w:rPr>
          <w:i/>
          <w:lang w:eastAsia="x-none"/>
        </w:rPr>
      </w:pPr>
      <w:r w:rsidRPr="00B56382">
        <w:rPr>
          <w:i/>
          <w:lang w:eastAsia="x-none"/>
        </w:rPr>
        <w:t>Option 2: Multiple BWPs can be configured, single BWP activated, gNB transmits PDSCH on a single BWP if CCA is successful at gNB for the whole BWP</w:t>
      </w:r>
    </w:p>
    <w:p w14:paraId="435C57AB" w14:textId="77777777" w:rsidR="003F0726" w:rsidRPr="00B56382" w:rsidRDefault="003F0726" w:rsidP="003F0726">
      <w:pPr>
        <w:numPr>
          <w:ilvl w:val="2"/>
          <w:numId w:val="37"/>
        </w:numPr>
        <w:spacing w:after="0"/>
        <w:ind w:left="2520"/>
        <w:rPr>
          <w:i/>
          <w:lang w:eastAsia="x-none"/>
        </w:rPr>
      </w:pPr>
      <w:r w:rsidRPr="00B56382">
        <w:rPr>
          <w:i/>
          <w:lang w:eastAsia="x-none"/>
        </w:rPr>
        <w:t>Option 3: Multiple BWPs can be configured, single BWP activated, gNB transmits PDSCH on parts or whole of single BWP where CCA is successful at gNB</w:t>
      </w:r>
    </w:p>
    <w:p w14:paraId="489C1329" w14:textId="77777777" w:rsidR="003F0726" w:rsidRPr="00B56382" w:rsidRDefault="003F0726" w:rsidP="003F0726">
      <w:pPr>
        <w:numPr>
          <w:ilvl w:val="1"/>
          <w:numId w:val="37"/>
        </w:numPr>
        <w:spacing w:after="0"/>
        <w:ind w:left="1800"/>
        <w:rPr>
          <w:i/>
          <w:lang w:eastAsia="x-none"/>
        </w:rPr>
      </w:pPr>
      <w:r w:rsidRPr="00B56382">
        <w:rPr>
          <w:i/>
          <w:lang w:eastAsia="x-none"/>
        </w:rPr>
        <w:t>Note: CCA is declared to be successful or not in multiples of 20 MHz.</w:t>
      </w:r>
    </w:p>
    <w:p w14:paraId="2697F625" w14:textId="77777777" w:rsidR="003F0726" w:rsidRPr="00B56382" w:rsidRDefault="003F0726" w:rsidP="003F0726">
      <w:pPr>
        <w:numPr>
          <w:ilvl w:val="1"/>
          <w:numId w:val="37"/>
        </w:numPr>
        <w:spacing w:after="0"/>
        <w:ind w:left="1800"/>
        <w:rPr>
          <w:i/>
          <w:lang w:eastAsia="x-none"/>
        </w:rPr>
      </w:pPr>
      <w:r w:rsidRPr="00B56382">
        <w:rPr>
          <w:i/>
          <w:lang w:eastAsia="x-none"/>
        </w:rPr>
        <w:t>FFS for UL operation including some or all of above options can be applied</w:t>
      </w:r>
    </w:p>
    <w:p w14:paraId="2ECAB2A6" w14:textId="77777777" w:rsidR="003F0726" w:rsidRPr="00B56382" w:rsidRDefault="003F0726" w:rsidP="003F0726">
      <w:pPr>
        <w:numPr>
          <w:ilvl w:val="0"/>
          <w:numId w:val="37"/>
        </w:numPr>
        <w:spacing w:after="0"/>
        <w:ind w:left="1080"/>
        <w:rPr>
          <w:i/>
          <w:lang w:eastAsia="x-none"/>
        </w:rPr>
      </w:pPr>
      <w:r w:rsidRPr="00B56382">
        <w:rPr>
          <w:i/>
          <w:lang w:eastAsia="x-none"/>
        </w:rPr>
        <w:t>Note: Capture the following in TR only after further discussion for down-selecting from the options in RAN1#95.</w:t>
      </w:r>
    </w:p>
    <w:p w14:paraId="33A24EF9" w14:textId="2C3BB659" w:rsidR="003F0726" w:rsidRDefault="003F0726" w:rsidP="008454C6">
      <w:pPr>
        <w:spacing w:line="288" w:lineRule="auto"/>
        <w:jc w:val="both"/>
        <w:rPr>
          <w:rFonts w:eastAsia="MS Mincho"/>
          <w:lang w:eastAsia="ja-JP"/>
        </w:rPr>
      </w:pPr>
    </w:p>
    <w:p w14:paraId="09CF4FF9" w14:textId="58AD7CAB" w:rsidR="00B56382" w:rsidRDefault="00B56382" w:rsidP="008454C6">
      <w:pPr>
        <w:spacing w:line="288" w:lineRule="auto"/>
        <w:jc w:val="both"/>
        <w:rPr>
          <w:rFonts w:eastAsiaTheme="minorEastAsia"/>
        </w:rPr>
      </w:pPr>
      <w:r>
        <w:rPr>
          <w:rFonts w:eastAsiaTheme="minorEastAsia" w:hint="eastAsia"/>
        </w:rPr>
        <w:t xml:space="preserve">In RAN1#95, </w:t>
      </w:r>
      <w:r>
        <w:rPr>
          <w:rFonts w:eastAsiaTheme="minorEastAsia"/>
        </w:rPr>
        <w:t>options for</w:t>
      </w:r>
      <w:r w:rsidR="004933A0">
        <w:rPr>
          <w:rFonts w:eastAsiaTheme="minorEastAsia"/>
        </w:rPr>
        <w:t xml:space="preserve"> uplink wideband </w:t>
      </w:r>
      <w:r>
        <w:rPr>
          <w:rFonts w:eastAsiaTheme="minorEastAsia"/>
        </w:rPr>
        <w:t>operation were also clarified and captured in the TR</w:t>
      </w:r>
      <w:r w:rsidR="004933A0">
        <w:rPr>
          <w:rFonts w:eastAsiaTheme="minorEastAsia"/>
        </w:rPr>
        <w:t xml:space="preserve"> as follow:</w:t>
      </w:r>
    </w:p>
    <w:p w14:paraId="2CC20FEB" w14:textId="77777777" w:rsidR="00B56382" w:rsidRPr="00B56382" w:rsidRDefault="00B56382" w:rsidP="00B56382">
      <w:pPr>
        <w:rPr>
          <w:i/>
        </w:rPr>
      </w:pPr>
      <w:r w:rsidRPr="00B56382">
        <w:rPr>
          <w:i/>
          <w:lang w:val="en-US"/>
        </w:rPr>
        <w:t>For UL operation, the following options for BWP-based operation within a carrier with bandwidth larger than 20 MHz can be considered.</w:t>
      </w:r>
    </w:p>
    <w:p w14:paraId="2BE987CF" w14:textId="77777777" w:rsidR="00B56382" w:rsidRPr="00B56382" w:rsidRDefault="00B56382" w:rsidP="00B56382">
      <w:pPr>
        <w:pStyle w:val="B1"/>
        <w:numPr>
          <w:ilvl w:val="0"/>
          <w:numId w:val="38"/>
        </w:numPr>
        <w:rPr>
          <w:i/>
          <w:lang w:val="en-US"/>
        </w:rPr>
      </w:pPr>
      <w:r w:rsidRPr="00B56382">
        <w:rPr>
          <w:i/>
          <w:lang w:val="en-US"/>
        </w:rPr>
        <w:t>Option 1a: Multiple BWPs configured, multiple BWPs activated, transmission of PUSCH on one or more BWPs</w:t>
      </w:r>
    </w:p>
    <w:p w14:paraId="390BD715" w14:textId="77777777" w:rsidR="00B56382" w:rsidRPr="00B56382" w:rsidRDefault="00B56382" w:rsidP="00B56382">
      <w:pPr>
        <w:pStyle w:val="B1"/>
        <w:numPr>
          <w:ilvl w:val="0"/>
          <w:numId w:val="38"/>
        </w:numPr>
        <w:rPr>
          <w:i/>
          <w:lang w:val="en-US"/>
        </w:rPr>
      </w:pPr>
      <w:r w:rsidRPr="00B56382">
        <w:rPr>
          <w:i/>
          <w:lang w:val="en-US"/>
        </w:rPr>
        <w:t>Option 1b: Multiple BWPs configured, multiple BWPs activated, transmission of PUSCH on single BWP</w:t>
      </w:r>
    </w:p>
    <w:p w14:paraId="16471407" w14:textId="77777777" w:rsidR="00B56382" w:rsidRPr="00B56382" w:rsidRDefault="00B56382" w:rsidP="00B56382">
      <w:pPr>
        <w:pStyle w:val="B1"/>
        <w:numPr>
          <w:ilvl w:val="0"/>
          <w:numId w:val="38"/>
        </w:numPr>
        <w:rPr>
          <w:i/>
          <w:lang w:val="en-US"/>
        </w:rPr>
      </w:pPr>
      <w:r w:rsidRPr="00B56382">
        <w:rPr>
          <w:i/>
          <w:lang w:val="en-US"/>
        </w:rPr>
        <w:t>Option 2: Multiple BWPs can be configured, single BWP activated, UE transmits PUSCH on a single BWP if CCA is successful at UE for the whole BWP</w:t>
      </w:r>
    </w:p>
    <w:p w14:paraId="3FD80A63" w14:textId="77777777" w:rsidR="00B56382" w:rsidRPr="00B56382" w:rsidRDefault="00B56382" w:rsidP="00B56382">
      <w:pPr>
        <w:pStyle w:val="B1"/>
        <w:numPr>
          <w:ilvl w:val="0"/>
          <w:numId w:val="38"/>
        </w:numPr>
        <w:rPr>
          <w:i/>
          <w:lang w:val="en-US"/>
        </w:rPr>
      </w:pPr>
      <w:r w:rsidRPr="00B56382">
        <w:rPr>
          <w:i/>
          <w:lang w:val="en-US"/>
        </w:rPr>
        <w:lastRenderedPageBreak/>
        <w:t>Option 3: Multiple BWPs can be configured, single BWP activated, UE transmits PUSCH on parts or whole of single BWP where CCA is successful at UE</w:t>
      </w:r>
    </w:p>
    <w:p w14:paraId="64E45997" w14:textId="337E6072" w:rsidR="003F0726" w:rsidRDefault="00B56382" w:rsidP="003F0726">
      <w:pPr>
        <w:spacing w:line="288" w:lineRule="auto"/>
        <w:jc w:val="both"/>
      </w:pPr>
      <w:r>
        <w:rPr>
          <w:rFonts w:hint="eastAsia"/>
        </w:rPr>
        <w:t xml:space="preserve">In Rel-15, </w:t>
      </w:r>
      <w:r w:rsidR="00477B23">
        <w:t xml:space="preserve">a </w:t>
      </w:r>
      <w:r>
        <w:t xml:space="preserve">BWP-based </w:t>
      </w:r>
      <w:r>
        <w:rPr>
          <w:rFonts w:hint="eastAsia"/>
        </w:rPr>
        <w:t>operation was introduced for UE power saving</w:t>
      </w:r>
      <w:r w:rsidR="0052347F">
        <w:t>. When the amount of data for a UE is low, a BWP with narrow band can be configured for the UE, which would result in UE power saving compared to keep RF band wide. When the amount of data is increased, the BWP can be switched to the other BWP with wide band so that the data for the UE can be served as much as possible. A UE can be configured with the maximum 4 BWPs and one of configured BWPs can be active at a given time. The active BWP can be switched by RRC and/or DCI.</w:t>
      </w:r>
      <w:r w:rsidR="00477B23">
        <w:t xml:space="preserve"> </w:t>
      </w:r>
      <w:r w:rsidR="00931E2A">
        <w:t>Since Rel-15 NR was designed for the single active BWP,</w:t>
      </w:r>
      <w:r w:rsidR="00B27C9F">
        <w:t xml:space="preserve"> a lot of specification impacts</w:t>
      </w:r>
      <w:r w:rsidR="00931E2A">
        <w:t xml:space="preserve"> (e.g., HARQ operation</w:t>
      </w:r>
      <w:r w:rsidR="00064D28">
        <w:t>, TB mapping, etc.</w:t>
      </w:r>
      <w:r w:rsidR="00931E2A">
        <w:t>) are expected if multiple active BWPs (i.e., Option 1a/1b) are supported. Furthermore, c</w:t>
      </w:r>
      <w:r w:rsidR="003F0726">
        <w:t>omparing with Option 1</w:t>
      </w:r>
      <w:r w:rsidR="00931E2A">
        <w:t>a/1b</w:t>
      </w:r>
      <w:r w:rsidR="003F0726">
        <w:t>, Option 3 can achieve same or even better flexibility on the resource utilization of a wideband, and may not need extra UE complexity on monitoring multiple active BWPs. Hence, there is no essential need to introduce</w:t>
      </w:r>
      <w:r w:rsidR="00931E2A">
        <w:t xml:space="preserve"> multiple active BWPs for NR-U. </w:t>
      </w:r>
    </w:p>
    <w:p w14:paraId="274DDF82" w14:textId="3FD43A2F" w:rsidR="003F0726" w:rsidRDefault="003F0726" w:rsidP="003F0726">
      <w:pPr>
        <w:spacing w:line="288" w:lineRule="auto"/>
        <w:jc w:val="both"/>
      </w:pPr>
      <w:r>
        <w:t>At same time, whether there is a potential issue with supporting “LBT sub-bands” within a wideband carrier or not was also</w:t>
      </w:r>
      <w:r w:rsidR="00931E2A">
        <w:t xml:space="preserve"> actively discussed in the SI phase</w:t>
      </w:r>
      <w:r>
        <w:t>, and an LS was sent to RAN4 asking for response. If no issue is identified in RAN4, Option 3 shall be supported by seeing its benefit on the better flexibility of channel utilization, comparing to Option 2.</w:t>
      </w:r>
      <w:r w:rsidR="00931E2A">
        <w:t xml:space="preserve"> </w:t>
      </w:r>
      <w:r w:rsidR="00823A8B">
        <w:t>It is noted that Option 3 with limitation (e.g., allow for contiguous sub-bands) can also be considered.</w:t>
      </w:r>
    </w:p>
    <w:p w14:paraId="7184360C" w14:textId="40BDAB78" w:rsidR="003F0726" w:rsidRDefault="003F0726" w:rsidP="003F0726">
      <w:pPr>
        <w:spacing w:line="288" w:lineRule="auto"/>
        <w:jc w:val="both"/>
        <w:rPr>
          <w:b/>
          <w:u w:val="single"/>
        </w:rPr>
      </w:pPr>
      <w:r>
        <w:rPr>
          <w:b/>
          <w:u w:val="single"/>
        </w:rPr>
        <w:t xml:space="preserve">Proposal </w:t>
      </w:r>
      <w:r w:rsidR="00B27C9F">
        <w:rPr>
          <w:b/>
          <w:u w:val="single"/>
        </w:rPr>
        <w:t>1</w:t>
      </w:r>
      <w:r w:rsidRPr="00195EAB">
        <w:rPr>
          <w:b/>
          <w:u w:val="single"/>
        </w:rPr>
        <w:t>: For DL wideband operation, Option 3 shall be supported if no issues on RF development are identified from RAN4.</w:t>
      </w:r>
    </w:p>
    <w:p w14:paraId="781A508F" w14:textId="58B20A10" w:rsidR="003F0726" w:rsidRDefault="003F0726" w:rsidP="003F0726">
      <w:pPr>
        <w:spacing w:line="288" w:lineRule="auto"/>
        <w:jc w:val="both"/>
      </w:pPr>
      <w:r w:rsidRPr="008868CC">
        <w:t xml:space="preserve">For UL operation, same candidate options can be applicable. However, considering more limited processing capability of UE, it is not beneficial to support wideband operation with full flexibility in UL. </w:t>
      </w:r>
      <w:r w:rsidR="00931E2A">
        <w:t xml:space="preserve">Furthermore, additional mechanism may be required to indicate of actually transmitted sub-bands to gNB, which requires additional specification impacts. </w:t>
      </w:r>
      <w:r w:rsidRPr="008868CC">
        <w:t xml:space="preserve">Hence, Option 2 </w:t>
      </w:r>
      <w:r w:rsidR="00931E2A">
        <w:t>is preferred than Option 3 for UL wideband operation</w:t>
      </w:r>
      <w:r>
        <w:t>.</w:t>
      </w:r>
    </w:p>
    <w:p w14:paraId="249174DD" w14:textId="77E2D178" w:rsidR="003F0726" w:rsidRDefault="003F0726" w:rsidP="003F0726">
      <w:pPr>
        <w:spacing w:line="288" w:lineRule="auto"/>
        <w:jc w:val="both"/>
        <w:rPr>
          <w:b/>
          <w:u w:val="single"/>
        </w:rPr>
      </w:pPr>
      <w:r>
        <w:rPr>
          <w:b/>
          <w:u w:val="single"/>
        </w:rPr>
        <w:t xml:space="preserve">Proposal </w:t>
      </w:r>
      <w:r w:rsidR="00B27C9F">
        <w:rPr>
          <w:b/>
          <w:u w:val="single"/>
        </w:rPr>
        <w:t>2</w:t>
      </w:r>
      <w:r>
        <w:rPr>
          <w:b/>
          <w:u w:val="single"/>
        </w:rPr>
        <w:t>: For UL wideband operation, Option 2</w:t>
      </w:r>
      <w:r w:rsidRPr="00195EAB">
        <w:rPr>
          <w:b/>
          <w:u w:val="single"/>
        </w:rPr>
        <w:t xml:space="preserve"> </w:t>
      </w:r>
      <w:r w:rsidR="00E9389C">
        <w:rPr>
          <w:b/>
          <w:u w:val="single"/>
        </w:rPr>
        <w:t>is supported</w:t>
      </w:r>
      <w:r w:rsidRPr="00195EAB">
        <w:rPr>
          <w:b/>
          <w:u w:val="single"/>
        </w:rPr>
        <w:t>.</w:t>
      </w:r>
    </w:p>
    <w:p w14:paraId="7C9B5BF4" w14:textId="008E7CC3" w:rsidR="00823A8B" w:rsidRPr="000E034C" w:rsidRDefault="00823A8B" w:rsidP="000E034C">
      <w:pPr>
        <w:pStyle w:val="Subtitle"/>
        <w:spacing w:before="240" w:after="240"/>
        <w:jc w:val="left"/>
        <w:rPr>
          <w:rStyle w:val="IntenseEmphasis"/>
          <w:rFonts w:ascii="Arial" w:hAnsi="Arial" w:cs="Arial"/>
          <w:i w:val="0"/>
          <w:color w:val="auto"/>
        </w:rPr>
      </w:pPr>
      <w:r w:rsidRPr="000E034C">
        <w:rPr>
          <w:rStyle w:val="IntenseEmphasis"/>
          <w:rFonts w:ascii="Arial" w:hAnsi="Arial" w:cs="Arial"/>
          <w:i w:val="0"/>
          <w:color w:val="auto"/>
        </w:rPr>
        <w:t>2.1 CORESET configuration for wideband operation</w:t>
      </w:r>
    </w:p>
    <w:p w14:paraId="64D074E7" w14:textId="141494FE" w:rsidR="00AD2D38" w:rsidRDefault="002F3A2B" w:rsidP="00C73E9C">
      <w:pPr>
        <w:spacing w:after="120" w:line="288" w:lineRule="auto"/>
        <w:jc w:val="both"/>
        <w:rPr>
          <w:lang w:val="en-US"/>
        </w:rPr>
      </w:pPr>
      <w:r>
        <w:rPr>
          <w:rFonts w:hint="eastAsia"/>
          <w:lang w:val="en-US"/>
        </w:rPr>
        <w:t>I</w:t>
      </w:r>
      <w:r>
        <w:rPr>
          <w:lang w:val="en-US"/>
        </w:rPr>
        <w:t>n RAN1#92</w:t>
      </w:r>
      <w:r w:rsidR="00AD2D38">
        <w:rPr>
          <w:lang w:val="en-US"/>
        </w:rPr>
        <w:t>bis, the following agreement was made for LBT bandwidth.</w:t>
      </w:r>
    </w:p>
    <w:p w14:paraId="283F6A29" w14:textId="77777777" w:rsidR="00AD2D38" w:rsidRPr="00A13DAF" w:rsidRDefault="00AD2D38" w:rsidP="00AD2D38">
      <w:r w:rsidRPr="00A13DAF">
        <w:rPr>
          <w:highlight w:val="green"/>
        </w:rPr>
        <w:t>Agreement:</w:t>
      </w:r>
    </w:p>
    <w:p w14:paraId="64229139" w14:textId="77777777" w:rsidR="00AD2D38" w:rsidRPr="00A13DAF" w:rsidRDefault="00AD2D38" w:rsidP="00AD2D38">
      <w:pPr>
        <w:widowControl w:val="0"/>
        <w:numPr>
          <w:ilvl w:val="0"/>
          <w:numId w:val="13"/>
        </w:numPr>
        <w:spacing w:after="0"/>
        <w:jc w:val="both"/>
        <w:rPr>
          <w:lang w:val="en-US"/>
        </w:rPr>
      </w:pPr>
      <w:r w:rsidRPr="00A13DAF">
        <w:rPr>
          <w:lang w:val="en-US"/>
        </w:rPr>
        <w:t xml:space="preserve">At least for band where absence of Wi-Fi cannot be guaranteed (e.g. by regulation), LBT can be performed in units of 20 MHz. </w:t>
      </w:r>
    </w:p>
    <w:p w14:paraId="1D2A1B97" w14:textId="77777777" w:rsidR="00AD2D38" w:rsidRPr="00A13DAF" w:rsidRDefault="00AD2D38" w:rsidP="00AD2D38">
      <w:pPr>
        <w:widowControl w:val="0"/>
        <w:numPr>
          <w:ilvl w:val="1"/>
          <w:numId w:val="13"/>
        </w:numPr>
        <w:spacing w:after="0"/>
        <w:jc w:val="both"/>
        <w:rPr>
          <w:lang w:val="en-US"/>
        </w:rPr>
      </w:pPr>
      <w:r w:rsidRPr="00A13DAF">
        <w:rPr>
          <w:lang w:val="en-US"/>
        </w:rPr>
        <w:t>FFS: details on how to perform LBT for as single carrier with bandwidth greater than 20 MHz, i.e., integer multiples of 20 MHz.</w:t>
      </w:r>
    </w:p>
    <w:p w14:paraId="71FD3182" w14:textId="4DF2198B" w:rsidR="002F3A2B" w:rsidRDefault="002F3A2B" w:rsidP="00C73E9C">
      <w:pPr>
        <w:spacing w:after="120" w:line="288" w:lineRule="auto"/>
        <w:jc w:val="both"/>
        <w:rPr>
          <w:lang w:val="en-US"/>
        </w:rPr>
      </w:pPr>
    </w:p>
    <w:p w14:paraId="0C2802F7" w14:textId="2E28D41F" w:rsidR="003A24B1" w:rsidRDefault="00AD2D38" w:rsidP="003A24B1">
      <w:pPr>
        <w:spacing w:after="120" w:line="288" w:lineRule="auto"/>
        <w:jc w:val="both"/>
        <w:rPr>
          <w:rFonts w:eastAsia="SimSun"/>
          <w:lang w:eastAsia="zh-CN"/>
        </w:rPr>
      </w:pPr>
      <w:r>
        <w:rPr>
          <w:lang w:val="en-US"/>
        </w:rPr>
        <w:t xml:space="preserve">Since the potential usage of unlicensed spectrum by other technologies (e.g., Wi-Fi), it was considered that LBT is performed per 20MHz. As a result, only a subset of the 20MHz subbands in the wide BWP can be used. In other words, according to sub-band based LBT, the gNB’s transmission bandwidth </w:t>
      </w:r>
      <w:r w:rsidR="009D118F">
        <w:rPr>
          <w:lang w:val="en-US"/>
        </w:rPr>
        <w:t xml:space="preserve">would </w:t>
      </w:r>
      <w:r>
        <w:rPr>
          <w:lang w:val="en-US"/>
        </w:rPr>
        <w:t xml:space="preserve">vary. </w:t>
      </w:r>
      <w:r w:rsidR="009D118F">
        <w:rPr>
          <w:lang w:val="en-US"/>
        </w:rPr>
        <w:t>Therefore, it is desirable that the UE should be able to receive at least a PDCCH based on sub-band LBT result.</w:t>
      </w:r>
      <w:r w:rsidR="00043B8F">
        <w:rPr>
          <w:lang w:val="en-US"/>
        </w:rPr>
        <w:t xml:space="preserve"> </w:t>
      </w:r>
      <w:r w:rsidR="009D118F">
        <w:rPr>
          <w:lang w:val="en-US"/>
        </w:rPr>
        <w:t>A simple approach is to have CORESET</w:t>
      </w:r>
      <w:r w:rsidR="00043B8F">
        <w:rPr>
          <w:lang w:val="en-US"/>
        </w:rPr>
        <w:t xml:space="preserve"> configuration per LBT sub-band. Since Rel-15 NR allows up to three CORESETs per BWP, the number of CORESETs per BWP may need to be increased</w:t>
      </w:r>
      <w:r w:rsidR="003A24B1">
        <w:rPr>
          <w:lang w:val="en-US"/>
        </w:rPr>
        <w:t xml:space="preserve"> for NR-U</w:t>
      </w:r>
      <w:r w:rsidR="00043B8F">
        <w:rPr>
          <w:lang w:val="en-US"/>
        </w:rPr>
        <w:t xml:space="preserve">. For example, a BWP with 80MHz bandwidth, 4 CORESETs </w:t>
      </w:r>
      <w:r w:rsidR="003A24B1">
        <w:rPr>
          <w:lang w:val="en-US"/>
        </w:rPr>
        <w:t>should be configured for the BWP</w:t>
      </w:r>
      <w:r w:rsidR="00043B8F">
        <w:rPr>
          <w:lang w:val="en-US"/>
        </w:rPr>
        <w:t>. This approach is a straightforward way to deal with the above issue, it would increase the number of the required CORESET, search spaces as well as signaling overhead</w:t>
      </w:r>
      <w:r w:rsidR="003A24B1">
        <w:rPr>
          <w:lang w:val="en-US"/>
        </w:rPr>
        <w:t>, significantly</w:t>
      </w:r>
      <w:r w:rsidR="00043B8F">
        <w:rPr>
          <w:lang w:val="en-US"/>
        </w:rPr>
        <w:t>.</w:t>
      </w:r>
      <w:r w:rsidR="003A24B1">
        <w:rPr>
          <w:lang w:val="en-US"/>
        </w:rPr>
        <w:t xml:space="preserve"> Another approach is to have a single CORESET where each PDCCH candidate is confined per LBT sub-band so that the PDCCH can be transmitted based on the sub-band LBT result. </w:t>
      </w:r>
    </w:p>
    <w:p w14:paraId="7049F1FE" w14:textId="16956008" w:rsidR="003A24B1" w:rsidRDefault="00580D13" w:rsidP="00580D13">
      <w:pPr>
        <w:spacing w:line="288" w:lineRule="auto"/>
        <w:jc w:val="both"/>
        <w:rPr>
          <w:b/>
          <w:u w:val="single"/>
          <w:lang w:val="en-US" w:eastAsia="ja-JP"/>
        </w:rPr>
      </w:pPr>
      <w:r w:rsidRPr="00366899">
        <w:rPr>
          <w:b/>
          <w:u w:val="single"/>
          <w:lang w:val="en-US" w:eastAsia="ja-JP"/>
        </w:rPr>
        <w:t xml:space="preserve">Proposal </w:t>
      </w:r>
      <w:r w:rsidR="00823A8B">
        <w:rPr>
          <w:rFonts w:eastAsiaTheme="minorEastAsia"/>
          <w:b/>
          <w:u w:val="single"/>
          <w:lang w:val="en-US"/>
        </w:rPr>
        <w:t>3</w:t>
      </w:r>
      <w:r w:rsidRPr="00366899">
        <w:rPr>
          <w:b/>
          <w:u w:val="single"/>
          <w:lang w:val="en-US" w:eastAsia="ja-JP"/>
        </w:rPr>
        <w:t xml:space="preserve">: </w:t>
      </w:r>
      <w:r w:rsidR="000E034C">
        <w:rPr>
          <w:b/>
          <w:u w:val="single"/>
          <w:lang w:val="en-US" w:eastAsia="ja-JP"/>
        </w:rPr>
        <w:t>For wideband operation, PDCCH candidate(s) should be confined per LBT sub-band.</w:t>
      </w:r>
    </w:p>
    <w:p w14:paraId="75119516" w14:textId="22A78CCF" w:rsidR="004933A0" w:rsidRDefault="000E034C" w:rsidP="000E034C">
      <w:pPr>
        <w:pStyle w:val="Subtitle"/>
        <w:spacing w:before="240" w:after="240"/>
        <w:jc w:val="left"/>
        <w:rPr>
          <w:b/>
          <w:u w:val="single"/>
          <w:lang w:val="en-US" w:eastAsia="ja-JP"/>
        </w:rPr>
      </w:pPr>
      <w:r>
        <w:rPr>
          <w:rStyle w:val="IntenseEmphasis"/>
          <w:rFonts w:ascii="Arial" w:hAnsi="Arial" w:cs="Arial"/>
          <w:i w:val="0"/>
          <w:color w:val="auto"/>
        </w:rPr>
        <w:t>2.2</w:t>
      </w:r>
      <w:r w:rsidRPr="000E034C">
        <w:rPr>
          <w:rStyle w:val="IntenseEmphasis"/>
          <w:rFonts w:ascii="Arial" w:hAnsi="Arial" w:cs="Arial"/>
          <w:i w:val="0"/>
          <w:color w:val="auto"/>
        </w:rPr>
        <w:t xml:space="preserve"> </w:t>
      </w:r>
      <w:r>
        <w:rPr>
          <w:rStyle w:val="IntenseEmphasis"/>
          <w:rFonts w:ascii="Arial" w:hAnsi="Arial" w:cs="Arial"/>
          <w:i w:val="0"/>
          <w:color w:val="auto"/>
        </w:rPr>
        <w:t>Interlace design for wideband operation</w:t>
      </w:r>
    </w:p>
    <w:p w14:paraId="5B63B6B2" w14:textId="12949F37" w:rsidR="00567BDD" w:rsidRPr="00B34F32" w:rsidRDefault="00567BDD" w:rsidP="00567BDD">
      <w:pPr>
        <w:spacing w:after="0"/>
        <w:jc w:val="both"/>
        <w:rPr>
          <w:rFonts w:eastAsia="SimSun"/>
          <w:lang w:eastAsia="zh-CN"/>
        </w:rPr>
      </w:pPr>
      <w:r>
        <w:rPr>
          <w:rFonts w:eastAsia="SimSun" w:hint="eastAsia"/>
          <w:lang w:eastAsia="zh-CN"/>
        </w:rPr>
        <w:t xml:space="preserve">In NR-U, the carrier bandwidth can be larger than 20MHz and is an integer </w:t>
      </w:r>
      <w:r>
        <w:rPr>
          <w:rFonts w:eastAsia="SimSun"/>
          <w:lang w:eastAsia="zh-CN"/>
        </w:rPr>
        <w:t>multiple</w:t>
      </w:r>
      <w:r>
        <w:rPr>
          <w:rFonts w:eastAsia="SimSun" w:hint="eastAsia"/>
          <w:lang w:eastAsia="zh-CN"/>
        </w:rPr>
        <w:t xml:space="preserve"> of 20MHz. The following t</w:t>
      </w:r>
      <w:r w:rsidRPr="00C64ECB">
        <w:rPr>
          <w:lang w:eastAsia="x-none"/>
        </w:rPr>
        <w:t>wo candidate interlace designs have been identified</w:t>
      </w:r>
      <w:r>
        <w:rPr>
          <w:rFonts w:eastAsia="SimSun" w:hint="eastAsia"/>
          <w:lang w:eastAsia="zh-CN"/>
        </w:rPr>
        <w:t xml:space="preserve"> in SI phase, </w:t>
      </w:r>
    </w:p>
    <w:p w14:paraId="1B64AD7F" w14:textId="77777777" w:rsidR="00567BDD" w:rsidRPr="00C64ECB" w:rsidRDefault="00567BDD" w:rsidP="00567BDD">
      <w:pPr>
        <w:pStyle w:val="B1"/>
        <w:ind w:left="800"/>
      </w:pPr>
      <w:r w:rsidRPr="00C64ECB">
        <w:lastRenderedPageBreak/>
        <w:t>-</w:t>
      </w:r>
      <w:r w:rsidRPr="00C64ECB">
        <w:tab/>
        <w:t>Alt-1: Same interlace spacing for all interlaces regardless of carrier BW. This alternative uses Point A as a reference for the interlace definition</w:t>
      </w:r>
    </w:p>
    <w:p w14:paraId="0060AB05" w14:textId="77777777" w:rsidR="00567BDD" w:rsidRPr="00C64ECB" w:rsidRDefault="00567BDD" w:rsidP="00567BDD">
      <w:pPr>
        <w:pStyle w:val="B1"/>
        <w:ind w:left="800"/>
      </w:pPr>
      <w:r w:rsidRPr="00C64ECB">
        <w:t>-</w:t>
      </w:r>
      <w:r w:rsidRPr="00C64ECB">
        <w:tab/>
        <w:t>Alt-2: Interlacing defined on a sub-band (20 MHz) basis. (Note: Possible interlace spacing discontinuity at edges of sub-band).</w:t>
      </w:r>
    </w:p>
    <w:p w14:paraId="2DC1D274" w14:textId="257C565D" w:rsidR="00567BDD" w:rsidRPr="00F35A3B" w:rsidRDefault="00567BDD" w:rsidP="00823A8B">
      <w:pPr>
        <w:spacing w:line="288" w:lineRule="auto"/>
        <w:jc w:val="both"/>
        <w:rPr>
          <w:rFonts w:eastAsia="SimSun"/>
          <w:lang w:eastAsia="zh-CN"/>
        </w:rPr>
      </w:pPr>
      <w:r>
        <w:rPr>
          <w:rFonts w:eastAsia="SimSun"/>
          <w:lang w:eastAsia="zh-CN"/>
        </w:rPr>
        <w:t>Alt</w:t>
      </w:r>
      <w:r>
        <w:rPr>
          <w:rFonts w:eastAsia="SimSun" w:hint="eastAsia"/>
          <w:lang w:eastAsia="zh-CN"/>
        </w:rPr>
        <w:t xml:space="preserve">-1 seems independent of sub-band LBT design, wherein a common PRB-based interlace is defined with reference point A. Alt 2 is based on </w:t>
      </w:r>
      <w:r>
        <w:rPr>
          <w:rFonts w:eastAsia="SimSun"/>
          <w:lang w:eastAsia="zh-CN"/>
        </w:rPr>
        <w:t>sub</w:t>
      </w:r>
      <w:r>
        <w:rPr>
          <w:rFonts w:eastAsia="SimSun" w:hint="eastAsia"/>
          <w:lang w:eastAsia="zh-CN"/>
        </w:rPr>
        <w:t xml:space="preserve">-band unit to allocate each interlace. Actually, sub-band LBT design may impact both alternatives. For </w:t>
      </w:r>
      <w:r>
        <w:rPr>
          <w:rFonts w:eastAsia="SimSun"/>
          <w:lang w:eastAsia="zh-CN"/>
        </w:rPr>
        <w:t>example</w:t>
      </w:r>
      <w:r>
        <w:rPr>
          <w:rFonts w:eastAsia="SimSun" w:hint="eastAsia"/>
          <w:lang w:eastAsia="zh-CN"/>
        </w:rPr>
        <w:t xml:space="preserve">, for Alt-1, some of PRBs of </w:t>
      </w:r>
      <w:r>
        <w:rPr>
          <w:rFonts w:eastAsia="SimSun"/>
          <w:lang w:eastAsia="zh-CN"/>
        </w:rPr>
        <w:t>common</w:t>
      </w:r>
      <w:r>
        <w:rPr>
          <w:rFonts w:eastAsia="SimSun" w:hint="eastAsia"/>
          <w:lang w:eastAsia="zh-CN"/>
        </w:rPr>
        <w:t xml:space="preserve"> PRB-based interlace may cross the sub-band if sub-band LBT is performed exactly on 20MHz, or fall into the guard band of sub-band (if RAN4 deems necessary to reserve some RBs for protection), and thus such PRB needs to be blanked. Therefore, it would be reasonable to further discuss the interlace design after some </w:t>
      </w:r>
      <w:r>
        <w:rPr>
          <w:rFonts w:eastAsia="SimSun"/>
          <w:lang w:eastAsia="zh-CN"/>
        </w:rPr>
        <w:t>details</w:t>
      </w:r>
      <w:r>
        <w:rPr>
          <w:rFonts w:eastAsia="SimSun" w:hint="eastAsia"/>
          <w:lang w:eastAsia="zh-CN"/>
        </w:rPr>
        <w:t xml:space="preserve"> of sub-band LBT is </w:t>
      </w:r>
      <w:r>
        <w:rPr>
          <w:rFonts w:eastAsia="SimSun"/>
          <w:lang w:eastAsia="zh-CN"/>
        </w:rPr>
        <w:t>determined</w:t>
      </w:r>
      <w:r>
        <w:rPr>
          <w:rFonts w:eastAsia="SimSun" w:hint="eastAsia"/>
          <w:lang w:eastAsia="zh-CN"/>
        </w:rPr>
        <w:t xml:space="preserve">.  </w:t>
      </w:r>
    </w:p>
    <w:p w14:paraId="7FB385A8" w14:textId="4C8973B5" w:rsidR="00567BDD" w:rsidRDefault="00567BDD" w:rsidP="00567BDD">
      <w:pPr>
        <w:spacing w:line="288" w:lineRule="auto"/>
        <w:jc w:val="both"/>
        <w:rPr>
          <w:rFonts w:eastAsia="SimSun"/>
          <w:b/>
          <w:u w:val="single"/>
          <w:lang w:eastAsia="zh-CN"/>
        </w:rPr>
      </w:pPr>
      <w:r>
        <w:rPr>
          <w:b/>
          <w:u w:val="single"/>
        </w:rPr>
        <w:t xml:space="preserve">Proposal </w:t>
      </w:r>
      <w:r>
        <w:rPr>
          <w:rFonts w:eastAsia="SimSun" w:hint="eastAsia"/>
          <w:b/>
          <w:u w:val="single"/>
          <w:lang w:eastAsia="zh-CN"/>
        </w:rPr>
        <w:t>4</w:t>
      </w:r>
      <w:r>
        <w:rPr>
          <w:b/>
          <w:u w:val="single"/>
        </w:rPr>
        <w:t>:</w:t>
      </w:r>
      <w:r>
        <w:rPr>
          <w:rFonts w:eastAsia="SimSun" w:hint="eastAsia"/>
          <w:b/>
          <w:u w:val="single"/>
          <w:lang w:eastAsia="zh-CN"/>
        </w:rPr>
        <w:t xml:space="preserve"> Further discuss interlace </w:t>
      </w:r>
      <w:r>
        <w:rPr>
          <w:rFonts w:eastAsia="SimSun"/>
          <w:b/>
          <w:u w:val="single"/>
          <w:lang w:eastAsia="zh-CN"/>
        </w:rPr>
        <w:t>design for carriers with bandwid</w:t>
      </w:r>
      <w:r>
        <w:rPr>
          <w:rFonts w:eastAsia="SimSun" w:hint="eastAsia"/>
          <w:b/>
          <w:u w:val="single"/>
          <w:lang w:eastAsia="zh-CN"/>
        </w:rPr>
        <w:t>th larger than 20MHz after the conclusion of sub-band LBT</w:t>
      </w:r>
      <w:r w:rsidR="00823A8B">
        <w:rPr>
          <w:rFonts w:eastAsia="SimSun"/>
          <w:b/>
          <w:u w:val="single"/>
          <w:lang w:eastAsia="zh-CN"/>
        </w:rPr>
        <w:t>.</w:t>
      </w:r>
    </w:p>
    <w:p w14:paraId="6425D873" w14:textId="77777777" w:rsidR="008454C6" w:rsidRDefault="008454C6" w:rsidP="008454C6">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sidRPr="0018262A">
        <w:rPr>
          <w:szCs w:val="20"/>
          <w:lang w:val="en-US"/>
        </w:rPr>
        <w:t>Conclusion</w:t>
      </w:r>
    </w:p>
    <w:p w14:paraId="1AED9928" w14:textId="249C5672" w:rsidR="008454C6" w:rsidRDefault="008454C6" w:rsidP="008454C6">
      <w:pPr>
        <w:spacing w:line="288" w:lineRule="auto"/>
      </w:pPr>
      <w:r w:rsidRPr="00031EF0">
        <w:t xml:space="preserve">The </w:t>
      </w:r>
      <w:r>
        <w:t>proposals and observation made in this contribution are summarized below:</w:t>
      </w:r>
    </w:p>
    <w:p w14:paraId="370A9230" w14:textId="77777777" w:rsidR="000E034C" w:rsidRDefault="000E034C" w:rsidP="000E034C">
      <w:pPr>
        <w:spacing w:line="288" w:lineRule="auto"/>
        <w:jc w:val="both"/>
        <w:rPr>
          <w:b/>
          <w:u w:val="single"/>
        </w:rPr>
      </w:pPr>
      <w:r>
        <w:rPr>
          <w:b/>
          <w:u w:val="single"/>
        </w:rPr>
        <w:t>Proposal 1</w:t>
      </w:r>
      <w:r w:rsidRPr="00195EAB">
        <w:rPr>
          <w:b/>
          <w:u w:val="single"/>
        </w:rPr>
        <w:t>: For DL wideband operation, Option 3 shall be supported if no issues on RF development are identified from RAN4.</w:t>
      </w:r>
    </w:p>
    <w:p w14:paraId="5CE7642C" w14:textId="77777777" w:rsidR="000E034C" w:rsidRDefault="000E034C" w:rsidP="000E034C">
      <w:pPr>
        <w:spacing w:line="288" w:lineRule="auto"/>
        <w:jc w:val="both"/>
        <w:rPr>
          <w:b/>
          <w:u w:val="single"/>
        </w:rPr>
      </w:pPr>
      <w:r>
        <w:rPr>
          <w:b/>
          <w:u w:val="single"/>
        </w:rPr>
        <w:t>Proposal 2: For UL wideband operation, Option 2</w:t>
      </w:r>
      <w:r w:rsidRPr="00195EAB">
        <w:rPr>
          <w:b/>
          <w:u w:val="single"/>
        </w:rPr>
        <w:t xml:space="preserve"> </w:t>
      </w:r>
      <w:r>
        <w:rPr>
          <w:b/>
          <w:u w:val="single"/>
        </w:rPr>
        <w:t>is supported</w:t>
      </w:r>
      <w:r w:rsidRPr="00195EAB">
        <w:rPr>
          <w:b/>
          <w:u w:val="single"/>
        </w:rPr>
        <w:t>.</w:t>
      </w:r>
    </w:p>
    <w:p w14:paraId="38ABE87F" w14:textId="77777777" w:rsidR="000E034C" w:rsidRDefault="000E034C" w:rsidP="000E034C">
      <w:pPr>
        <w:spacing w:line="288" w:lineRule="auto"/>
        <w:jc w:val="both"/>
        <w:rPr>
          <w:b/>
          <w:u w:val="single"/>
          <w:lang w:val="en-US" w:eastAsia="ja-JP"/>
        </w:rPr>
      </w:pPr>
      <w:r w:rsidRPr="00366899">
        <w:rPr>
          <w:b/>
          <w:u w:val="single"/>
          <w:lang w:val="en-US" w:eastAsia="ja-JP"/>
        </w:rPr>
        <w:t xml:space="preserve">Proposal </w:t>
      </w:r>
      <w:r>
        <w:rPr>
          <w:rFonts w:eastAsiaTheme="minorEastAsia"/>
          <w:b/>
          <w:u w:val="single"/>
          <w:lang w:val="en-US"/>
        </w:rPr>
        <w:t>3</w:t>
      </w:r>
      <w:r w:rsidRPr="00366899">
        <w:rPr>
          <w:b/>
          <w:u w:val="single"/>
          <w:lang w:val="en-US" w:eastAsia="ja-JP"/>
        </w:rPr>
        <w:t xml:space="preserve">: </w:t>
      </w:r>
      <w:r>
        <w:rPr>
          <w:b/>
          <w:u w:val="single"/>
          <w:lang w:val="en-US" w:eastAsia="ja-JP"/>
        </w:rPr>
        <w:t>For wideband operation, PDCCH candidate(s) should be confined per LBT sub-band.</w:t>
      </w:r>
    </w:p>
    <w:p w14:paraId="2EC517A7" w14:textId="77777777" w:rsidR="000E034C" w:rsidRDefault="000E034C" w:rsidP="000E034C">
      <w:pPr>
        <w:spacing w:line="288" w:lineRule="auto"/>
        <w:jc w:val="both"/>
        <w:rPr>
          <w:rFonts w:eastAsia="SimSun"/>
          <w:b/>
          <w:u w:val="single"/>
          <w:lang w:eastAsia="zh-CN"/>
        </w:rPr>
      </w:pPr>
      <w:r>
        <w:rPr>
          <w:b/>
          <w:u w:val="single"/>
        </w:rPr>
        <w:t xml:space="preserve">Proposal </w:t>
      </w:r>
      <w:r>
        <w:rPr>
          <w:rFonts w:eastAsia="SimSun" w:hint="eastAsia"/>
          <w:b/>
          <w:u w:val="single"/>
          <w:lang w:eastAsia="zh-CN"/>
        </w:rPr>
        <w:t>4</w:t>
      </w:r>
      <w:r>
        <w:rPr>
          <w:b/>
          <w:u w:val="single"/>
        </w:rPr>
        <w:t>:</w:t>
      </w:r>
      <w:r>
        <w:rPr>
          <w:rFonts w:eastAsia="SimSun" w:hint="eastAsia"/>
          <w:b/>
          <w:u w:val="single"/>
          <w:lang w:eastAsia="zh-CN"/>
        </w:rPr>
        <w:t xml:space="preserve"> Further discuss interlace </w:t>
      </w:r>
      <w:r>
        <w:rPr>
          <w:rFonts w:eastAsia="SimSun"/>
          <w:b/>
          <w:u w:val="single"/>
          <w:lang w:eastAsia="zh-CN"/>
        </w:rPr>
        <w:t>design for carriers with bandwid</w:t>
      </w:r>
      <w:r>
        <w:rPr>
          <w:rFonts w:eastAsia="SimSun" w:hint="eastAsia"/>
          <w:b/>
          <w:u w:val="single"/>
          <w:lang w:eastAsia="zh-CN"/>
        </w:rPr>
        <w:t>th larger than 20MHz after the conclusion of sub-band LBT</w:t>
      </w:r>
      <w:r>
        <w:rPr>
          <w:rFonts w:eastAsia="SimSun"/>
          <w:b/>
          <w:u w:val="single"/>
          <w:lang w:eastAsia="zh-CN"/>
        </w:rPr>
        <w:t>.</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E60DD93" w14:textId="7AAB6343" w:rsidR="005525FD" w:rsidRDefault="006A6F6C" w:rsidP="00263A7E">
      <w:pPr>
        <w:spacing w:after="0"/>
        <w:jc w:val="both"/>
        <w:rPr>
          <w:rFonts w:eastAsia="MS Mincho"/>
          <w:lang w:eastAsia="ja-JP"/>
        </w:rPr>
      </w:pPr>
      <w:r w:rsidRPr="00B23DD3">
        <w:rPr>
          <w:rFonts w:eastAsia="MS Mincho"/>
          <w:lang w:eastAsia="ja-JP"/>
        </w:rPr>
        <w:t xml:space="preserve">[1] </w:t>
      </w:r>
      <w:r w:rsidR="005525FD">
        <w:rPr>
          <w:rFonts w:eastAsia="MS Mincho"/>
          <w:lang w:eastAsia="ja-JP"/>
        </w:rPr>
        <w:t xml:space="preserve">RAN1 Chairman’s Note, </w:t>
      </w:r>
      <w:r w:rsidR="00E14EEC">
        <w:rPr>
          <w:rFonts w:eastAsia="MS Mincho"/>
          <w:lang w:eastAsia="ja-JP"/>
        </w:rPr>
        <w:t>3GPP TSG RAN WG1 Meeting #95, Spokane</w:t>
      </w:r>
      <w:r w:rsidR="00E14EEC" w:rsidRPr="00C31712">
        <w:rPr>
          <w:rFonts w:eastAsia="MS Mincho"/>
          <w:lang w:eastAsia="ja-JP"/>
        </w:rPr>
        <w:t xml:space="preserve">, </w:t>
      </w:r>
      <w:r w:rsidR="00E14EEC">
        <w:rPr>
          <w:rFonts w:eastAsia="MS Mincho"/>
          <w:lang w:eastAsia="ja-JP"/>
        </w:rPr>
        <w:t>USA</w:t>
      </w:r>
      <w:r w:rsidR="00E14EEC" w:rsidRPr="00C31712">
        <w:rPr>
          <w:rFonts w:eastAsia="MS Mincho"/>
          <w:lang w:eastAsia="ja-JP"/>
        </w:rPr>
        <w:t xml:space="preserve">, </w:t>
      </w:r>
      <w:r w:rsidR="00E14EEC">
        <w:rPr>
          <w:rFonts w:eastAsia="MS Mincho"/>
          <w:lang w:eastAsia="ja-JP"/>
        </w:rPr>
        <w:t>November 12th</w:t>
      </w:r>
      <w:r w:rsidR="00E14EEC" w:rsidRPr="00C31712">
        <w:rPr>
          <w:rFonts w:eastAsia="MS Mincho"/>
          <w:lang w:eastAsia="ja-JP"/>
        </w:rPr>
        <w:t xml:space="preserve"> </w:t>
      </w:r>
      <w:r w:rsidR="00E14EEC">
        <w:rPr>
          <w:rFonts w:eastAsia="MS Mincho"/>
          <w:lang w:eastAsia="ja-JP"/>
        </w:rPr>
        <w:t>–16</w:t>
      </w:r>
      <w:r w:rsidR="00E14EEC" w:rsidRPr="00C31712">
        <w:rPr>
          <w:rFonts w:eastAsia="MS Mincho"/>
          <w:lang w:eastAsia="ja-JP"/>
        </w:rPr>
        <w:t>th, 2018</w:t>
      </w:r>
      <w:r w:rsidR="00E14EEC">
        <w:rPr>
          <w:rFonts w:eastAsia="MS Mincho"/>
          <w:lang w:eastAsia="ja-JP"/>
        </w:rPr>
        <w:t>.</w:t>
      </w:r>
    </w:p>
    <w:p w14:paraId="3A9122BA" w14:textId="14B88DF5" w:rsidR="00263A7E" w:rsidRDefault="005525FD" w:rsidP="00263A7E">
      <w:pPr>
        <w:spacing w:after="0"/>
        <w:jc w:val="both"/>
        <w:rPr>
          <w:rFonts w:eastAsia="MS Mincho"/>
          <w:lang w:eastAsia="ja-JP"/>
        </w:rPr>
      </w:pPr>
      <w:r>
        <w:rPr>
          <w:rFonts w:eastAsia="MS Mincho"/>
          <w:lang w:eastAsia="ja-JP"/>
        </w:rPr>
        <w:t xml:space="preserve">[2] </w:t>
      </w:r>
      <w:r w:rsidR="00263A7E">
        <w:rPr>
          <w:rFonts w:eastAsia="MS Mincho"/>
          <w:lang w:eastAsia="ja-JP"/>
        </w:rPr>
        <w:t>RAN1 Chairman’s Note, 3GPP TSG RAN WG1 Meeting #94</w:t>
      </w:r>
      <w:r w:rsidR="001A512E">
        <w:rPr>
          <w:rFonts w:eastAsia="MS Mincho"/>
          <w:lang w:eastAsia="ja-JP"/>
        </w:rPr>
        <w:t>bis</w:t>
      </w:r>
      <w:r w:rsidR="00263A7E">
        <w:rPr>
          <w:rFonts w:eastAsia="MS Mincho"/>
          <w:lang w:eastAsia="ja-JP"/>
        </w:rPr>
        <w:t xml:space="preserve">, </w:t>
      </w:r>
      <w:r w:rsidR="001A512E">
        <w:rPr>
          <w:rFonts w:eastAsia="MS Mincho"/>
          <w:lang w:eastAsia="ja-JP"/>
        </w:rPr>
        <w:t>Chengdu</w:t>
      </w:r>
      <w:r w:rsidR="00263A7E" w:rsidRPr="00C31712">
        <w:rPr>
          <w:rFonts w:eastAsia="MS Mincho"/>
          <w:lang w:eastAsia="ja-JP"/>
        </w:rPr>
        <w:t xml:space="preserve">, </w:t>
      </w:r>
      <w:r w:rsidR="001A512E">
        <w:rPr>
          <w:rFonts w:eastAsia="MS Mincho"/>
          <w:lang w:eastAsia="ja-JP"/>
        </w:rPr>
        <w:t>China</w:t>
      </w:r>
      <w:r w:rsidR="00263A7E" w:rsidRPr="00C31712">
        <w:rPr>
          <w:rFonts w:eastAsia="MS Mincho"/>
          <w:lang w:eastAsia="ja-JP"/>
        </w:rPr>
        <w:t xml:space="preserve">, </w:t>
      </w:r>
      <w:r w:rsidR="001A512E">
        <w:rPr>
          <w:rFonts w:eastAsia="MS Mincho"/>
          <w:lang w:eastAsia="ja-JP"/>
        </w:rPr>
        <w:t>October 8</w:t>
      </w:r>
      <w:r w:rsidR="00263A7E">
        <w:rPr>
          <w:rFonts w:eastAsia="MS Mincho"/>
          <w:lang w:eastAsia="ja-JP"/>
        </w:rPr>
        <w:t>th</w:t>
      </w:r>
      <w:r w:rsidR="00263A7E" w:rsidRPr="00C31712">
        <w:rPr>
          <w:rFonts w:eastAsia="MS Mincho"/>
          <w:lang w:eastAsia="ja-JP"/>
        </w:rPr>
        <w:t xml:space="preserve"> </w:t>
      </w:r>
      <w:r w:rsidR="001A512E">
        <w:rPr>
          <w:rFonts w:eastAsia="MS Mincho"/>
          <w:lang w:eastAsia="ja-JP"/>
        </w:rPr>
        <w:t>–12</w:t>
      </w:r>
      <w:r w:rsidR="00263A7E" w:rsidRPr="00C31712">
        <w:rPr>
          <w:rFonts w:eastAsia="MS Mincho"/>
          <w:lang w:eastAsia="ja-JP"/>
        </w:rPr>
        <w:t>th, 2018</w:t>
      </w:r>
      <w:r w:rsidR="00263A7E">
        <w:rPr>
          <w:rFonts w:eastAsia="MS Mincho"/>
          <w:lang w:eastAsia="ja-JP"/>
        </w:rPr>
        <w:t>.</w:t>
      </w:r>
    </w:p>
    <w:p w14:paraId="072AB9F6" w14:textId="7E8C6741" w:rsidR="00F20CB6" w:rsidRDefault="00F20CB6" w:rsidP="00263A7E">
      <w:pPr>
        <w:spacing w:after="0"/>
        <w:jc w:val="both"/>
        <w:rPr>
          <w:rFonts w:eastAsia="MS Mincho"/>
          <w:lang w:eastAsia="ja-JP"/>
        </w:rPr>
      </w:pPr>
      <w:r>
        <w:rPr>
          <w:rFonts w:eastAsia="MS Mincho"/>
          <w:lang w:eastAsia="ja-JP"/>
        </w:rPr>
        <w:t xml:space="preserve">[3] </w:t>
      </w:r>
      <w:r w:rsidRPr="00F20CB6">
        <w:rPr>
          <w:rFonts w:eastAsia="MS Mincho"/>
          <w:lang w:eastAsia="ja-JP"/>
        </w:rPr>
        <w:t>RP-182878</w:t>
      </w:r>
      <w:r>
        <w:rPr>
          <w:rFonts w:eastAsia="MS Mincho"/>
          <w:lang w:eastAsia="ja-JP"/>
        </w:rPr>
        <w:t xml:space="preserve">, </w:t>
      </w:r>
      <w:r w:rsidRPr="00F20CB6">
        <w:rPr>
          <w:rFonts w:eastAsia="MS Mincho"/>
          <w:lang w:eastAsia="ja-JP"/>
        </w:rPr>
        <w:t>New WID on NR-based Access to Unlicensed Spectrum</w:t>
      </w:r>
      <w:r>
        <w:rPr>
          <w:rFonts w:eastAsia="MS Mincho"/>
          <w:lang w:eastAsia="ja-JP"/>
        </w:rPr>
        <w:t xml:space="preserve">, Qualcomm Inc. </w:t>
      </w:r>
    </w:p>
    <w:sectPr w:rsidR="00F20CB6"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5B2D2E" w14:textId="77777777" w:rsidR="00600189" w:rsidRDefault="00600189" w:rsidP="00083046">
      <w:r>
        <w:separator/>
      </w:r>
    </w:p>
  </w:endnote>
  <w:endnote w:type="continuationSeparator" w:id="0">
    <w:p w14:paraId="444B3735" w14:textId="77777777" w:rsidR="00600189" w:rsidRDefault="00600189"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71F2B" w14:textId="77777777" w:rsidR="00600189" w:rsidRDefault="00600189" w:rsidP="00083046">
      <w:r>
        <w:separator/>
      </w:r>
    </w:p>
  </w:footnote>
  <w:footnote w:type="continuationSeparator" w:id="0">
    <w:p w14:paraId="13DBCE04" w14:textId="77777777" w:rsidR="00600189" w:rsidRDefault="00600189"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7A50C942"/>
    <w:lvl w:ilvl="0">
      <w:start w:val="1"/>
      <w:numFmt w:val="decimal"/>
      <w:lvlText w:val="%1"/>
      <w:lvlJc w:val="left"/>
      <w:pPr>
        <w:ind w:left="800" w:hanging="400"/>
      </w:pPr>
      <w:rPr>
        <w:rFonts w:hint="eastAsia"/>
        <w:b w:val="0"/>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FC2713"/>
    <w:multiLevelType w:val="hybridMultilevel"/>
    <w:tmpl w:val="AFE439C2"/>
    <w:lvl w:ilvl="0" w:tplc="89E21CF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371B6F"/>
    <w:multiLevelType w:val="hybridMultilevel"/>
    <w:tmpl w:val="72DE3E62"/>
    <w:lvl w:ilvl="0" w:tplc="E292B0C2">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6BD"/>
    <w:multiLevelType w:val="hybridMultilevel"/>
    <w:tmpl w:val="854078DA"/>
    <w:lvl w:ilvl="0" w:tplc="25688B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22"/>
  </w:num>
  <w:num w:numId="4">
    <w:abstractNumId w:val="33"/>
  </w:num>
  <w:num w:numId="5">
    <w:abstractNumId w:val="20"/>
  </w:num>
  <w:num w:numId="6">
    <w:abstractNumId w:val="3"/>
  </w:num>
  <w:num w:numId="7">
    <w:abstractNumId w:val="8"/>
  </w:num>
  <w:num w:numId="8">
    <w:abstractNumId w:val="7"/>
  </w:num>
  <w:num w:numId="9">
    <w:abstractNumId w:val="4"/>
  </w:num>
  <w:num w:numId="10">
    <w:abstractNumId w:val="5"/>
  </w:num>
  <w:num w:numId="11">
    <w:abstractNumId w:val="17"/>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11"/>
  </w:num>
  <w:num w:numId="15">
    <w:abstractNumId w:val="35"/>
  </w:num>
  <w:num w:numId="16">
    <w:abstractNumId w:val="26"/>
  </w:num>
  <w:num w:numId="17">
    <w:abstractNumId w:val="0"/>
  </w:num>
  <w:num w:numId="18">
    <w:abstractNumId w:val="13"/>
  </w:num>
  <w:num w:numId="19">
    <w:abstractNumId w:val="23"/>
  </w:num>
  <w:num w:numId="20">
    <w:abstractNumId w:val="21"/>
  </w:num>
  <w:num w:numId="21">
    <w:abstractNumId w:val="14"/>
  </w:num>
  <w:num w:numId="22">
    <w:abstractNumId w:val="16"/>
  </w:num>
  <w:num w:numId="23">
    <w:abstractNumId w:val="24"/>
  </w:num>
  <w:num w:numId="24">
    <w:abstractNumId w:val="9"/>
  </w:num>
  <w:num w:numId="25">
    <w:abstractNumId w:val="2"/>
  </w:num>
  <w:num w:numId="26">
    <w:abstractNumId w:val="31"/>
  </w:num>
  <w:num w:numId="27">
    <w:abstractNumId w:val="29"/>
  </w:num>
  <w:num w:numId="28">
    <w:abstractNumId w:val="18"/>
  </w:num>
  <w:num w:numId="29">
    <w:abstractNumId w:val="32"/>
  </w:num>
  <w:num w:numId="30">
    <w:abstractNumId w:val="34"/>
  </w:num>
  <w:num w:numId="31">
    <w:abstractNumId w:val="36"/>
  </w:num>
  <w:num w:numId="32">
    <w:abstractNumId w:val="12"/>
  </w:num>
  <w:num w:numId="33">
    <w:abstractNumId w:val="25"/>
  </w:num>
  <w:num w:numId="34">
    <w:abstractNumId w:val="15"/>
  </w:num>
  <w:num w:numId="35">
    <w:abstractNumId w:val="19"/>
  </w:num>
  <w:num w:numId="36">
    <w:abstractNumId w:val="27"/>
  </w:num>
  <w:num w:numId="37">
    <w:abstractNumId w:val="28"/>
  </w:num>
  <w:num w:numId="3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04B"/>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3C78"/>
    <w:rsid w:val="000349BD"/>
    <w:rsid w:val="0003556C"/>
    <w:rsid w:val="000359C4"/>
    <w:rsid w:val="00036428"/>
    <w:rsid w:val="00036C94"/>
    <w:rsid w:val="0003729B"/>
    <w:rsid w:val="000375ED"/>
    <w:rsid w:val="0004059D"/>
    <w:rsid w:val="0004098D"/>
    <w:rsid w:val="00040D18"/>
    <w:rsid w:val="00041416"/>
    <w:rsid w:val="0004152C"/>
    <w:rsid w:val="000422FF"/>
    <w:rsid w:val="00043878"/>
    <w:rsid w:val="00043B8F"/>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4D28"/>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1A8"/>
    <w:rsid w:val="000C2DAC"/>
    <w:rsid w:val="000C3A4B"/>
    <w:rsid w:val="000C3BE1"/>
    <w:rsid w:val="000C521E"/>
    <w:rsid w:val="000C56CE"/>
    <w:rsid w:val="000C6075"/>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6FCF"/>
    <w:rsid w:val="000D758A"/>
    <w:rsid w:val="000D7696"/>
    <w:rsid w:val="000D77B5"/>
    <w:rsid w:val="000D7B5F"/>
    <w:rsid w:val="000D7BBA"/>
    <w:rsid w:val="000E034C"/>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465"/>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11C4"/>
    <w:rsid w:val="00111454"/>
    <w:rsid w:val="001124CD"/>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13"/>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AA"/>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5A97"/>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1D24"/>
    <w:rsid w:val="001B1FAD"/>
    <w:rsid w:val="001B228B"/>
    <w:rsid w:val="001B235C"/>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5B8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3FF"/>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1C1E"/>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DAC"/>
    <w:rsid w:val="0025287D"/>
    <w:rsid w:val="00252B96"/>
    <w:rsid w:val="002534FA"/>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8D6"/>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3EA2"/>
    <w:rsid w:val="002E5EC2"/>
    <w:rsid w:val="002E60AB"/>
    <w:rsid w:val="002F00C5"/>
    <w:rsid w:val="002F1C3B"/>
    <w:rsid w:val="002F2451"/>
    <w:rsid w:val="002F28D8"/>
    <w:rsid w:val="002F3777"/>
    <w:rsid w:val="002F3A2B"/>
    <w:rsid w:val="002F3E13"/>
    <w:rsid w:val="002F4582"/>
    <w:rsid w:val="002F47AD"/>
    <w:rsid w:val="002F50B0"/>
    <w:rsid w:val="002F5790"/>
    <w:rsid w:val="002F5943"/>
    <w:rsid w:val="002F5D62"/>
    <w:rsid w:val="002F6295"/>
    <w:rsid w:val="002F69A8"/>
    <w:rsid w:val="002F6FEC"/>
    <w:rsid w:val="002F7114"/>
    <w:rsid w:val="002F7E2B"/>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59B"/>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733A"/>
    <w:rsid w:val="003476A1"/>
    <w:rsid w:val="003476D8"/>
    <w:rsid w:val="00350D8B"/>
    <w:rsid w:val="00351063"/>
    <w:rsid w:val="003514CD"/>
    <w:rsid w:val="0035341A"/>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418D"/>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4B1"/>
    <w:rsid w:val="003A24BD"/>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6"/>
    <w:rsid w:val="003F0727"/>
    <w:rsid w:val="003F0876"/>
    <w:rsid w:val="003F092A"/>
    <w:rsid w:val="003F0A78"/>
    <w:rsid w:val="003F0AC0"/>
    <w:rsid w:val="003F0CD1"/>
    <w:rsid w:val="003F1546"/>
    <w:rsid w:val="003F1A3F"/>
    <w:rsid w:val="003F2002"/>
    <w:rsid w:val="003F3471"/>
    <w:rsid w:val="003F3B09"/>
    <w:rsid w:val="003F48AA"/>
    <w:rsid w:val="003F4981"/>
    <w:rsid w:val="003F4D6D"/>
    <w:rsid w:val="003F4E14"/>
    <w:rsid w:val="003F4FEA"/>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C93"/>
    <w:rsid w:val="004042E9"/>
    <w:rsid w:val="00404752"/>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3FB6"/>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B24"/>
    <w:rsid w:val="00440D1D"/>
    <w:rsid w:val="00440E60"/>
    <w:rsid w:val="004425D7"/>
    <w:rsid w:val="00442902"/>
    <w:rsid w:val="00442C0D"/>
    <w:rsid w:val="004430A5"/>
    <w:rsid w:val="004431FA"/>
    <w:rsid w:val="00443DAF"/>
    <w:rsid w:val="004447F9"/>
    <w:rsid w:val="0044532E"/>
    <w:rsid w:val="00445622"/>
    <w:rsid w:val="00446384"/>
    <w:rsid w:val="0044665F"/>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3569"/>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0B6"/>
    <w:rsid w:val="00476326"/>
    <w:rsid w:val="0047639F"/>
    <w:rsid w:val="0047692C"/>
    <w:rsid w:val="00476B90"/>
    <w:rsid w:val="00477106"/>
    <w:rsid w:val="00477672"/>
    <w:rsid w:val="00477932"/>
    <w:rsid w:val="00477B23"/>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2FE"/>
    <w:rsid w:val="00487637"/>
    <w:rsid w:val="00487F4B"/>
    <w:rsid w:val="00490744"/>
    <w:rsid w:val="00491688"/>
    <w:rsid w:val="00492ACF"/>
    <w:rsid w:val="0049325B"/>
    <w:rsid w:val="004933A0"/>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18"/>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5B39"/>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7F"/>
    <w:rsid w:val="0052348B"/>
    <w:rsid w:val="00524EC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211B"/>
    <w:rsid w:val="00533028"/>
    <w:rsid w:val="0053361F"/>
    <w:rsid w:val="00533905"/>
    <w:rsid w:val="00533933"/>
    <w:rsid w:val="00533D37"/>
    <w:rsid w:val="00533DE6"/>
    <w:rsid w:val="00533E42"/>
    <w:rsid w:val="005344B5"/>
    <w:rsid w:val="00534DF6"/>
    <w:rsid w:val="00535E8C"/>
    <w:rsid w:val="005368BF"/>
    <w:rsid w:val="00536FAD"/>
    <w:rsid w:val="00537507"/>
    <w:rsid w:val="0053782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048"/>
    <w:rsid w:val="00556926"/>
    <w:rsid w:val="00556CAB"/>
    <w:rsid w:val="00557F56"/>
    <w:rsid w:val="005607B5"/>
    <w:rsid w:val="00561825"/>
    <w:rsid w:val="00561E70"/>
    <w:rsid w:val="00562A7C"/>
    <w:rsid w:val="00565823"/>
    <w:rsid w:val="00565D98"/>
    <w:rsid w:val="00565F55"/>
    <w:rsid w:val="005678F0"/>
    <w:rsid w:val="00567B39"/>
    <w:rsid w:val="00567BDD"/>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0D13"/>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CA9"/>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6B46"/>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189"/>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815"/>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61D1"/>
    <w:rsid w:val="006268DB"/>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429"/>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386B"/>
    <w:rsid w:val="00684004"/>
    <w:rsid w:val="00684B10"/>
    <w:rsid w:val="00687AD9"/>
    <w:rsid w:val="00690293"/>
    <w:rsid w:val="00690437"/>
    <w:rsid w:val="00690568"/>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72F"/>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076"/>
    <w:rsid w:val="006F0BA7"/>
    <w:rsid w:val="006F1548"/>
    <w:rsid w:val="006F199F"/>
    <w:rsid w:val="006F204A"/>
    <w:rsid w:val="006F357E"/>
    <w:rsid w:val="006F4BD2"/>
    <w:rsid w:val="006F4D8E"/>
    <w:rsid w:val="006F4FBB"/>
    <w:rsid w:val="006F5B56"/>
    <w:rsid w:val="006F5C57"/>
    <w:rsid w:val="006F6EF9"/>
    <w:rsid w:val="006F79E1"/>
    <w:rsid w:val="006F7A0A"/>
    <w:rsid w:val="006F7BCF"/>
    <w:rsid w:val="00700BC3"/>
    <w:rsid w:val="0070274F"/>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2258"/>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25BF"/>
    <w:rsid w:val="00753938"/>
    <w:rsid w:val="00753A41"/>
    <w:rsid w:val="00753E6F"/>
    <w:rsid w:val="00755A84"/>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B16"/>
    <w:rsid w:val="00764F03"/>
    <w:rsid w:val="007658A6"/>
    <w:rsid w:val="007659C8"/>
    <w:rsid w:val="00765C1B"/>
    <w:rsid w:val="00765DBE"/>
    <w:rsid w:val="0076606C"/>
    <w:rsid w:val="00766BA8"/>
    <w:rsid w:val="00766C94"/>
    <w:rsid w:val="0077022A"/>
    <w:rsid w:val="00770D10"/>
    <w:rsid w:val="00770E9B"/>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5DC0"/>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6CA5"/>
    <w:rsid w:val="007C77F7"/>
    <w:rsid w:val="007C799C"/>
    <w:rsid w:val="007C7CD0"/>
    <w:rsid w:val="007D029A"/>
    <w:rsid w:val="007D0CBF"/>
    <w:rsid w:val="007D3572"/>
    <w:rsid w:val="007D3B92"/>
    <w:rsid w:val="007D41F7"/>
    <w:rsid w:val="007D42ED"/>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273"/>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897"/>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3A8B"/>
    <w:rsid w:val="00824242"/>
    <w:rsid w:val="0082540F"/>
    <w:rsid w:val="00825973"/>
    <w:rsid w:val="00825FE1"/>
    <w:rsid w:val="00826017"/>
    <w:rsid w:val="008266A5"/>
    <w:rsid w:val="008268F7"/>
    <w:rsid w:val="00827898"/>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A4A"/>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54C6"/>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5B"/>
    <w:rsid w:val="008903AE"/>
    <w:rsid w:val="00890B01"/>
    <w:rsid w:val="00891393"/>
    <w:rsid w:val="00892052"/>
    <w:rsid w:val="00892057"/>
    <w:rsid w:val="00892EF8"/>
    <w:rsid w:val="00893197"/>
    <w:rsid w:val="008945AE"/>
    <w:rsid w:val="00895A0D"/>
    <w:rsid w:val="00895E5D"/>
    <w:rsid w:val="00896083"/>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65E"/>
    <w:rsid w:val="008D5A50"/>
    <w:rsid w:val="008D5BAB"/>
    <w:rsid w:val="008D6F61"/>
    <w:rsid w:val="008D7BBB"/>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BBA"/>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2A"/>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BA"/>
    <w:rsid w:val="00945114"/>
    <w:rsid w:val="00945157"/>
    <w:rsid w:val="00945EC1"/>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18F"/>
    <w:rsid w:val="009D1438"/>
    <w:rsid w:val="009D15E4"/>
    <w:rsid w:val="009D17C2"/>
    <w:rsid w:val="009D26AB"/>
    <w:rsid w:val="009D2ED2"/>
    <w:rsid w:val="009D45C5"/>
    <w:rsid w:val="009D51A2"/>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1D3"/>
    <w:rsid w:val="009F5B4F"/>
    <w:rsid w:val="009F726A"/>
    <w:rsid w:val="009F7946"/>
    <w:rsid w:val="00A024D3"/>
    <w:rsid w:val="00A02D0F"/>
    <w:rsid w:val="00A04117"/>
    <w:rsid w:val="00A04FCB"/>
    <w:rsid w:val="00A053C7"/>
    <w:rsid w:val="00A0774C"/>
    <w:rsid w:val="00A07B42"/>
    <w:rsid w:val="00A1069C"/>
    <w:rsid w:val="00A109F3"/>
    <w:rsid w:val="00A10AF9"/>
    <w:rsid w:val="00A10C7B"/>
    <w:rsid w:val="00A1101B"/>
    <w:rsid w:val="00A11711"/>
    <w:rsid w:val="00A11BF8"/>
    <w:rsid w:val="00A11EAC"/>
    <w:rsid w:val="00A12A90"/>
    <w:rsid w:val="00A146C0"/>
    <w:rsid w:val="00A147F6"/>
    <w:rsid w:val="00A1486E"/>
    <w:rsid w:val="00A14A72"/>
    <w:rsid w:val="00A14FB4"/>
    <w:rsid w:val="00A1530B"/>
    <w:rsid w:val="00A1592B"/>
    <w:rsid w:val="00A15B2C"/>
    <w:rsid w:val="00A16142"/>
    <w:rsid w:val="00A16523"/>
    <w:rsid w:val="00A17773"/>
    <w:rsid w:val="00A1795A"/>
    <w:rsid w:val="00A205A8"/>
    <w:rsid w:val="00A207CA"/>
    <w:rsid w:val="00A21023"/>
    <w:rsid w:val="00A21216"/>
    <w:rsid w:val="00A224EE"/>
    <w:rsid w:val="00A22DAB"/>
    <w:rsid w:val="00A232AC"/>
    <w:rsid w:val="00A24514"/>
    <w:rsid w:val="00A24DE2"/>
    <w:rsid w:val="00A252F2"/>
    <w:rsid w:val="00A2684C"/>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2C32"/>
    <w:rsid w:val="00AD2D38"/>
    <w:rsid w:val="00AD3DB5"/>
    <w:rsid w:val="00AD568E"/>
    <w:rsid w:val="00AD5F6E"/>
    <w:rsid w:val="00AD5F7B"/>
    <w:rsid w:val="00AD60F2"/>
    <w:rsid w:val="00AD6CA7"/>
    <w:rsid w:val="00AD73A4"/>
    <w:rsid w:val="00AD7755"/>
    <w:rsid w:val="00AE0192"/>
    <w:rsid w:val="00AE18B3"/>
    <w:rsid w:val="00AE2B9E"/>
    <w:rsid w:val="00AE2D81"/>
    <w:rsid w:val="00AE327C"/>
    <w:rsid w:val="00AE37BC"/>
    <w:rsid w:val="00AE39AF"/>
    <w:rsid w:val="00AE3F6C"/>
    <w:rsid w:val="00AE41AF"/>
    <w:rsid w:val="00AE4511"/>
    <w:rsid w:val="00AE4A1F"/>
    <w:rsid w:val="00AE4EB1"/>
    <w:rsid w:val="00AE4F8D"/>
    <w:rsid w:val="00AE58F5"/>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27C9F"/>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478F2"/>
    <w:rsid w:val="00B51434"/>
    <w:rsid w:val="00B51715"/>
    <w:rsid w:val="00B51895"/>
    <w:rsid w:val="00B535D2"/>
    <w:rsid w:val="00B53A5A"/>
    <w:rsid w:val="00B53B8E"/>
    <w:rsid w:val="00B53C80"/>
    <w:rsid w:val="00B556E3"/>
    <w:rsid w:val="00B559C3"/>
    <w:rsid w:val="00B56382"/>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D31"/>
    <w:rsid w:val="00B75E4C"/>
    <w:rsid w:val="00B7617A"/>
    <w:rsid w:val="00B7692A"/>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6529"/>
    <w:rsid w:val="00B9034E"/>
    <w:rsid w:val="00B908E4"/>
    <w:rsid w:val="00B9109C"/>
    <w:rsid w:val="00B936C9"/>
    <w:rsid w:val="00B93E09"/>
    <w:rsid w:val="00B93E60"/>
    <w:rsid w:val="00B93EE0"/>
    <w:rsid w:val="00B9405C"/>
    <w:rsid w:val="00B95AA0"/>
    <w:rsid w:val="00B96A34"/>
    <w:rsid w:val="00B96BFE"/>
    <w:rsid w:val="00B9785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539C"/>
    <w:rsid w:val="00BB53C4"/>
    <w:rsid w:val="00BB53C9"/>
    <w:rsid w:val="00BB5898"/>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44E"/>
    <w:rsid w:val="00BC750F"/>
    <w:rsid w:val="00BD05CA"/>
    <w:rsid w:val="00BD0932"/>
    <w:rsid w:val="00BD123B"/>
    <w:rsid w:val="00BD1838"/>
    <w:rsid w:val="00BD215F"/>
    <w:rsid w:val="00BD23C5"/>
    <w:rsid w:val="00BD33B2"/>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3CB6"/>
    <w:rsid w:val="00BF4ACB"/>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BB2"/>
    <w:rsid w:val="00C44D97"/>
    <w:rsid w:val="00C44E3A"/>
    <w:rsid w:val="00C4503A"/>
    <w:rsid w:val="00C45C2A"/>
    <w:rsid w:val="00C460DA"/>
    <w:rsid w:val="00C4654D"/>
    <w:rsid w:val="00C46602"/>
    <w:rsid w:val="00C476B0"/>
    <w:rsid w:val="00C50936"/>
    <w:rsid w:val="00C511E0"/>
    <w:rsid w:val="00C516CC"/>
    <w:rsid w:val="00C51967"/>
    <w:rsid w:val="00C52045"/>
    <w:rsid w:val="00C524BE"/>
    <w:rsid w:val="00C524F5"/>
    <w:rsid w:val="00C52EA9"/>
    <w:rsid w:val="00C533D7"/>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E9C"/>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58B"/>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2E49"/>
    <w:rsid w:val="00CA37E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16B"/>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7EB"/>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3009"/>
    <w:rsid w:val="00D338F7"/>
    <w:rsid w:val="00D33ACD"/>
    <w:rsid w:val="00D348E4"/>
    <w:rsid w:val="00D35223"/>
    <w:rsid w:val="00D3618E"/>
    <w:rsid w:val="00D36D59"/>
    <w:rsid w:val="00D37D75"/>
    <w:rsid w:val="00D40C12"/>
    <w:rsid w:val="00D40C65"/>
    <w:rsid w:val="00D40DAB"/>
    <w:rsid w:val="00D40DBC"/>
    <w:rsid w:val="00D41AF2"/>
    <w:rsid w:val="00D42028"/>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1223"/>
    <w:rsid w:val="00D82C7B"/>
    <w:rsid w:val="00D82DB4"/>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3529"/>
    <w:rsid w:val="00D93BE3"/>
    <w:rsid w:val="00D93E6A"/>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CD4"/>
    <w:rsid w:val="00DC5DB3"/>
    <w:rsid w:val="00DC5E68"/>
    <w:rsid w:val="00DC66F7"/>
    <w:rsid w:val="00DD0014"/>
    <w:rsid w:val="00DD0376"/>
    <w:rsid w:val="00DD0B61"/>
    <w:rsid w:val="00DD0BD8"/>
    <w:rsid w:val="00DD0C53"/>
    <w:rsid w:val="00DD0F4F"/>
    <w:rsid w:val="00DD1DCF"/>
    <w:rsid w:val="00DD2039"/>
    <w:rsid w:val="00DD2ED7"/>
    <w:rsid w:val="00DD31CA"/>
    <w:rsid w:val="00DD33A9"/>
    <w:rsid w:val="00DD356D"/>
    <w:rsid w:val="00DD41C8"/>
    <w:rsid w:val="00DD4536"/>
    <w:rsid w:val="00DD4567"/>
    <w:rsid w:val="00DD5B4C"/>
    <w:rsid w:val="00DD6237"/>
    <w:rsid w:val="00DD64D9"/>
    <w:rsid w:val="00DD67A4"/>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281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87D9C"/>
    <w:rsid w:val="00E902AB"/>
    <w:rsid w:val="00E90A1B"/>
    <w:rsid w:val="00E90ADC"/>
    <w:rsid w:val="00E90C53"/>
    <w:rsid w:val="00E90F78"/>
    <w:rsid w:val="00E91423"/>
    <w:rsid w:val="00E91A36"/>
    <w:rsid w:val="00E91DF8"/>
    <w:rsid w:val="00E92A40"/>
    <w:rsid w:val="00E92EAD"/>
    <w:rsid w:val="00E9308B"/>
    <w:rsid w:val="00E93471"/>
    <w:rsid w:val="00E9389C"/>
    <w:rsid w:val="00E93E12"/>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1AC5"/>
    <w:rsid w:val="00EB231D"/>
    <w:rsid w:val="00EB25B1"/>
    <w:rsid w:val="00EB2B9B"/>
    <w:rsid w:val="00EB3120"/>
    <w:rsid w:val="00EB35FA"/>
    <w:rsid w:val="00EB3D50"/>
    <w:rsid w:val="00EB45BB"/>
    <w:rsid w:val="00EB4FEF"/>
    <w:rsid w:val="00EB547E"/>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1A1"/>
    <w:rsid w:val="00EE4674"/>
    <w:rsid w:val="00EE4827"/>
    <w:rsid w:val="00EE5FD1"/>
    <w:rsid w:val="00EE6E29"/>
    <w:rsid w:val="00EE6F4C"/>
    <w:rsid w:val="00EE79D7"/>
    <w:rsid w:val="00EF009A"/>
    <w:rsid w:val="00EF0701"/>
    <w:rsid w:val="00EF08AA"/>
    <w:rsid w:val="00EF0DBD"/>
    <w:rsid w:val="00EF1095"/>
    <w:rsid w:val="00EF12AC"/>
    <w:rsid w:val="00EF13B7"/>
    <w:rsid w:val="00EF1572"/>
    <w:rsid w:val="00EF21E2"/>
    <w:rsid w:val="00EF2A05"/>
    <w:rsid w:val="00EF2C8E"/>
    <w:rsid w:val="00EF2D06"/>
    <w:rsid w:val="00EF2E76"/>
    <w:rsid w:val="00EF2EAF"/>
    <w:rsid w:val="00EF3DB6"/>
    <w:rsid w:val="00EF651F"/>
    <w:rsid w:val="00EF6733"/>
    <w:rsid w:val="00EF692D"/>
    <w:rsid w:val="00EF6A09"/>
    <w:rsid w:val="00EF6CDF"/>
    <w:rsid w:val="00EF6CF9"/>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1DB6"/>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009"/>
    <w:rsid w:val="00F94A24"/>
    <w:rsid w:val="00F94C74"/>
    <w:rsid w:val="00F95ADC"/>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3DD9"/>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492"/>
    <w:rsid w:val="00FC7657"/>
    <w:rsid w:val="00FC79E0"/>
    <w:rsid w:val="00FC7E1A"/>
    <w:rsid w:val="00FD0D5B"/>
    <w:rsid w:val="00FD1195"/>
    <w:rsid w:val="00FD1540"/>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2742"/>
    <w:rsid w:val="00FE356A"/>
    <w:rsid w:val="00FE3DB3"/>
    <w:rsid w:val="00FE4882"/>
    <w:rsid w:val="00FE5C15"/>
    <w:rsid w:val="00FE61FE"/>
    <w:rsid w:val="00FE65A9"/>
    <w:rsid w:val="00FE7774"/>
    <w:rsid w:val="00FE78D3"/>
    <w:rsid w:val="00FF0374"/>
    <w:rsid w:val="00FF071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919D4359-BE63-4BEA-8371-49F9BC22F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맑은 고딕"/>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 ??,?????,????,Lista1,列出段落,목록 단락,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 Char,목록 단락 Char,列出段落1 Char,中等深浅网格 1 - 着色 21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맑은 고딕"/>
      <w:b/>
      <w:bCs/>
      <w:lang w:val="en-GB"/>
    </w:rPr>
  </w:style>
  <w:style w:type="character" w:styleId="Hyperlink">
    <w:name w:val="Hyperlink"/>
    <w:uiPriority w:val="99"/>
    <w:unhideWhenUsed/>
    <w:rsid w:val="006A6F6C"/>
    <w:rPr>
      <w:color w:val="0000FF"/>
      <w:u w:val="single"/>
    </w:rPr>
  </w:style>
  <w:style w:type="paragraph" w:customStyle="1" w:styleId="textintend3">
    <w:name w:val="text intend 3"/>
    <w:basedOn w:val="Normal"/>
    <w:rsid w:val="00C8258B"/>
    <w:pPr>
      <w:numPr>
        <w:numId w:val="3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B2">
    <w:name w:val="B2"/>
    <w:basedOn w:val="Normal"/>
    <w:link w:val="B2Char"/>
    <w:uiPriority w:val="99"/>
    <w:qFormat/>
    <w:rsid w:val="00766C94"/>
    <w:pPr>
      <w:ind w:left="851" w:hanging="284"/>
    </w:pPr>
    <w:rPr>
      <w:rFonts w:eastAsiaTheme="minorEastAsia"/>
      <w:lang w:val="x-none" w:eastAsia="en-US"/>
    </w:rPr>
  </w:style>
  <w:style w:type="character" w:customStyle="1" w:styleId="B2Char">
    <w:name w:val="B2 Char"/>
    <w:link w:val="B2"/>
    <w:qFormat/>
    <w:rsid w:val="00766C94"/>
    <w:rPr>
      <w:rFonts w:eastAsiaTheme="minorEastAsia"/>
      <w:lang w:val="x-none" w:eastAsia="en-US"/>
    </w:rPr>
  </w:style>
  <w:style w:type="character" w:customStyle="1" w:styleId="B10">
    <w:name w:val="B1 (文字)"/>
    <w:qFormat/>
    <w:rsid w:val="003F0726"/>
    <w:rPr>
      <w:rFonts w:eastAsia="MS Mincho"/>
      <w:lang w:val="en-GB" w:eastAsia="en-US" w:bidi="ar-SA"/>
    </w:rPr>
  </w:style>
  <w:style w:type="character" w:customStyle="1" w:styleId="B1Char">
    <w:name w:val="B1 Char"/>
    <w:rsid w:val="00B56382"/>
    <w:rPr>
      <w:rFonts w:eastAsia="SimSun"/>
      <w:lang w:val="en-GB" w:eastAsia="x-none"/>
    </w:rPr>
  </w:style>
  <w:style w:type="character" w:styleId="SubtleEmphasis">
    <w:name w:val="Subtle Emphasis"/>
    <w:basedOn w:val="DefaultParagraphFont"/>
    <w:uiPriority w:val="19"/>
    <w:qFormat/>
    <w:rsid w:val="00823A8B"/>
    <w:rPr>
      <w:i/>
      <w:iCs/>
      <w:color w:val="404040" w:themeColor="text1" w:themeTint="BF"/>
    </w:rPr>
  </w:style>
  <w:style w:type="character" w:styleId="BookTitle">
    <w:name w:val="Book Title"/>
    <w:basedOn w:val="DefaultParagraphFont"/>
    <w:uiPriority w:val="33"/>
    <w:qFormat/>
    <w:rsid w:val="00823A8B"/>
    <w:rPr>
      <w:b/>
      <w:bCs/>
      <w:i/>
      <w:iCs/>
      <w:spacing w:val="5"/>
    </w:rPr>
  </w:style>
  <w:style w:type="character" w:styleId="IntenseReference">
    <w:name w:val="Intense Reference"/>
    <w:basedOn w:val="DefaultParagraphFont"/>
    <w:uiPriority w:val="32"/>
    <w:qFormat/>
    <w:rsid w:val="00823A8B"/>
    <w:rPr>
      <w:b/>
      <w:bCs/>
      <w:smallCaps/>
      <w:color w:val="5B9BD5" w:themeColor="accent1"/>
      <w:spacing w:val="5"/>
    </w:rPr>
  </w:style>
  <w:style w:type="character" w:styleId="SubtleReference">
    <w:name w:val="Subtle Reference"/>
    <w:basedOn w:val="DefaultParagraphFont"/>
    <w:uiPriority w:val="31"/>
    <w:qFormat/>
    <w:rsid w:val="00823A8B"/>
    <w:rPr>
      <w:smallCaps/>
      <w:color w:val="5A5A5A" w:themeColor="text1" w:themeTint="A5"/>
    </w:rPr>
  </w:style>
  <w:style w:type="character" w:styleId="IntenseEmphasis">
    <w:name w:val="Intense Emphasis"/>
    <w:basedOn w:val="DefaultParagraphFont"/>
    <w:uiPriority w:val="21"/>
    <w:qFormat/>
    <w:rsid w:val="00823A8B"/>
    <w:rPr>
      <w:i/>
      <w:iCs/>
      <w:color w:val="5B9BD5" w:themeColor="accent1"/>
    </w:rPr>
  </w:style>
  <w:style w:type="paragraph" w:styleId="NoSpacing">
    <w:name w:val="No Spacing"/>
    <w:uiPriority w:val="1"/>
    <w:qFormat/>
    <w:rsid w:val="00823A8B"/>
    <w:rPr>
      <w:rFonts w:eastAsia="맑은 고딕"/>
      <w:lang w:val="en-GB"/>
    </w:rPr>
  </w:style>
  <w:style w:type="paragraph" w:styleId="Title">
    <w:name w:val="Title"/>
    <w:basedOn w:val="Normal"/>
    <w:next w:val="Normal"/>
    <w:link w:val="TitleChar"/>
    <w:qFormat/>
    <w:rsid w:val="00823A8B"/>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823A8B"/>
    <w:rPr>
      <w:rFonts w:asciiTheme="majorHAnsi" w:eastAsiaTheme="majorEastAsia" w:hAnsiTheme="majorHAnsi" w:cstheme="majorBidi"/>
      <w:b/>
      <w:bCs/>
      <w:sz w:val="32"/>
      <w:szCs w:val="32"/>
      <w:lang w:val="en-GB"/>
    </w:rPr>
  </w:style>
  <w:style w:type="paragraph" w:styleId="Subtitle">
    <w:name w:val="Subtitle"/>
    <w:basedOn w:val="Normal"/>
    <w:next w:val="Normal"/>
    <w:link w:val="SubtitleChar"/>
    <w:qFormat/>
    <w:rsid w:val="00823A8B"/>
    <w:pPr>
      <w:spacing w:after="60"/>
      <w:jc w:val="center"/>
      <w:outlineLvl w:val="1"/>
    </w:pPr>
    <w:rPr>
      <w:rFonts w:asciiTheme="minorHAnsi" w:eastAsiaTheme="minorEastAsia" w:hAnsiTheme="minorHAnsi" w:cstheme="minorBidi"/>
      <w:sz w:val="24"/>
      <w:szCs w:val="24"/>
    </w:rPr>
  </w:style>
  <w:style w:type="character" w:customStyle="1" w:styleId="SubtitleChar">
    <w:name w:val="Subtitle Char"/>
    <w:basedOn w:val="DefaultParagraphFont"/>
    <w:link w:val="Subtitle"/>
    <w:rsid w:val="00823A8B"/>
    <w:rPr>
      <w:rFonts w:asciiTheme="minorHAnsi" w:eastAsiaTheme="minorEastAsia" w:hAnsiTheme="minorHAnsi" w:cstheme="minorBidi"/>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9C9C5-A172-423D-AB9C-083209AEC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3</Pages>
  <Words>1285</Words>
  <Characters>7329</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AH1901</vt:lpstr>
      <vt:lpstr>3GPP TSG RAN WG1 #55</vt:lpstr>
    </vt:vector>
  </TitlesOfParts>
  <Company>S</Company>
  <LinksUpToDate>false</LinksUpToDate>
  <CharactersWithSpaces>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AH1901</dc:title>
  <dc:subject/>
  <dc:creator>Samsung</dc:creator>
  <cp:keywords/>
  <dc:description/>
  <cp:lastModifiedBy>오진영/표준Research팀(SR)/Staff Engineer/삼성전자</cp:lastModifiedBy>
  <cp:revision>19</cp:revision>
  <cp:lastPrinted>2019-01-03T09:25:00Z</cp:lastPrinted>
  <dcterms:created xsi:type="dcterms:W3CDTF">2019-01-07T11:38:00Z</dcterms:created>
  <dcterms:modified xsi:type="dcterms:W3CDTF">2019-01-11T07:55:00Z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3E577EBAEFAFB1EED929599B04EDFFD525BBB072CC03EC2DC67701FC1D89B944</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