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center" w:pos="4536"/>
          <w:tab w:val="right" w:pos="9072"/>
        </w:tabs>
        <w:rPr>
          <w:rFonts w:ascii="Arial" w:eastAsia="宋体" w:hAnsi="Arial"/>
          <w:b/>
          <w:sz w:val="22"/>
          <w:lang w:eastAsia="zh-CN"/>
        </w:rPr>
      </w:pPr>
      <w:r>
        <w:rPr>
          <w:rFonts w:ascii="Arial" w:eastAsia="宋体" w:hAnsi="Arial"/>
          <w:b/>
          <w:sz w:val="22"/>
          <w:lang w:eastAsia="zh-CN"/>
        </w:rPr>
        <w:t>3GPP TSG RAN WG1 Meeting</w:t>
      </w:r>
      <w:r>
        <w:rPr>
          <w:rFonts w:ascii="Arial" w:eastAsia="宋体" w:hAnsi="Arial" w:hint="eastAsia"/>
          <w:b/>
          <w:sz w:val="22"/>
          <w:lang w:eastAsia="zh-CN"/>
        </w:rPr>
        <w:t xml:space="preserve"> #98bis                                                                 </w:t>
      </w:r>
      <w:r>
        <w:rPr>
          <w:rFonts w:ascii="Arial" w:eastAsia="宋体" w:hAnsi="Arial"/>
          <w:b/>
          <w:sz w:val="22"/>
          <w:lang w:eastAsia="zh-CN"/>
        </w:rPr>
        <w:t>R1-1911613</w:t>
      </w:r>
    </w:p>
    <w:p>
      <w:pPr>
        <w:tabs>
          <w:tab w:val="center" w:pos="4536"/>
          <w:tab w:val="right" w:pos="9072"/>
        </w:tabs>
        <w:rPr>
          <w:rFonts w:ascii="Arial" w:eastAsia="宋体" w:hAnsi="Arial"/>
          <w:b/>
          <w:sz w:val="22"/>
          <w:lang w:eastAsia="zh-CN"/>
        </w:rPr>
      </w:pPr>
      <w:r>
        <w:rPr>
          <w:rFonts w:ascii="Arial" w:eastAsia="宋体" w:hAnsi="Arial" w:hint="eastAsia"/>
          <w:b/>
          <w:bCs/>
          <w:sz w:val="22"/>
          <w:lang w:val="en-GB" w:eastAsia="zh-CN"/>
        </w:rPr>
        <w:t>Chongqing</w:t>
      </w:r>
      <w:r>
        <w:rPr>
          <w:rFonts w:ascii="Arial" w:eastAsia="宋体" w:hAnsi="Arial"/>
          <w:b/>
          <w:bCs/>
          <w:sz w:val="22"/>
          <w:lang w:val="en-GB" w:eastAsia="zh-CN"/>
        </w:rPr>
        <w:t>, C</w:t>
      </w:r>
      <w:r>
        <w:rPr>
          <w:rFonts w:ascii="Arial" w:eastAsia="宋体" w:hAnsi="Arial" w:hint="eastAsia"/>
          <w:b/>
          <w:bCs/>
          <w:sz w:val="22"/>
          <w:lang w:val="en-GB" w:eastAsia="zh-CN"/>
        </w:rPr>
        <w:t>hina</w:t>
      </w:r>
      <w:r>
        <w:rPr>
          <w:rFonts w:ascii="Arial" w:eastAsia="宋体" w:hAnsi="Arial"/>
          <w:b/>
          <w:bCs/>
          <w:sz w:val="22"/>
          <w:lang w:val="en-GB" w:eastAsia="zh-CN"/>
        </w:rPr>
        <w:t xml:space="preserve">, </w:t>
      </w:r>
      <w:r>
        <w:rPr>
          <w:rFonts w:ascii="Arial" w:eastAsia="宋体" w:hAnsi="Arial" w:hint="eastAsia"/>
          <w:b/>
          <w:bCs/>
          <w:sz w:val="22"/>
          <w:lang w:val="en-GB" w:eastAsia="zh-CN"/>
        </w:rPr>
        <w:t>October</w:t>
      </w:r>
      <w:r>
        <w:rPr>
          <w:rFonts w:ascii="Arial" w:eastAsia="宋体" w:hAnsi="Arial"/>
          <w:b/>
          <w:bCs/>
          <w:sz w:val="22"/>
          <w:lang w:val="en-GB" w:eastAsia="zh-CN"/>
        </w:rPr>
        <w:t xml:space="preserve"> </w:t>
      </w:r>
      <w:r>
        <w:rPr>
          <w:rFonts w:ascii="Arial" w:eastAsia="宋体" w:hAnsi="Arial" w:hint="eastAsia"/>
          <w:b/>
          <w:bCs/>
          <w:sz w:val="22"/>
          <w:lang w:val="en-GB" w:eastAsia="zh-CN"/>
        </w:rPr>
        <w:t>14</w:t>
      </w:r>
      <w:r>
        <w:rPr>
          <w:rFonts w:ascii="Arial" w:eastAsia="宋体" w:hAnsi="Arial"/>
          <w:b/>
          <w:bCs/>
          <w:sz w:val="22"/>
          <w:vertAlign w:val="superscript"/>
          <w:lang w:val="en-GB" w:eastAsia="zh-CN"/>
        </w:rPr>
        <w:t>th</w:t>
      </w:r>
      <w:r>
        <w:rPr>
          <w:rFonts w:ascii="Arial" w:eastAsia="宋体" w:hAnsi="Arial"/>
          <w:b/>
          <w:bCs/>
          <w:sz w:val="22"/>
          <w:lang w:val="en-GB" w:eastAsia="zh-CN"/>
        </w:rPr>
        <w:t xml:space="preserve"> – 20</w:t>
      </w:r>
      <w:r>
        <w:rPr>
          <w:rFonts w:ascii="Arial" w:eastAsia="宋体" w:hAnsi="Arial"/>
          <w:b/>
          <w:bCs/>
          <w:sz w:val="22"/>
          <w:vertAlign w:val="superscript"/>
          <w:lang w:val="en-GB" w:eastAsia="zh-CN"/>
        </w:rPr>
        <w:t>h</w:t>
      </w:r>
      <w:r>
        <w:rPr>
          <w:rFonts w:ascii="Arial" w:eastAsia="宋体" w:hAnsi="Arial"/>
          <w:b/>
          <w:bCs/>
          <w:sz w:val="22"/>
          <w:lang w:val="en-GB" w:eastAsia="zh-CN"/>
        </w:rPr>
        <w:t>, 2019</w:t>
      </w:r>
    </w:p>
    <w:p>
      <w:pPr>
        <w:pStyle w:val="a4"/>
        <w:rPr>
          <w:rFonts w:eastAsia="宋体"/>
          <w:sz w:val="22"/>
          <w:lang w:eastAsia="zh-CN"/>
        </w:rPr>
      </w:pPr>
    </w:p>
    <w:p>
      <w:pPr>
        <w:pStyle w:val="a4"/>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pPr>
        <w:pStyle w:val="a4"/>
        <w:tabs>
          <w:tab w:val="clear" w:pos="4536"/>
          <w:tab w:val="left" w:pos="1800"/>
        </w:tabs>
        <w:ind w:left="1800" w:hanging="1800"/>
        <w:rPr>
          <w:rFonts w:eastAsia="宋体"/>
          <w:sz w:val="22"/>
          <w:lang w:eastAsia="zh-CN"/>
        </w:rPr>
      </w:pPr>
      <w:r>
        <w:rPr>
          <w:sz w:val="22"/>
        </w:rPr>
        <w:t>Title:</w:t>
      </w:r>
      <w:r>
        <w:rPr>
          <w:sz w:val="22"/>
        </w:rPr>
        <w:tab/>
        <w:t xml:space="preserve">Summary of discussions on </w:t>
      </w:r>
      <w:r>
        <w:rPr>
          <w:rFonts w:eastAsia="宋体"/>
          <w:sz w:val="22"/>
          <w:lang w:eastAsia="zh-CN"/>
        </w:rPr>
        <w:t>downgrading configuration of SRS for antenna switching</w:t>
      </w:r>
    </w:p>
    <w:p>
      <w:pPr>
        <w:pStyle w:val="a4"/>
        <w:tabs>
          <w:tab w:val="left" w:pos="1800"/>
        </w:tabs>
        <w:rPr>
          <w:rFonts w:eastAsia="宋体"/>
          <w:sz w:val="22"/>
          <w:lang w:eastAsia="zh-CN"/>
        </w:rPr>
      </w:pPr>
      <w:r>
        <w:rPr>
          <w:sz w:val="22"/>
        </w:rPr>
        <w:t>Agenda Item:</w:t>
      </w:r>
      <w:r>
        <w:rPr>
          <w:sz w:val="22"/>
        </w:rPr>
        <w:tab/>
      </w:r>
      <w:r>
        <w:rPr>
          <w:rFonts w:eastAsia="宋体" w:hint="eastAsia"/>
          <w:sz w:val="22"/>
          <w:lang w:eastAsia="zh-CN"/>
        </w:rPr>
        <w:t>7.2.14</w:t>
      </w:r>
    </w:p>
    <w:p>
      <w:pPr>
        <w:pStyle w:val="a4"/>
        <w:tabs>
          <w:tab w:val="left" w:pos="1800"/>
        </w:tabs>
        <w:rPr>
          <w:sz w:val="22"/>
        </w:rPr>
      </w:pPr>
      <w:r>
        <w:rPr>
          <w:sz w:val="22"/>
        </w:rPr>
        <w:t>Document for:</w:t>
      </w:r>
      <w:r>
        <w:rPr>
          <w:sz w:val="22"/>
        </w:rPr>
        <w:tab/>
        <w:t>Discussion and Decision</w:t>
      </w:r>
    </w:p>
    <w:p>
      <w:pPr>
        <w:pBdr>
          <w:bottom w:val="single" w:sz="4" w:space="1" w:color="auto"/>
        </w:pBdr>
        <w:tabs>
          <w:tab w:val="left" w:pos="2552"/>
        </w:tabs>
      </w:pPr>
    </w:p>
    <w:p/>
    <w:p>
      <w:pPr>
        <w:pStyle w:val="1"/>
        <w:spacing w:before="180"/>
        <w:ind w:left="562" w:hanging="562"/>
      </w:pPr>
      <w:r>
        <w:t>Introduction</w:t>
      </w:r>
    </w:p>
    <w:p>
      <w:pPr>
        <w:pStyle w:val="a0"/>
        <w:spacing w:line="288" w:lineRule="auto"/>
        <w:rPr>
          <w:rFonts w:eastAsia="宋体"/>
          <w:lang w:eastAsia="zh-CN"/>
        </w:rPr>
      </w:pPr>
      <w:r>
        <w:rPr>
          <w:rFonts w:eastAsia="宋体"/>
          <w:lang w:eastAsia="zh-CN"/>
        </w:rPr>
        <w:t>During the discussions on TEI offline session and some offline discussion, some comments and feedbacks are received for our paper [1] with the title “Enable gNB to configure downgrading configuration of SRS for antenna switching”.</w:t>
      </w:r>
    </w:p>
    <w:p>
      <w:pPr>
        <w:pStyle w:val="a0"/>
        <w:spacing w:line="288" w:lineRule="auto"/>
        <w:rPr>
          <w:rFonts w:eastAsia="宋体"/>
          <w:lang w:eastAsia="zh-CN"/>
        </w:rPr>
      </w:pPr>
      <w:r>
        <w:rPr>
          <w:rFonts w:eastAsia="宋体"/>
          <w:lang w:eastAsia="zh-CN"/>
        </w:rPr>
        <w:t>Based on the comments and feedbacks, it is common understanding in RAN1 that the issue needs to be solved. But there are different views on the final solution. Since there is no much online time for TEI discussion, it is better to have some email and offline discussion on the solution. Some discussion points on the detailed solution are listed in the following sections.</w:t>
      </w:r>
    </w:p>
    <w:p>
      <w:pPr>
        <w:pStyle w:val="1"/>
        <w:spacing w:after="120"/>
        <w:ind w:left="795" w:hangingChars="283" w:hanging="795"/>
      </w:pPr>
      <w:r>
        <w:rPr>
          <w:rFonts w:eastAsia="宋体"/>
          <w:lang w:val="en-GB" w:eastAsia="zh-CN"/>
        </w:rPr>
        <w:t>Discussion</w:t>
      </w:r>
    </w:p>
    <w:p>
      <w:pPr>
        <w:pStyle w:val="2"/>
        <w:rPr>
          <w:lang w:eastAsia="zh-CN"/>
        </w:rPr>
      </w:pPr>
      <w:r>
        <w:rPr>
          <w:lang w:eastAsia="zh-CN"/>
        </w:rPr>
        <w:t>How to formulate the solution</w:t>
      </w:r>
    </w:p>
    <w:p>
      <w:pPr>
        <w:pStyle w:val="a0"/>
        <w:rPr>
          <w:lang w:eastAsia="zh-CN"/>
        </w:rPr>
      </w:pPr>
      <w:r>
        <w:rPr>
          <w:lang w:eastAsia="zh-CN"/>
        </w:rPr>
        <w:t>Based on the feedback from various companies, there two approaches to formulate the solution:</w:t>
      </w:r>
    </w:p>
    <w:p>
      <w:pPr>
        <w:pStyle w:val="bullet1"/>
        <w:rPr>
          <w:rFonts w:ascii="Times New Roman" w:hAnsi="Times New Roman"/>
          <w:sz w:val="20"/>
          <w:szCs w:val="20"/>
        </w:rPr>
      </w:pPr>
      <w:r>
        <w:rPr>
          <w:rFonts w:ascii="Times New Roman" w:hAnsi="Times New Roman"/>
          <w:b/>
          <w:sz w:val="20"/>
          <w:szCs w:val="20"/>
        </w:rPr>
        <w:t>Approach 1:</w:t>
      </w:r>
      <w:r>
        <w:rPr>
          <w:rFonts w:ascii="Times New Roman" w:hAnsi="Times New Roman"/>
          <w:sz w:val="20"/>
          <w:szCs w:val="20"/>
        </w:rPr>
        <w:t xml:space="preserve"> Based on the reporting of UE capability (Same as the proposal in OPPO’s tdoc</w:t>
      </w:r>
      <w:r>
        <w:rPr>
          <w:rFonts w:ascii="Times New Roman" w:hAnsi="Times New Roman"/>
          <w:sz w:val="20"/>
        </w:rPr>
        <w:t xml:space="preserve"> R1-1911456</w:t>
      </w:r>
      <w:r>
        <w:rPr>
          <w:rFonts w:ascii="Times New Roman" w:hAnsi="Times New Roman"/>
          <w:sz w:val="16"/>
          <w:szCs w:val="20"/>
        </w:rPr>
        <w:t xml:space="preserve"> </w:t>
      </w:r>
      <w:r>
        <w:rPr>
          <w:rFonts w:ascii="Times New Roman" w:hAnsi="Times New Roman"/>
          <w:sz w:val="20"/>
          <w:szCs w:val="20"/>
        </w:rPr>
        <w:t>[1])</w:t>
      </w:r>
    </w:p>
    <w:p>
      <w:pPr>
        <w:pStyle w:val="bullet1"/>
        <w:rPr>
          <w:rFonts w:ascii="Times New Roman" w:hAnsi="Times New Roman"/>
          <w:sz w:val="20"/>
          <w:szCs w:val="20"/>
        </w:rPr>
      </w:pPr>
      <w:r>
        <w:rPr>
          <w:rFonts w:ascii="Times New Roman" w:hAnsi="Times New Roman"/>
          <w:b/>
          <w:sz w:val="20"/>
          <w:szCs w:val="20"/>
        </w:rPr>
        <w:t>Approach 2:</w:t>
      </w:r>
      <w:r>
        <w:rPr>
          <w:rFonts w:ascii="Times New Roman" w:hAnsi="Times New Roman"/>
          <w:sz w:val="20"/>
          <w:szCs w:val="20"/>
        </w:rPr>
        <w:t xml:space="preserve"> Change TS 38.214 to allow gNB to support additional configuration</w:t>
      </w:r>
    </w:p>
    <w:p>
      <w:pPr>
        <w:pStyle w:val="bullet2"/>
        <w:rPr>
          <w:rFonts w:ascii="Times New Roman" w:hAnsi="Times New Roman"/>
          <w:sz w:val="20"/>
          <w:szCs w:val="20"/>
        </w:rPr>
      </w:pPr>
      <w:r>
        <w:rPr>
          <w:rFonts w:ascii="Times New Roman" w:hAnsi="Times New Roman"/>
          <w:sz w:val="20"/>
          <w:szCs w:val="20"/>
        </w:rPr>
        <w:t>Some new UE capability reporting may be still needed</w:t>
      </w:r>
    </w:p>
    <w:p>
      <w:pPr>
        <w:pStyle w:val="a0"/>
        <w:rPr>
          <w:lang w:val="en-GB" w:eastAsia="zh-CN"/>
        </w:rPr>
      </w:pPr>
    </w:p>
    <w:p>
      <w:pPr>
        <w:pStyle w:val="a0"/>
        <w:rPr>
          <w:lang w:eastAsia="zh-CN"/>
        </w:rPr>
      </w:pPr>
      <w:r>
        <w:rPr>
          <w:lang w:eastAsia="zh-CN"/>
        </w:rPr>
        <w:t>Based FL’s email discussion and the online comments, the support of each approach is as follows:</w:t>
      </w:r>
    </w:p>
    <w:p>
      <w:pPr>
        <w:pStyle w:val="bullet1"/>
        <w:rPr>
          <w:rFonts w:ascii="Times New Roman" w:hAnsi="Times New Roman"/>
          <w:sz w:val="20"/>
          <w:szCs w:val="20"/>
        </w:rPr>
      </w:pPr>
      <w:r>
        <w:rPr>
          <w:rFonts w:ascii="Times New Roman" w:hAnsi="Times New Roman"/>
          <w:b/>
          <w:sz w:val="20"/>
          <w:szCs w:val="20"/>
        </w:rPr>
        <w:t>Approach 1:</w:t>
      </w:r>
      <w:r>
        <w:rPr>
          <w:rFonts w:ascii="Times New Roman" w:hAnsi="Times New Roman"/>
          <w:sz w:val="20"/>
          <w:szCs w:val="20"/>
        </w:rPr>
        <w:t xml:space="preserve"> 18 companies</w:t>
      </w:r>
    </w:p>
    <w:p>
      <w:pPr>
        <w:pStyle w:val="bullet2"/>
        <w:rPr>
          <w:rFonts w:ascii="Times New Roman" w:hAnsi="Times New Roman"/>
          <w:sz w:val="20"/>
          <w:szCs w:val="20"/>
        </w:rPr>
      </w:pPr>
      <w:r>
        <w:rPr>
          <w:rFonts w:ascii="Times New Roman" w:hAnsi="Times New Roman"/>
          <w:sz w:val="20"/>
          <w:szCs w:val="20"/>
        </w:rPr>
        <w:t xml:space="preserve">OPPO, CMCC, ZTE, Nokia, Nokia Shanghai Bell, APT, AT&amp;T, Xiaomi, </w:t>
      </w:r>
      <w:r>
        <w:rPr>
          <w:rFonts w:ascii="Times New Roman" w:hAnsi="Times New Roman"/>
          <w:sz w:val="20"/>
          <w:szCs w:val="20"/>
          <w:lang w:eastAsia="x-none"/>
        </w:rPr>
        <w:t>Spreadtrum Communications, Huawei, HiSilicon,</w:t>
      </w:r>
      <w:r>
        <w:rPr>
          <w:rFonts w:ascii="Times New Roman" w:eastAsia="MS Mincho" w:hAnsi="Times New Roman"/>
          <w:sz w:val="20"/>
          <w:szCs w:val="20"/>
          <w:lang w:val="en-US"/>
        </w:rPr>
        <w:t xml:space="preserve"> Ericsson, Qualcomm, Samsung, Lenovo, MediaTek, China Telecom, Apple, </w:t>
      </w:r>
    </w:p>
    <w:p>
      <w:pPr>
        <w:pStyle w:val="bullet1"/>
        <w:rPr>
          <w:rFonts w:ascii="Times New Roman" w:hAnsi="Times New Roman"/>
          <w:sz w:val="20"/>
          <w:szCs w:val="20"/>
        </w:rPr>
      </w:pPr>
      <w:r>
        <w:rPr>
          <w:rFonts w:ascii="Times New Roman" w:hAnsi="Times New Roman"/>
          <w:b/>
          <w:sz w:val="20"/>
          <w:szCs w:val="20"/>
        </w:rPr>
        <w:t>Approach 2:</w:t>
      </w:r>
      <w:r>
        <w:rPr>
          <w:rFonts w:ascii="Times New Roman" w:hAnsi="Times New Roman"/>
          <w:sz w:val="20"/>
          <w:szCs w:val="20"/>
        </w:rPr>
        <w:t xml:space="preserve"> 1 company</w:t>
      </w:r>
    </w:p>
    <w:p>
      <w:pPr>
        <w:pStyle w:val="bullet2"/>
        <w:rPr>
          <w:rFonts w:ascii="Times New Roman" w:hAnsi="Times New Roman"/>
          <w:sz w:val="20"/>
          <w:szCs w:val="20"/>
        </w:rPr>
      </w:pPr>
      <w:r>
        <w:rPr>
          <w:rFonts w:ascii="Times New Roman" w:hAnsi="Times New Roman"/>
          <w:sz w:val="20"/>
          <w:szCs w:val="20"/>
        </w:rPr>
        <w:t>vivo</w:t>
      </w:r>
    </w:p>
    <w:p>
      <w:pPr>
        <w:pStyle w:val="a0"/>
        <w:rPr>
          <w:lang w:eastAsia="zh-CN"/>
        </w:rPr>
      </w:pPr>
    </w:p>
    <w:p>
      <w:pPr>
        <w:pStyle w:val="a0"/>
        <w:rPr>
          <w:lang w:eastAsia="zh-CN"/>
        </w:rPr>
      </w:pPr>
      <w:r>
        <w:rPr>
          <w:lang w:eastAsia="zh-CN"/>
        </w:rPr>
        <w:t>Companies’ views are welcome</w:t>
      </w:r>
    </w:p>
    <w:tbl>
      <w:tblPr>
        <w:tblStyle w:val="ac"/>
        <w:tblW w:w="0" w:type="auto"/>
        <w:tblLook w:val="04A0" w:firstRow="1" w:lastRow="0" w:firstColumn="1" w:lastColumn="0" w:noHBand="0" w:noVBand="1"/>
      </w:tblPr>
      <w:tblGrid>
        <w:gridCol w:w="2077"/>
        <w:gridCol w:w="6985"/>
      </w:tblGrid>
      <w:tr>
        <w:tc>
          <w:tcPr>
            <w:tcW w:w="207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Company</w:t>
            </w:r>
          </w:p>
        </w:tc>
        <w:tc>
          <w:tcPr>
            <w:tcW w:w="6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View</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r>
    </w:tbl>
    <w:p>
      <w:pPr>
        <w:pStyle w:val="a0"/>
        <w:rPr>
          <w:lang w:eastAsia="zh-CN"/>
        </w:rPr>
      </w:pPr>
    </w:p>
    <w:p>
      <w:pPr>
        <w:pStyle w:val="a0"/>
        <w:rPr>
          <w:lang w:eastAsia="zh-CN"/>
        </w:rPr>
      </w:pPr>
    </w:p>
    <w:p>
      <w:pPr>
        <w:pStyle w:val="2"/>
        <w:rPr>
          <w:lang w:eastAsia="zh-CN"/>
        </w:rPr>
      </w:pPr>
      <w:r>
        <w:rPr>
          <w:lang w:eastAsia="zh-CN"/>
        </w:rPr>
        <w:t>Detailed solution of Approach 1</w:t>
      </w:r>
    </w:p>
    <w:p>
      <w:pPr>
        <w:pStyle w:val="a0"/>
        <w:spacing w:line="288" w:lineRule="auto"/>
      </w:pPr>
      <w:r>
        <w:rPr>
          <w:rFonts w:eastAsia="宋体"/>
          <w:lang w:eastAsia="zh-CN"/>
        </w:rPr>
        <w:t xml:space="preserve"> The solution is based on the tdoc </w:t>
      </w:r>
      <w:r>
        <w:t>R1-1911456 [1]. The proposal is the same as that in [1]:</w:t>
      </w:r>
    </w:p>
    <w:p>
      <w:pPr>
        <w:pStyle w:val="a0"/>
        <w:rPr>
          <w:rFonts w:eastAsia="宋体"/>
          <w:b/>
          <w:i/>
          <w:lang w:eastAsia="zh-CN"/>
        </w:rPr>
      </w:pPr>
      <w:r>
        <w:rPr>
          <w:rFonts w:eastAsia="宋体"/>
          <w:b/>
          <w:i/>
          <w:lang w:eastAsia="zh-CN"/>
        </w:rPr>
        <w:t>Proposal: For the UE sounding procedure for DL CSI acquisition, Rel-16 supports the following UE capabilities in additional to Rel-15 UE capabilities</w:t>
      </w:r>
    </w:p>
    <w:p>
      <w:pPr>
        <w:pStyle w:val="a0"/>
        <w:numPr>
          <w:ilvl w:val="0"/>
          <w:numId w:val="28"/>
        </w:numPr>
        <w:rPr>
          <w:rFonts w:eastAsia="宋体"/>
          <w:b/>
          <w:i/>
          <w:lang w:eastAsia="zh-CN"/>
        </w:rPr>
      </w:pPr>
      <w:r>
        <w:rPr>
          <w:rFonts w:eastAsia="宋体"/>
          <w:b/>
          <w:i/>
          <w:lang w:eastAsia="zh-CN"/>
        </w:rPr>
        <w:lastRenderedPageBreak/>
        <w:t xml:space="preserve">t1r1-t1r2  </w:t>
      </w:r>
    </w:p>
    <w:p>
      <w:pPr>
        <w:pStyle w:val="a0"/>
        <w:numPr>
          <w:ilvl w:val="0"/>
          <w:numId w:val="28"/>
        </w:numPr>
        <w:rPr>
          <w:rFonts w:eastAsia="宋体"/>
          <w:b/>
          <w:i/>
          <w:lang w:eastAsia="zh-CN"/>
        </w:rPr>
      </w:pPr>
      <w:r>
        <w:rPr>
          <w:rFonts w:eastAsia="宋体"/>
          <w:b/>
          <w:i/>
          <w:lang w:eastAsia="zh-CN"/>
        </w:rPr>
        <w:t>t1r1-t1r2-t1r4</w:t>
      </w:r>
    </w:p>
    <w:p>
      <w:pPr>
        <w:pStyle w:val="a0"/>
        <w:numPr>
          <w:ilvl w:val="0"/>
          <w:numId w:val="28"/>
        </w:numPr>
        <w:rPr>
          <w:rFonts w:eastAsia="宋体"/>
          <w:b/>
          <w:i/>
          <w:lang w:eastAsia="zh-CN"/>
        </w:rPr>
      </w:pPr>
      <w:r>
        <w:rPr>
          <w:rFonts w:eastAsia="宋体"/>
          <w:b/>
          <w:i/>
          <w:lang w:eastAsia="zh-CN"/>
        </w:rPr>
        <w:t>t1r1-t1r2-t2r2-t2r4</w:t>
      </w:r>
    </w:p>
    <w:p>
      <w:pPr>
        <w:pStyle w:val="a0"/>
        <w:numPr>
          <w:ilvl w:val="0"/>
          <w:numId w:val="28"/>
        </w:numPr>
        <w:rPr>
          <w:rFonts w:eastAsia="宋体"/>
          <w:b/>
          <w:i/>
          <w:lang w:eastAsia="zh-CN"/>
        </w:rPr>
      </w:pPr>
      <w:r>
        <w:rPr>
          <w:rFonts w:eastAsia="宋体"/>
          <w:b/>
          <w:i/>
          <w:lang w:eastAsia="zh-CN"/>
        </w:rPr>
        <w:t>t1r1-t2r2</w:t>
      </w:r>
    </w:p>
    <w:p>
      <w:pPr>
        <w:pStyle w:val="a0"/>
        <w:numPr>
          <w:ilvl w:val="0"/>
          <w:numId w:val="28"/>
        </w:numPr>
        <w:rPr>
          <w:rFonts w:eastAsia="宋体"/>
          <w:b/>
          <w:i/>
          <w:lang w:eastAsia="zh-CN"/>
        </w:rPr>
      </w:pPr>
      <w:r>
        <w:rPr>
          <w:rFonts w:eastAsia="宋体"/>
          <w:b/>
          <w:i/>
          <w:lang w:eastAsia="zh-CN"/>
        </w:rPr>
        <w:t>t1r1-t2r2-t4r4</w:t>
      </w:r>
    </w:p>
    <w:p>
      <w:pPr>
        <w:pStyle w:val="a0"/>
        <w:spacing w:line="288" w:lineRule="auto"/>
        <w:rPr>
          <w:rFonts w:eastAsia="宋体"/>
          <w:lang w:eastAsia="zh-CN"/>
        </w:rPr>
      </w:pPr>
    </w:p>
    <w:p>
      <w:pPr>
        <w:pStyle w:val="a0"/>
        <w:spacing w:line="288" w:lineRule="auto"/>
        <w:rPr>
          <w:rFonts w:eastAsia="宋体"/>
          <w:lang w:eastAsia="zh-CN"/>
        </w:rPr>
      </w:pPr>
      <w:r>
        <w:rPr>
          <w:rFonts w:eastAsia="宋体"/>
          <w:lang w:eastAsia="zh-CN"/>
        </w:rPr>
        <w:t xml:space="preserve">The corresponding TP is from [1] with two minor changes (marked by </w:t>
      </w:r>
      <w:r>
        <w:rPr>
          <w:rFonts w:eastAsia="宋体"/>
          <w:highlight w:val="yellow"/>
          <w:lang w:eastAsia="zh-CN"/>
        </w:rPr>
        <w:t>yellow</w:t>
      </w:r>
      <w:r>
        <w:rPr>
          <w:rFonts w:eastAsia="宋体"/>
          <w:lang w:eastAsia="zh-CN"/>
        </w:rPr>
        <w:t>) suggested by Samsung</w:t>
      </w:r>
    </w:p>
    <w:p>
      <w:pPr>
        <w:pStyle w:val="a0"/>
        <w:numPr>
          <w:ilvl w:val="0"/>
          <w:numId w:val="28"/>
        </w:numPr>
        <w:spacing w:line="288" w:lineRule="auto"/>
        <w:rPr>
          <w:rFonts w:eastAsia="宋体"/>
          <w:lang w:eastAsia="zh-CN"/>
        </w:rPr>
      </w:pPr>
      <w:r>
        <w:rPr>
          <w:rFonts w:eastAsia="宋体"/>
          <w:lang w:eastAsia="zh-CN"/>
        </w:rPr>
        <w:t xml:space="preserve">Correct a typo:  </w:t>
      </w:r>
      <w:r>
        <w:rPr>
          <w:iCs/>
          <w:color w:val="FF0000"/>
          <w:lang w:eastAsia="zh-CN"/>
        </w:rPr>
        <w:t>1T=1R/1t2r     -&gt;    1T=1R/</w:t>
      </w:r>
      <w:r>
        <w:rPr>
          <w:iCs/>
          <w:color w:val="FF0000"/>
          <w:highlight w:val="yellow"/>
          <w:lang w:eastAsia="zh-CN"/>
        </w:rPr>
        <w:t>1T2R</w:t>
      </w:r>
    </w:p>
    <w:p>
      <w:pPr>
        <w:pStyle w:val="a0"/>
        <w:numPr>
          <w:ilvl w:val="0"/>
          <w:numId w:val="28"/>
        </w:numPr>
        <w:spacing w:line="288" w:lineRule="auto"/>
        <w:rPr>
          <w:rFonts w:eastAsia="宋体"/>
          <w:lang w:eastAsia="zh-CN"/>
        </w:rPr>
      </w:pPr>
      <w:r>
        <w:rPr>
          <w:iCs/>
          <w:lang w:eastAsia="zh-CN"/>
        </w:rPr>
        <w:t xml:space="preserve">Add </w:t>
      </w:r>
      <w:r>
        <w:rPr>
          <w:iCs/>
          <w:color w:val="FF0000"/>
          <w:lang w:eastAsia="zh-CN"/>
        </w:rPr>
        <w:t>“</w:t>
      </w:r>
      <w:r>
        <w:rPr>
          <w:rFonts w:ascii="Times" w:eastAsia="Batang" w:hAnsi="Times"/>
          <w:szCs w:val="28"/>
          <w:highlight w:val="yellow"/>
        </w:rPr>
        <w:t xml:space="preserve">with higher layer parameter </w:t>
      </w:r>
      <w:r>
        <w:rPr>
          <w:rFonts w:ascii="Times" w:eastAsia="Batang" w:hAnsi="Times"/>
          <w:i/>
          <w:szCs w:val="28"/>
          <w:highlight w:val="yellow"/>
        </w:rPr>
        <w:t>usage</w:t>
      </w:r>
      <w:r>
        <w:rPr>
          <w:rFonts w:ascii="Times" w:eastAsia="Batang" w:hAnsi="Times"/>
          <w:szCs w:val="28"/>
          <w:highlight w:val="yellow"/>
        </w:rPr>
        <w:t xml:space="preserve"> set as 'antennaSwitching'</w:t>
      </w:r>
      <w:r>
        <w:rPr>
          <w:iCs/>
          <w:color w:val="FF0000"/>
          <w:lang w:eastAsia="zh-CN"/>
        </w:rPr>
        <w:t>”</w:t>
      </w:r>
      <w:r>
        <w:rPr>
          <w:iCs/>
          <w:lang w:eastAsia="zh-CN"/>
        </w:rPr>
        <w:t xml:space="preserve"> at the end of the 3</w:t>
      </w:r>
      <w:r>
        <w:rPr>
          <w:iCs/>
          <w:vertAlign w:val="superscript"/>
          <w:lang w:eastAsia="zh-CN"/>
        </w:rPr>
        <w:t>rd</w:t>
      </w:r>
      <w:r>
        <w:rPr>
          <w:iCs/>
          <w:lang w:eastAsia="zh-CN"/>
        </w:rPr>
        <w:t xml:space="preserve"> paragraph to make it clear that the description is only for SRS used for DL CSI acquisition. </w:t>
      </w:r>
    </w:p>
    <w:p>
      <w:pPr>
        <w:pStyle w:val="a0"/>
        <w:numPr>
          <w:ilvl w:val="1"/>
          <w:numId w:val="28"/>
        </w:numPr>
        <w:spacing w:line="288" w:lineRule="auto"/>
        <w:rPr>
          <w:rFonts w:eastAsia="宋体"/>
          <w:lang w:eastAsia="zh-CN"/>
        </w:rPr>
      </w:pPr>
      <w:r>
        <w:rPr>
          <w:iCs/>
          <w:lang w:eastAsia="zh-CN"/>
        </w:rPr>
        <w:t>The reason is that for full power transmission, it is possible configure SRS resources with different number of ports in a set</w:t>
      </w:r>
    </w:p>
    <w:p>
      <w:pPr>
        <w:pStyle w:val="a0"/>
        <w:spacing w:line="288" w:lineRule="auto"/>
        <w:rPr>
          <w:rFonts w:eastAsia="宋体"/>
          <w:lang w:eastAsia="zh-CN"/>
        </w:rPr>
      </w:pPr>
    </w:p>
    <w:p>
      <w:pPr>
        <w:pStyle w:val="a0"/>
        <w:rPr>
          <w:rFonts w:eastAsia="宋体"/>
          <w:lang w:eastAsia="zh-CN"/>
        </w:rPr>
      </w:pPr>
      <w:r>
        <w:rPr>
          <w:rFonts w:eastAsia="宋体"/>
          <w:lang w:eastAsia="zh-CN"/>
        </w:rPr>
        <w:t>------------------------------------------------------ TS 38.214 ---------------------------------------------------------------</w:t>
      </w:r>
    </w:p>
    <w:p>
      <w:pPr>
        <w:pStyle w:val="4"/>
        <w:numPr>
          <w:ilvl w:val="0"/>
          <w:numId w:val="0"/>
        </w:numPr>
        <w:ind w:left="1304" w:hanging="1304"/>
        <w:jc w:val="both"/>
        <w:rPr>
          <w:iCs/>
          <w:color w:val="000000"/>
          <w:sz w:val="20"/>
          <w:szCs w:val="24"/>
        </w:rPr>
      </w:pPr>
      <w:r>
        <w:rPr>
          <w:iCs/>
          <w:color w:val="000000"/>
          <w:sz w:val="20"/>
          <w:szCs w:val="24"/>
        </w:rPr>
        <w:t>6.2.1.2</w:t>
      </w:r>
      <w:r>
        <w:rPr>
          <w:iCs/>
          <w:color w:val="000000"/>
          <w:sz w:val="20"/>
          <w:szCs w:val="24"/>
        </w:rPr>
        <w:tab/>
        <w:t xml:space="preserve">UE </w:t>
      </w:r>
      <w:r>
        <w:rPr>
          <w:iCs/>
          <w:color w:val="000000"/>
          <w:sz w:val="20"/>
          <w:szCs w:val="24"/>
          <w:lang w:val="en-GB"/>
        </w:rPr>
        <w:t>sounding procedure for DL CSI acquisition</w:t>
      </w:r>
    </w:p>
    <w:p>
      <w:pPr>
        <w:jc w:val="both"/>
        <w:rPr>
          <w:iCs/>
          <w:color w:val="000000"/>
          <w:lang w:eastAsia="zh-CN"/>
        </w:rPr>
      </w:pPr>
      <w:r>
        <w:rPr>
          <w:iCs/>
          <w:color w:val="000000"/>
        </w:rPr>
        <w:t>When the UE is configured with the higher layer parameter usage in SRS-ResourceSet set as 'antennaSwitching', the UE may be configured</w:t>
      </w:r>
      <w:r>
        <w:rPr>
          <w:rFonts w:hint="eastAsia"/>
          <w:iCs/>
          <w:color w:val="000000"/>
          <w:lang w:eastAsia="zh-CN"/>
        </w:rPr>
        <w:t xml:space="preserve"> </w:t>
      </w:r>
      <w:r>
        <w:rPr>
          <w:iCs/>
          <w:color w:val="000000"/>
          <w:lang w:eastAsia="zh-CN"/>
        </w:rPr>
        <w:t xml:space="preserve">with one of the following configurations depending on the indicated UE capability supportedSRS-TxPortSwitch ('t1r2' for </w:t>
      </w:r>
      <w:r>
        <w:rPr>
          <w:iCs/>
          <w:lang w:eastAsia="zh-CN"/>
        </w:rPr>
        <w:t xml:space="preserve">1T2R, </w:t>
      </w:r>
      <w:r>
        <w:rPr>
          <w:iCs/>
          <w:color w:val="FF0000"/>
          <w:lang w:eastAsia="zh-CN"/>
        </w:rPr>
        <w:t>'t1r1-t1r2' for 1T=1R/</w:t>
      </w:r>
      <w:r>
        <w:rPr>
          <w:iCs/>
          <w:color w:val="FF0000"/>
          <w:highlight w:val="yellow"/>
          <w:lang w:eastAsia="zh-CN"/>
        </w:rPr>
        <w:t>1T2R</w:t>
      </w:r>
      <w:r>
        <w:rPr>
          <w:iCs/>
          <w:color w:val="FF0000"/>
          <w:lang w:eastAsia="zh-CN"/>
        </w:rPr>
        <w:t>,</w:t>
      </w:r>
      <w:r>
        <w:rPr>
          <w:iCs/>
          <w:lang w:eastAsia="zh-CN"/>
        </w:rPr>
        <w:t xml:space="preserve"> 't2r4' for 2T4R, 't1r4' for 1T4R, </w:t>
      </w:r>
      <w:r>
        <w:rPr>
          <w:iCs/>
          <w:color w:val="FF0000"/>
          <w:lang w:eastAsia="zh-CN"/>
        </w:rPr>
        <w:t>'t1r1-t1r2-t1r4' for 1T=1R/1T2R/1T4R,</w:t>
      </w:r>
      <w:r>
        <w:rPr>
          <w:iCs/>
          <w:lang w:eastAsia="zh-CN"/>
        </w:rPr>
        <w:t xml:space="preserve"> 't1r4-t2r4' for 1T4R/2T4R, </w:t>
      </w:r>
      <w:r>
        <w:rPr>
          <w:iCs/>
          <w:color w:val="FF0000"/>
          <w:lang w:eastAsia="zh-CN"/>
        </w:rPr>
        <w:t>'t1r1-t1r2-t2r2-t2r4' for 1T=1R/1T2R/2T=2R/2T4R,</w:t>
      </w:r>
      <w:r>
        <w:rPr>
          <w:iCs/>
          <w:lang w:eastAsia="zh-CN"/>
        </w:rPr>
        <w:t xml:space="preserve"> 't1r1' for 1T=1R, 't2r2' for 2T=2R, </w:t>
      </w:r>
      <w:r>
        <w:rPr>
          <w:iCs/>
          <w:color w:val="FF0000"/>
          <w:lang w:eastAsia="zh-CN"/>
        </w:rPr>
        <w:t>'t1r1-t2r2' for 1T=1R/2T=2R,</w:t>
      </w:r>
      <w:r>
        <w:rPr>
          <w:rFonts w:ascii="Courier New" w:hAnsi="Courier New"/>
          <w:color w:val="FF0000"/>
          <w:kern w:val="24"/>
          <w:sz w:val="16"/>
          <w:lang w:val="en-GB"/>
        </w:rPr>
        <w:t xml:space="preserve"> </w:t>
      </w:r>
      <w:r>
        <w:rPr>
          <w:iCs/>
          <w:lang w:eastAsia="zh-CN"/>
        </w:rPr>
        <w:t xml:space="preserve">or 't4r4' for 4T=4R, </w:t>
      </w:r>
      <w:r>
        <w:rPr>
          <w:iCs/>
          <w:color w:val="FF0000"/>
          <w:lang w:eastAsia="zh-CN"/>
        </w:rPr>
        <w:t>'t1r1-t2r2-t4r4' for 1T=1R/2T=2R/4T=4R</w:t>
      </w:r>
      <w:r>
        <w:rPr>
          <w:iCs/>
          <w:color w:val="000000"/>
          <w:lang w:eastAsia="zh-CN"/>
        </w:rPr>
        <w:t>):</w:t>
      </w:r>
    </w:p>
    <w:p>
      <w:pPr>
        <w:jc w:val="both"/>
        <w:rPr>
          <w:iCs/>
          <w:color w:val="000000"/>
          <w:lang w:eastAsia="zh-CN"/>
        </w:rPr>
      </w:pPr>
    </w:p>
    <w:p>
      <w:pPr>
        <w:pStyle w:val="B1"/>
      </w:pPr>
      <w:r>
        <w:rPr>
          <w:rFonts w:eastAsia="MS Mincho"/>
          <w:iCs/>
          <w:lang w:val="en-US" w:eastAsia="ja-JP"/>
        </w:rPr>
        <w:t>-</w:t>
      </w:r>
      <w:r>
        <w:rPr>
          <w:rFonts w:eastAsia="MS Mincho"/>
          <w:iCs/>
          <w:lang w:val="en-US" w:eastAsia="ja-JP"/>
        </w:rPr>
        <w:tab/>
        <w:t xml:space="preserve">For 1T2R, </w:t>
      </w:r>
      <w:r>
        <w:rPr>
          <w:rFonts w:eastAsia="MS Mincho"/>
          <w:iCs/>
          <w:color w:val="000000"/>
          <w:lang w:val="en-US" w:eastAsia="ja-JP"/>
        </w:rPr>
        <w:t xml:space="preserve">up to two SRS resource sets configured with a different value for the higher layer parameter </w:t>
      </w:r>
      <w:r>
        <w:rPr>
          <w:rFonts w:eastAsia="MS Mincho"/>
          <w:i/>
          <w:iCs/>
          <w:color w:val="000000"/>
          <w:lang w:val="en-US" w:eastAsia="ja-JP"/>
        </w:rPr>
        <w:t>resourceType</w:t>
      </w:r>
      <w:r>
        <w:rPr>
          <w:rFonts w:eastAsia="MS Mincho"/>
          <w:iCs/>
          <w:color w:val="000000"/>
          <w:lang w:val="en-US" w:eastAsia="ja-JP"/>
        </w:rPr>
        <w:t xml:space="preserve"> in </w:t>
      </w:r>
      <w:r>
        <w:rPr>
          <w:rFonts w:eastAsia="MS Mincho"/>
          <w:i/>
          <w:iCs/>
          <w:color w:val="000000"/>
          <w:lang w:val="en-US" w:eastAsia="ja-JP"/>
        </w:rPr>
        <w:t>SRS-ResourceSet</w:t>
      </w:r>
      <w:r>
        <w:rPr>
          <w:rFonts w:eastAsia="MS Mincho"/>
          <w:iCs/>
          <w:color w:val="000000"/>
          <w:lang w:val="en-US" w:eastAsia="ja-JP"/>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B1"/>
      </w:pPr>
      <w:r>
        <w:rPr>
          <w:rFonts w:eastAsia="MS Mincho"/>
          <w:iCs/>
          <w:lang w:val="en-US" w:eastAsia="ja-JP"/>
        </w:rPr>
        <w:t>-</w:t>
      </w:r>
      <w:r>
        <w:rPr>
          <w:rFonts w:eastAsia="MS Mincho"/>
          <w:iCs/>
          <w:lang w:val="en-US" w:eastAsia="ja-JP"/>
        </w:rPr>
        <w:tab/>
        <w:t xml:space="preserve">For 2T4R, </w:t>
      </w:r>
      <w:r>
        <w:rPr>
          <w:rFonts w:eastAsia="MS Mincho"/>
          <w:iCs/>
          <w:color w:val="000000"/>
          <w:lang w:val="en-US" w:eastAsia="ja-JP"/>
        </w:rPr>
        <w:t xml:space="preserve">up to two SRS resource sets configured with a different value for the higher layer parameter </w:t>
      </w:r>
      <w:r>
        <w:rPr>
          <w:rFonts w:eastAsia="MS Mincho"/>
          <w:i/>
          <w:iCs/>
          <w:color w:val="000000"/>
          <w:lang w:val="en-US" w:eastAsia="ja-JP"/>
        </w:rPr>
        <w:t>resourceType</w:t>
      </w:r>
      <w:r>
        <w:rPr>
          <w:rFonts w:eastAsia="MS Mincho"/>
          <w:iCs/>
          <w:color w:val="000000"/>
          <w:lang w:val="en-US" w:eastAsia="ja-JP"/>
        </w:rPr>
        <w:t xml:space="preserve"> in </w:t>
      </w:r>
      <w:r>
        <w:rPr>
          <w:rFonts w:eastAsia="MS Mincho"/>
          <w:i/>
          <w:iCs/>
          <w:color w:val="000000"/>
          <w:lang w:val="en-US" w:eastAsia="ja-JP"/>
        </w:rPr>
        <w:t>SRS-ResourceSet</w:t>
      </w:r>
      <w:r>
        <w:rPr>
          <w:rFonts w:eastAsia="MS Mincho"/>
          <w:iCs/>
          <w:color w:val="000000"/>
          <w:lang w:val="en-US" w:eastAsia="ja-JP"/>
        </w:rPr>
        <w:t xml:space="preserve"> set, where each</w:t>
      </w:r>
      <w:r>
        <w:rPr>
          <w:rFonts w:eastAsia="MS Mincho"/>
          <w:iCs/>
          <w:lang w:val="en-US" w:eastAsia="ja-JP"/>
        </w:rPr>
        <w:t xml:space="preserve"> SRS resource set has </w:t>
      </w:r>
      <w:r>
        <w:t>two SRS resources transmitted in different symbols, each SRS resource in a given set consisting of two SRS ports, and the SRS port pair of the second resource is associated with a different UE antenna port pair than the SRS port pair of the first resource, or</w:t>
      </w:r>
    </w:p>
    <w:p>
      <w:pPr>
        <w:pStyle w:val="B1"/>
      </w:pPr>
      <w:r>
        <w:rPr>
          <w:rFonts w:eastAsia="MS Mincho"/>
          <w:iCs/>
          <w:lang w:val="en-US" w:eastAsia="ja-JP"/>
        </w:rPr>
        <w:t>-</w:t>
      </w:r>
      <w:r>
        <w:rPr>
          <w:rFonts w:eastAsia="MS Mincho"/>
          <w:iCs/>
          <w:lang w:val="en-US" w:eastAsia="ja-JP"/>
        </w:rPr>
        <w:tab/>
        <w:t xml:space="preserve">For 1T4R, zero or one SRS resource set configured with higher layer parameter </w:t>
      </w:r>
      <w:r>
        <w:rPr>
          <w:rFonts w:eastAsia="MS Mincho"/>
          <w:i/>
          <w:iCs/>
          <w:lang w:val="en-US" w:eastAsia="ja-JP"/>
        </w:rPr>
        <w:t>resourceType</w:t>
      </w:r>
      <w:r>
        <w:rPr>
          <w:rFonts w:eastAsia="MS Mincho"/>
          <w:iCs/>
          <w:lang w:val="en-US" w:eastAsia="ja-JP"/>
        </w:rPr>
        <w:t xml:space="preserve"> in </w:t>
      </w:r>
      <w:r>
        <w:rPr>
          <w:rFonts w:eastAsia="MS Mincho"/>
          <w:i/>
          <w:iCs/>
          <w:lang w:val="en-US" w:eastAsia="ja-JP"/>
        </w:rPr>
        <w:t>SRS-ResourceSet</w:t>
      </w:r>
      <w:r>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1T4R, </w:t>
      </w:r>
      <w:r>
        <w:rPr>
          <w:rFonts w:eastAsia="MS Mincho"/>
          <w:iCs/>
          <w:color w:val="000000"/>
          <w:lang w:val="en-US" w:eastAsia="ja-JP"/>
        </w:rPr>
        <w:t xml:space="preserve">zero or two SRS resource sets each configured with higher layer parameter </w:t>
      </w:r>
      <w:r>
        <w:rPr>
          <w:rFonts w:eastAsia="MS Mincho"/>
          <w:i/>
          <w:iCs/>
          <w:color w:val="000000"/>
          <w:lang w:val="en-US" w:eastAsia="ja-JP"/>
        </w:rPr>
        <w:t>resourceType</w:t>
      </w:r>
      <w:r>
        <w:rPr>
          <w:rFonts w:eastAsia="MS Mincho"/>
          <w:iCs/>
          <w:color w:val="000000"/>
          <w:lang w:val="en-US" w:eastAsia="ja-JP"/>
        </w:rPr>
        <w:t xml:space="preserve"> </w:t>
      </w:r>
      <w:r>
        <w:rPr>
          <w:rFonts w:eastAsia="MS Mincho"/>
          <w:iCs/>
          <w:lang w:val="en-US" w:eastAsia="ja-JP"/>
        </w:rPr>
        <w:t xml:space="preserve">in </w:t>
      </w:r>
      <w:r>
        <w:rPr>
          <w:rFonts w:eastAsia="MS Mincho"/>
          <w:i/>
          <w:iCs/>
          <w:lang w:val="en-US" w:eastAsia="ja-JP"/>
        </w:rPr>
        <w:t>SRS-ResourceSet</w:t>
      </w:r>
      <w:r>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lang w:eastAsia="zh-CN"/>
        </w:rPr>
        <w:t>alpha</w:t>
      </w:r>
      <w:r>
        <w:rPr>
          <w:rFonts w:eastAsia="Malgun Gothic"/>
          <w:iCs/>
          <w:color w:val="000000"/>
          <w:lang w:eastAsia="zh-CN"/>
        </w:rPr>
        <w:t xml:space="preserve">, </w:t>
      </w:r>
      <w:r>
        <w:rPr>
          <w:rFonts w:eastAsia="Malgun Gothic"/>
          <w:i/>
          <w:iCs/>
          <w:color w:val="000000"/>
          <w:lang w:eastAsia="zh-CN"/>
        </w:rPr>
        <w:t>p0</w:t>
      </w:r>
      <w:r>
        <w:rPr>
          <w:rFonts w:eastAsia="Malgun Gothic"/>
          <w:iCs/>
          <w:color w:val="000000"/>
          <w:lang w:eastAsia="zh-CN"/>
        </w:rPr>
        <w:t xml:space="preserve">, </w:t>
      </w:r>
      <w:r>
        <w:rPr>
          <w:rFonts w:eastAsia="Malgun Gothic"/>
          <w:i/>
          <w:iCs/>
          <w:color w:val="000000"/>
          <w:lang w:eastAsia="zh-CN"/>
        </w:rPr>
        <w:t>pathlossReferenceRS</w:t>
      </w:r>
      <w:r>
        <w:rPr>
          <w:rFonts w:eastAsia="Malgun Gothic"/>
          <w:iCs/>
          <w:color w:val="000000"/>
          <w:lang w:eastAsia="zh-CN"/>
        </w:rPr>
        <w:t xml:space="preserve">, and </w:t>
      </w:r>
      <w:r>
        <w:rPr>
          <w:rFonts w:eastAsia="Malgun Gothic"/>
          <w:i/>
          <w:iCs/>
          <w:color w:val="000000"/>
          <w:lang w:eastAsia="zh-CN"/>
        </w:rPr>
        <w:t xml:space="preserve">srs-PowerControlAdjustmentStates </w:t>
      </w:r>
      <w:r>
        <w:rPr>
          <w:rFonts w:eastAsia="Malgun Gothic"/>
          <w:iCs/>
          <w:color w:val="000000"/>
          <w:lang w:eastAsia="zh-CN"/>
        </w:rPr>
        <w:t>in</w:t>
      </w:r>
      <w:r>
        <w:rPr>
          <w:rFonts w:eastAsia="Malgun Gothic"/>
          <w:i/>
          <w:iCs/>
          <w:color w:val="000000"/>
          <w:lang w:eastAsia="zh-CN"/>
        </w:rPr>
        <w:t xml:space="preserve"> SRS-ResourceSet</w:t>
      </w:r>
      <w:r>
        <w:rPr>
          <w:rFonts w:eastAsia="Malgun Gothic"/>
          <w:iCs/>
          <w:color w:val="000000"/>
          <w:lang w:eastAsia="zh-CN"/>
        </w:rPr>
        <w:t xml:space="preserve">. The UE shall expect that the value(s) of the higher layer parameter </w:t>
      </w:r>
      <w:bookmarkStart w:id="0" w:name="_Hlk493885834"/>
      <w:r>
        <w:rPr>
          <w:rFonts w:eastAsia="Malgun Gothic"/>
          <w:i/>
          <w:iCs/>
          <w:color w:val="000000"/>
          <w:lang w:eastAsia="zh-CN"/>
        </w:rPr>
        <w:t>aperiodicSRS-ResourceTrigger</w:t>
      </w:r>
      <w:bookmarkEnd w:id="0"/>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are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Or, </w:t>
      </w:r>
    </w:p>
    <w:p>
      <w:pPr>
        <w:pStyle w:val="B1"/>
        <w:rPr>
          <w:color w:val="000000"/>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1T=1R, or 2T=2R, or 4T=4R, </w:t>
      </w:r>
      <w:r>
        <w:rPr>
          <w:rFonts w:eastAsia="MS Mincho"/>
          <w:iCs/>
          <w:color w:val="000000"/>
          <w:lang w:val="en-US" w:eastAsia="ja-JP"/>
        </w:rPr>
        <w:t>up to two SRS resource sets each with one SRS resource, where the number of SRS ports for each resource is equal to 1, 2, or 4.</w:t>
      </w:r>
    </w:p>
    <w:p>
      <w:pPr>
        <w:rPr>
          <w:color w:val="000000"/>
        </w:rPr>
      </w:pPr>
      <w:r>
        <w:rPr>
          <w:color w:val="000000"/>
        </w:rPr>
        <w:lastRenderedPageBreak/>
        <w:t>The UE is configured with a guard period of Y symbols, in which the UE does not transmit any other signal, in the case the SRS resources of a set are transmitted in the same slot. The guard period is in-between the SRS resources of the set.</w:t>
      </w:r>
    </w:p>
    <w:p>
      <w:pPr>
        <w:rPr>
          <w:iCs/>
          <w:color w:val="000000"/>
          <w:lang w:eastAsia="zh-CN"/>
        </w:rPr>
      </w:pPr>
      <w:r>
        <w:rPr>
          <w:rFonts w:ascii="Times" w:eastAsia="Batang" w:hAnsi="Times"/>
          <w:strike/>
          <w:color w:val="FF0000"/>
          <w:szCs w:val="28"/>
        </w:rPr>
        <w:t>If the indicated UE capability is '</w:t>
      </w:r>
      <w:r>
        <w:rPr>
          <w:strike/>
          <w:color w:val="FF0000"/>
          <w:lang w:eastAsia="zh-CN"/>
        </w:rPr>
        <w:t>t1r4-t2r4</w:t>
      </w:r>
      <w:r>
        <w:rPr>
          <w:rFonts w:ascii="Times" w:eastAsia="Batang" w:hAnsi="Times"/>
          <w:strike/>
          <w:color w:val="FF0000"/>
          <w:szCs w:val="28"/>
        </w:rPr>
        <w:t>', the</w:t>
      </w:r>
      <w:r>
        <w:rPr>
          <w:rFonts w:ascii="Times" w:eastAsia="Batang" w:hAnsi="Times"/>
          <w:color w:val="FF0000"/>
          <w:szCs w:val="28"/>
        </w:rPr>
        <w:t xml:space="preserve"> The</w:t>
      </w:r>
      <w:r>
        <w:rPr>
          <w:rFonts w:ascii="Times" w:eastAsia="Batang" w:hAnsi="Times"/>
          <w:szCs w:val="28"/>
        </w:rPr>
        <w:t xml:space="preserve"> UE shall expect to be configured with the same number of SRS ports</w:t>
      </w:r>
      <w:r>
        <w:rPr>
          <w:rFonts w:ascii="Times" w:eastAsia="Batang" w:hAnsi="Times"/>
          <w:strike/>
          <w:color w:val="FF0000"/>
          <w:szCs w:val="28"/>
        </w:rPr>
        <w:t>, either one or two,</w:t>
      </w:r>
      <w:r>
        <w:rPr>
          <w:rFonts w:ascii="Times" w:eastAsia="Batang" w:hAnsi="Times"/>
          <w:szCs w:val="28"/>
        </w:rPr>
        <w:t xml:space="preserve"> for all SRS resources in the SRS resource set(s) </w:t>
      </w:r>
      <w:r>
        <w:rPr>
          <w:rFonts w:ascii="Times" w:eastAsia="Batang" w:hAnsi="Times"/>
          <w:szCs w:val="28"/>
          <w:highlight w:val="yellow"/>
        </w:rPr>
        <w:t xml:space="preserve">with higher layer parameter </w:t>
      </w:r>
      <w:r>
        <w:rPr>
          <w:rFonts w:ascii="Times" w:eastAsia="Batang" w:hAnsi="Times"/>
          <w:i/>
          <w:szCs w:val="28"/>
          <w:highlight w:val="yellow"/>
        </w:rPr>
        <w:t>usage</w:t>
      </w:r>
      <w:r>
        <w:rPr>
          <w:rFonts w:ascii="Times" w:eastAsia="Batang" w:hAnsi="Times"/>
          <w:szCs w:val="28"/>
          <w:highlight w:val="yellow"/>
        </w:rPr>
        <w:t xml:space="preserve"> set as 'antennaSwitching'</w:t>
      </w:r>
      <w:r>
        <w:rPr>
          <w:rFonts w:ascii="Times" w:eastAsia="Batang" w:hAnsi="Times"/>
          <w:szCs w:val="28"/>
        </w:rPr>
        <w:t>.</w:t>
      </w:r>
    </w:p>
    <w:p>
      <w:pPr>
        <w:jc w:val="both"/>
        <w:rPr>
          <w:iCs/>
          <w:color w:val="000000"/>
          <w:lang w:eastAsia="zh-CN"/>
        </w:rPr>
      </w:pPr>
    </w:p>
    <w:p>
      <w:pPr>
        <w:rPr>
          <w:rFonts w:ascii="Times" w:eastAsia="Batang" w:hAnsi="Times"/>
          <w:szCs w:val="28"/>
        </w:rPr>
      </w:pPr>
      <w:r>
        <w:rPr>
          <w:rFonts w:ascii="Times" w:eastAsia="Batang" w:hAnsi="Times"/>
          <w:strike/>
          <w:color w:val="FF0000"/>
          <w:szCs w:val="28"/>
        </w:rPr>
        <w:t xml:space="preserve">If the indicated UE capability is </w:t>
      </w:r>
      <w:r>
        <w:rPr>
          <w:strike/>
          <w:color w:val="FF0000"/>
          <w:lang w:eastAsia="zh-CN"/>
        </w:rPr>
        <w:t>'t1r2', 't2r4', 't1r4', 't1r4-t2r4'</w:t>
      </w:r>
      <w:r>
        <w:rPr>
          <w:lang w:eastAsia="zh-CN"/>
        </w:rPr>
        <w:t xml:space="preserve"> </w:t>
      </w:r>
      <w:r>
        <w:rPr>
          <w:color w:val="FF0000"/>
          <w:lang w:eastAsia="zh-CN"/>
        </w:rPr>
        <w:t>For 1T2R, 1T4R or 2T4R</w:t>
      </w:r>
      <w:r>
        <w:rPr>
          <w:lang w:eastAsia="zh-CN"/>
        </w:rPr>
        <w:t xml:space="preserve">,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'antennaSwitching' in the same slot. </w:t>
      </w:r>
      <w:r>
        <w:rPr>
          <w:rFonts w:ascii="Times" w:eastAsia="Batang" w:hAnsi="Times"/>
          <w:strike/>
          <w:color w:val="FF0000"/>
          <w:szCs w:val="28"/>
        </w:rPr>
        <w:t>If the indicated UE capability is 't1r1', or 't2r2', or 't4r4'</w:t>
      </w:r>
      <w:r>
        <w:rPr>
          <w:rFonts w:ascii="Times" w:eastAsia="Batang" w:hAnsi="Times"/>
          <w:szCs w:val="28"/>
        </w:rPr>
        <w:t xml:space="preserve"> </w:t>
      </w:r>
      <w:r>
        <w:rPr>
          <w:rFonts w:ascii="Times" w:eastAsia="Batang" w:hAnsi="Times"/>
          <w:color w:val="FF0000"/>
          <w:szCs w:val="28"/>
        </w:rPr>
        <w:t>For 1T=1R, 2T=2R or 4T=4R,</w:t>
      </w:r>
      <w:r>
        <w:rPr>
          <w:rFonts w:ascii="Times" w:eastAsia="Batang" w:hAnsi="Times"/>
          <w:szCs w:val="28"/>
        </w:rPr>
        <w:t xml:space="preserve">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'antennaSwitching' in the same symbol.</w:t>
      </w:r>
    </w:p>
    <w:p>
      <w:pPr>
        <w:jc w:val="both"/>
        <w:rPr>
          <w:iCs/>
          <w:color w:val="000000"/>
          <w:lang w:eastAsia="zh-CN"/>
        </w:rPr>
      </w:pPr>
    </w:p>
    <w:p>
      <w:pPr>
        <w:pStyle w:val="a0"/>
        <w:rPr>
          <w:rFonts w:eastAsia="宋体"/>
          <w:lang w:eastAsia="zh-CN"/>
        </w:rPr>
      </w:pPr>
      <w:r>
        <w:rPr>
          <w:rFonts w:eastAsia="宋体"/>
          <w:lang w:eastAsia="zh-CN"/>
        </w:rPr>
        <w:t>-----------------------------------------------------------   END    -----------------------------------------------------------------</w:t>
      </w:r>
    </w:p>
    <w:p>
      <w:pPr>
        <w:pStyle w:val="a0"/>
        <w:rPr>
          <w:rFonts w:eastAsia="宋体"/>
          <w:lang w:eastAsia="zh-CN"/>
        </w:rPr>
      </w:pPr>
    </w:p>
    <w:p>
      <w:pPr>
        <w:pStyle w:val="bullet1"/>
        <w:rPr>
          <w:rFonts w:ascii="Times New Roman" w:hAnsi="Times New Roman"/>
          <w:sz w:val="20"/>
          <w:szCs w:val="20"/>
        </w:rPr>
      </w:pPr>
      <w:r>
        <w:rPr>
          <w:rFonts w:ascii="Times New Roman" w:hAnsi="Times New Roman"/>
          <w:sz w:val="20"/>
          <w:szCs w:val="20"/>
        </w:rPr>
        <w:t>Support (18 companies)</w:t>
      </w:r>
    </w:p>
    <w:p>
      <w:pPr>
        <w:pStyle w:val="bullet2"/>
        <w:rPr>
          <w:rFonts w:ascii="Times New Roman" w:hAnsi="Times New Roman"/>
          <w:sz w:val="20"/>
          <w:szCs w:val="20"/>
        </w:rPr>
      </w:pPr>
      <w:r>
        <w:rPr>
          <w:rFonts w:ascii="Times New Roman" w:hAnsi="Times New Roman"/>
          <w:sz w:val="20"/>
          <w:szCs w:val="20"/>
        </w:rPr>
        <w:t xml:space="preserve">OPPO, CMCC, ZTE, Nokia, Nokia Shanghai Bell, APT, AT&amp;T, Xiaomi, </w:t>
      </w:r>
      <w:r>
        <w:rPr>
          <w:rFonts w:ascii="Times New Roman" w:hAnsi="Times New Roman"/>
          <w:sz w:val="20"/>
          <w:szCs w:val="20"/>
          <w:lang w:eastAsia="x-none"/>
        </w:rPr>
        <w:t>Spreadtrum Communications, Huawei, HiSilicon,</w:t>
      </w:r>
      <w:r>
        <w:rPr>
          <w:rFonts w:ascii="Times New Roman" w:eastAsia="MS Mincho" w:hAnsi="Times New Roman"/>
          <w:sz w:val="20"/>
          <w:szCs w:val="20"/>
          <w:lang w:val="en-US"/>
        </w:rPr>
        <w:t xml:space="preserve"> Ericsson, Qualcomm, Samsung, Lenovo, MediaTek, China Telecom, Apple, </w:t>
      </w:r>
      <w:bookmarkStart w:id="1" w:name="_GoBack"/>
      <w:bookmarkEnd w:id="1"/>
    </w:p>
    <w:p>
      <w:pPr>
        <w:pStyle w:val="bullet1"/>
        <w:rPr>
          <w:rFonts w:ascii="Times New Roman" w:hAnsi="Times New Roman"/>
          <w:sz w:val="20"/>
          <w:szCs w:val="20"/>
        </w:rPr>
      </w:pPr>
      <w:r>
        <w:rPr>
          <w:rFonts w:ascii="Times New Roman" w:hAnsi="Times New Roman"/>
          <w:sz w:val="20"/>
          <w:szCs w:val="20"/>
        </w:rPr>
        <w:t>Have concern</w:t>
      </w:r>
    </w:p>
    <w:p>
      <w:pPr>
        <w:pStyle w:val="bullet2"/>
        <w:rPr>
          <w:rFonts w:ascii="Times New Roman" w:hAnsi="Times New Roman"/>
          <w:sz w:val="20"/>
          <w:szCs w:val="20"/>
        </w:rPr>
      </w:pPr>
    </w:p>
    <w:p>
      <w:pPr>
        <w:pStyle w:val="a0"/>
        <w:rPr>
          <w:lang w:eastAsia="zh-CN"/>
        </w:rPr>
      </w:pPr>
    </w:p>
    <w:p>
      <w:pPr>
        <w:pStyle w:val="a0"/>
        <w:rPr>
          <w:lang w:eastAsia="zh-CN"/>
        </w:rPr>
      </w:pPr>
      <w:r>
        <w:rPr>
          <w:lang w:eastAsia="zh-CN"/>
        </w:rPr>
        <w:t>Companies’ views are welcome</w:t>
      </w:r>
    </w:p>
    <w:tbl>
      <w:tblPr>
        <w:tblStyle w:val="ac"/>
        <w:tblW w:w="0" w:type="auto"/>
        <w:tblLook w:val="04A0" w:firstRow="1" w:lastRow="0" w:firstColumn="1" w:lastColumn="0" w:noHBand="0" w:noVBand="1"/>
      </w:tblPr>
      <w:tblGrid>
        <w:gridCol w:w="2077"/>
        <w:gridCol w:w="6985"/>
      </w:tblGrid>
      <w:tr>
        <w:tc>
          <w:tcPr>
            <w:tcW w:w="207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Company</w:t>
            </w:r>
          </w:p>
        </w:tc>
        <w:tc>
          <w:tcPr>
            <w:tcW w:w="6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View</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r>
    </w:tbl>
    <w:p>
      <w:pPr>
        <w:pStyle w:val="a0"/>
        <w:rPr>
          <w:lang w:eastAsia="zh-CN"/>
        </w:rPr>
      </w:pPr>
    </w:p>
    <w:p>
      <w:pPr>
        <w:pStyle w:val="a0"/>
        <w:rPr>
          <w:lang w:eastAsia="zh-CN"/>
        </w:rPr>
      </w:pPr>
    </w:p>
    <w:p>
      <w:pPr>
        <w:pStyle w:val="2"/>
        <w:rPr>
          <w:lang w:eastAsia="zh-CN"/>
        </w:rPr>
      </w:pPr>
      <w:r>
        <w:rPr>
          <w:lang w:eastAsia="zh-CN"/>
        </w:rPr>
        <w:t>Detailed solution of Approach 2</w:t>
      </w:r>
    </w:p>
    <w:p>
      <w:pPr>
        <w:pStyle w:val="a0"/>
        <w:spacing w:line="288" w:lineRule="auto"/>
        <w:rPr>
          <w:rFonts w:eastAsia="宋体"/>
          <w:lang w:eastAsia="zh-CN"/>
        </w:rPr>
      </w:pPr>
    </w:p>
    <w:p>
      <w:pPr>
        <w:pStyle w:val="a0"/>
        <w:spacing w:line="288" w:lineRule="auto"/>
        <w:rPr>
          <w:rFonts w:eastAsia="宋体"/>
          <w:lang w:eastAsia="zh-CN"/>
        </w:rPr>
      </w:pPr>
      <w:r>
        <w:rPr>
          <w:rFonts w:eastAsia="宋体"/>
          <w:lang w:eastAsia="zh-CN"/>
        </w:rPr>
        <w:t>[vivo] To clarify our view, we are not against this proposal, our concern is about adding endless list of UE capabilities even the list of proposed new capabilities is not exhaustive yet! Thus our proposal is to introduce 1 Rel-16 related to capability which can solve downgraded feature. It can be clarified in 38214 that for a UE with certain capability gNB can configure reduced number of SRS resources or SRS ports to support downgraded capability. Since UE with higher capability has the hardware in place to support lower capability, thus it is only the matter of gNB configuration of number of SRS resources or number of SRS ports</w:t>
      </w:r>
    </w:p>
    <w:p>
      <w:pPr>
        <w:pStyle w:val="a0"/>
        <w:spacing w:line="288" w:lineRule="auto"/>
        <w:rPr>
          <w:rFonts w:eastAsia="宋体"/>
          <w:lang w:eastAsia="zh-CN"/>
        </w:rPr>
      </w:pPr>
      <w:r>
        <w:rPr>
          <w:rFonts w:eastAsia="宋体"/>
          <w:lang w:eastAsia="zh-CN"/>
        </w:rPr>
        <w:t>Exact TP can be discussed in next meeting.</w:t>
      </w:r>
    </w:p>
    <w:p>
      <w:pPr>
        <w:pStyle w:val="a0"/>
        <w:spacing w:line="288" w:lineRule="auto"/>
        <w:rPr>
          <w:rFonts w:eastAsia="宋体"/>
          <w:lang w:eastAsia="zh-CN"/>
        </w:rPr>
      </w:pPr>
    </w:p>
    <w:p>
      <w:pPr>
        <w:pStyle w:val="a0"/>
        <w:rPr>
          <w:rFonts w:eastAsia="宋体"/>
          <w:lang w:eastAsia="zh-CN"/>
        </w:rPr>
      </w:pPr>
    </w:p>
    <w:p>
      <w:pPr>
        <w:pStyle w:val="bullet1"/>
        <w:rPr>
          <w:rFonts w:ascii="Times New Roman" w:hAnsi="Times New Roman"/>
          <w:sz w:val="20"/>
          <w:szCs w:val="20"/>
        </w:rPr>
      </w:pPr>
      <w:r>
        <w:rPr>
          <w:rFonts w:ascii="Times New Roman" w:hAnsi="Times New Roman"/>
          <w:sz w:val="20"/>
          <w:szCs w:val="20"/>
        </w:rPr>
        <w:t xml:space="preserve">Support </w:t>
      </w:r>
    </w:p>
    <w:p>
      <w:pPr>
        <w:pStyle w:val="bullet2"/>
        <w:rPr>
          <w:rFonts w:ascii="Times New Roman" w:hAnsi="Times New Roman"/>
          <w:sz w:val="20"/>
          <w:szCs w:val="20"/>
        </w:rPr>
      </w:pPr>
    </w:p>
    <w:p>
      <w:pPr>
        <w:pStyle w:val="bullet1"/>
        <w:rPr>
          <w:rFonts w:ascii="Times New Roman" w:hAnsi="Times New Roman"/>
          <w:sz w:val="20"/>
          <w:szCs w:val="20"/>
        </w:rPr>
      </w:pPr>
      <w:r>
        <w:rPr>
          <w:rFonts w:ascii="Times New Roman" w:hAnsi="Times New Roman"/>
          <w:sz w:val="20"/>
          <w:szCs w:val="20"/>
        </w:rPr>
        <w:t>Have concern</w:t>
      </w:r>
    </w:p>
    <w:p>
      <w:pPr>
        <w:pStyle w:val="bullet2"/>
        <w:rPr>
          <w:rFonts w:ascii="Times New Roman" w:hAnsi="Times New Roman"/>
          <w:sz w:val="20"/>
          <w:szCs w:val="20"/>
        </w:rPr>
      </w:pPr>
    </w:p>
    <w:p>
      <w:pPr>
        <w:pStyle w:val="a0"/>
        <w:rPr>
          <w:lang w:eastAsia="zh-CN"/>
        </w:rPr>
      </w:pPr>
    </w:p>
    <w:p>
      <w:pPr>
        <w:pStyle w:val="a0"/>
        <w:spacing w:line="288" w:lineRule="auto"/>
        <w:rPr>
          <w:rFonts w:eastAsia="宋体"/>
          <w:lang w:eastAsia="zh-CN"/>
        </w:rPr>
      </w:pPr>
    </w:p>
    <w:p>
      <w:pPr>
        <w:pStyle w:val="a0"/>
        <w:spacing w:line="288" w:lineRule="auto"/>
        <w:rPr>
          <w:rFonts w:eastAsia="宋体"/>
          <w:lang w:eastAsia="zh-CN"/>
        </w:rPr>
      </w:pPr>
    </w:p>
    <w:p>
      <w:pPr>
        <w:pStyle w:val="a0"/>
        <w:rPr>
          <w:lang w:eastAsia="zh-CN"/>
        </w:rPr>
      </w:pPr>
      <w:r>
        <w:rPr>
          <w:lang w:eastAsia="zh-CN"/>
        </w:rPr>
        <w:t>Companies’ views are welcome</w:t>
      </w:r>
    </w:p>
    <w:tbl>
      <w:tblPr>
        <w:tblStyle w:val="ac"/>
        <w:tblW w:w="0" w:type="auto"/>
        <w:tblLook w:val="04A0" w:firstRow="1" w:lastRow="0" w:firstColumn="1" w:lastColumn="0" w:noHBand="0" w:noVBand="1"/>
      </w:tblPr>
      <w:tblGrid>
        <w:gridCol w:w="2077"/>
        <w:gridCol w:w="6985"/>
      </w:tblGrid>
      <w:tr>
        <w:tc>
          <w:tcPr>
            <w:tcW w:w="207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lastRenderedPageBreak/>
              <w:t>Company</w:t>
            </w:r>
          </w:p>
        </w:tc>
        <w:tc>
          <w:tcPr>
            <w:tcW w:w="6985"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pPr>
              <w:spacing w:beforeLines="50" w:before="120"/>
              <w:rPr>
                <w:i/>
                <w:kern w:val="2"/>
                <w:lang w:eastAsia="zh-CN"/>
              </w:rPr>
            </w:pPr>
            <w:r>
              <w:rPr>
                <w:i/>
                <w:kern w:val="2"/>
                <w:lang w:eastAsia="zh-CN"/>
              </w:rPr>
              <w:t>View</w:t>
            </w: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Cs/>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kern w:val="2"/>
                <w:lang w:eastAsia="zh-CN"/>
              </w:rPr>
            </w:pPr>
          </w:p>
        </w:tc>
      </w:tr>
      <w:tr>
        <w:tc>
          <w:tcPr>
            <w:tcW w:w="2077"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c>
          <w:tcPr>
            <w:tcW w:w="6985" w:type="dxa"/>
            <w:tcBorders>
              <w:top w:val="single" w:sz="4" w:space="0" w:color="auto"/>
              <w:left w:val="single" w:sz="4" w:space="0" w:color="auto"/>
              <w:bottom w:val="single" w:sz="4" w:space="0" w:color="auto"/>
              <w:right w:val="single" w:sz="4" w:space="0" w:color="auto"/>
            </w:tcBorders>
          </w:tcPr>
          <w:p>
            <w:pPr>
              <w:spacing w:beforeLines="50" w:before="120"/>
              <w:rPr>
                <w:i/>
                <w:kern w:val="2"/>
                <w:lang w:eastAsia="zh-CN"/>
              </w:rPr>
            </w:pPr>
          </w:p>
        </w:tc>
      </w:tr>
    </w:tbl>
    <w:p>
      <w:pPr>
        <w:pStyle w:val="a0"/>
        <w:rPr>
          <w:lang w:eastAsia="zh-CN"/>
        </w:rPr>
      </w:pPr>
    </w:p>
    <w:p>
      <w:pPr>
        <w:pStyle w:val="a0"/>
        <w:rPr>
          <w:lang w:eastAsia="zh-CN"/>
        </w:rPr>
      </w:pPr>
    </w:p>
    <w:p>
      <w:pPr>
        <w:pStyle w:val="a0"/>
        <w:rPr>
          <w:lang w:eastAsia="zh-CN"/>
        </w:rPr>
      </w:pPr>
    </w:p>
    <w:p>
      <w:pPr>
        <w:pStyle w:val="1"/>
      </w:pPr>
      <w:r>
        <w:t>References</w:t>
      </w:r>
    </w:p>
    <w:p>
      <w:pPr>
        <w:numPr>
          <w:ilvl w:val="0"/>
          <w:numId w:val="2"/>
        </w:numPr>
        <w:jc w:val="both"/>
        <w:rPr>
          <w:szCs w:val="20"/>
          <w:lang w:val="it-IT"/>
        </w:rPr>
      </w:pPr>
      <w:r>
        <w:t>R1-1911456, Enable gNB to configure downgrading configuration of SRS for antenna switching, OPPO</w:t>
      </w:r>
    </w:p>
    <w:sectPr>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228"/>
    <w:multiLevelType w:val="hybridMultilevel"/>
    <w:tmpl w:val="BA0AC64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82C9A"/>
    <w:multiLevelType w:val="hybridMultilevel"/>
    <w:tmpl w:val="B44E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A5AC5"/>
    <w:multiLevelType w:val="hybridMultilevel"/>
    <w:tmpl w:val="6AB63728"/>
    <w:lvl w:ilvl="0" w:tplc="44224E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nsid w:val="4C32614D"/>
    <w:multiLevelType w:val="hybridMultilevel"/>
    <w:tmpl w:val="1C02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B92EAB"/>
    <w:multiLevelType w:val="hybridMultilevel"/>
    <w:tmpl w:val="17567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76C8D"/>
    <w:multiLevelType w:val="hybridMultilevel"/>
    <w:tmpl w:val="64AA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082A41"/>
    <w:multiLevelType w:val="hybridMultilevel"/>
    <w:tmpl w:val="50648B12"/>
    <w:lvl w:ilvl="0" w:tplc="44224E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E4803"/>
    <w:multiLevelType w:val="hybridMultilevel"/>
    <w:tmpl w:val="9C0C022E"/>
    <w:lvl w:ilvl="0" w:tplc="FAB8F0CE">
      <w:start w:val="1"/>
      <w:numFmt w:val="bullet"/>
      <w:lvlText w:val="•"/>
      <w:lvlJc w:val="left"/>
      <w:pPr>
        <w:tabs>
          <w:tab w:val="num" w:pos="720"/>
        </w:tabs>
        <w:ind w:left="720" w:hanging="360"/>
      </w:pPr>
      <w:rPr>
        <w:rFonts w:ascii="Arial" w:hAnsi="Arial" w:hint="default"/>
      </w:rPr>
    </w:lvl>
    <w:lvl w:ilvl="1" w:tplc="B07E752E">
      <w:start w:val="1"/>
      <w:numFmt w:val="bullet"/>
      <w:lvlText w:val="•"/>
      <w:lvlJc w:val="left"/>
      <w:pPr>
        <w:tabs>
          <w:tab w:val="num" w:pos="1440"/>
        </w:tabs>
        <w:ind w:left="1440" w:hanging="360"/>
      </w:pPr>
      <w:rPr>
        <w:rFonts w:ascii="Arial" w:hAnsi="Arial" w:hint="default"/>
      </w:rPr>
    </w:lvl>
    <w:lvl w:ilvl="2" w:tplc="F23EDF14" w:tentative="1">
      <w:start w:val="1"/>
      <w:numFmt w:val="bullet"/>
      <w:lvlText w:val="•"/>
      <w:lvlJc w:val="left"/>
      <w:pPr>
        <w:tabs>
          <w:tab w:val="num" w:pos="2160"/>
        </w:tabs>
        <w:ind w:left="2160" w:hanging="360"/>
      </w:pPr>
      <w:rPr>
        <w:rFonts w:ascii="Arial" w:hAnsi="Arial" w:hint="default"/>
      </w:rPr>
    </w:lvl>
    <w:lvl w:ilvl="3" w:tplc="930A60CC" w:tentative="1">
      <w:start w:val="1"/>
      <w:numFmt w:val="bullet"/>
      <w:lvlText w:val="•"/>
      <w:lvlJc w:val="left"/>
      <w:pPr>
        <w:tabs>
          <w:tab w:val="num" w:pos="2880"/>
        </w:tabs>
        <w:ind w:left="2880" w:hanging="360"/>
      </w:pPr>
      <w:rPr>
        <w:rFonts w:ascii="Arial" w:hAnsi="Arial" w:hint="default"/>
      </w:rPr>
    </w:lvl>
    <w:lvl w:ilvl="4" w:tplc="DC66E368" w:tentative="1">
      <w:start w:val="1"/>
      <w:numFmt w:val="bullet"/>
      <w:lvlText w:val="•"/>
      <w:lvlJc w:val="left"/>
      <w:pPr>
        <w:tabs>
          <w:tab w:val="num" w:pos="3600"/>
        </w:tabs>
        <w:ind w:left="3600" w:hanging="360"/>
      </w:pPr>
      <w:rPr>
        <w:rFonts w:ascii="Arial" w:hAnsi="Arial" w:hint="default"/>
      </w:rPr>
    </w:lvl>
    <w:lvl w:ilvl="5" w:tplc="D368ED04" w:tentative="1">
      <w:start w:val="1"/>
      <w:numFmt w:val="bullet"/>
      <w:lvlText w:val="•"/>
      <w:lvlJc w:val="left"/>
      <w:pPr>
        <w:tabs>
          <w:tab w:val="num" w:pos="4320"/>
        </w:tabs>
        <w:ind w:left="4320" w:hanging="360"/>
      </w:pPr>
      <w:rPr>
        <w:rFonts w:ascii="Arial" w:hAnsi="Arial" w:hint="default"/>
      </w:rPr>
    </w:lvl>
    <w:lvl w:ilvl="6" w:tplc="2FC60A34" w:tentative="1">
      <w:start w:val="1"/>
      <w:numFmt w:val="bullet"/>
      <w:lvlText w:val="•"/>
      <w:lvlJc w:val="left"/>
      <w:pPr>
        <w:tabs>
          <w:tab w:val="num" w:pos="5040"/>
        </w:tabs>
        <w:ind w:left="5040" w:hanging="360"/>
      </w:pPr>
      <w:rPr>
        <w:rFonts w:ascii="Arial" w:hAnsi="Arial" w:hint="default"/>
      </w:rPr>
    </w:lvl>
    <w:lvl w:ilvl="7" w:tplc="BCF0CC48" w:tentative="1">
      <w:start w:val="1"/>
      <w:numFmt w:val="bullet"/>
      <w:lvlText w:val="•"/>
      <w:lvlJc w:val="left"/>
      <w:pPr>
        <w:tabs>
          <w:tab w:val="num" w:pos="5760"/>
        </w:tabs>
        <w:ind w:left="5760" w:hanging="360"/>
      </w:pPr>
      <w:rPr>
        <w:rFonts w:ascii="Arial" w:hAnsi="Arial" w:hint="default"/>
      </w:rPr>
    </w:lvl>
    <w:lvl w:ilvl="8" w:tplc="5CBADAFC" w:tentative="1">
      <w:start w:val="1"/>
      <w:numFmt w:val="bullet"/>
      <w:lvlText w:val="•"/>
      <w:lvlJc w:val="left"/>
      <w:pPr>
        <w:tabs>
          <w:tab w:val="num" w:pos="6480"/>
        </w:tabs>
        <w:ind w:left="6480" w:hanging="360"/>
      </w:pPr>
      <w:rPr>
        <w:rFonts w:ascii="Arial" w:hAnsi="Arial" w:hint="default"/>
      </w:rPr>
    </w:lvl>
  </w:abstractNum>
  <w:abstractNum w:abstractNumId="26">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12"/>
  </w:num>
  <w:num w:numId="6">
    <w:abstractNumId w:val="13"/>
  </w:num>
  <w:num w:numId="7">
    <w:abstractNumId w:val="8"/>
  </w:num>
  <w:num w:numId="8">
    <w:abstractNumId w:val="4"/>
  </w:num>
  <w:num w:numId="9">
    <w:abstractNumId w:val="1"/>
  </w:num>
  <w:num w:numId="10">
    <w:abstractNumId w:val="22"/>
  </w:num>
  <w:num w:numId="11">
    <w:abstractNumId w:val="15"/>
  </w:num>
  <w:num w:numId="12">
    <w:abstractNumId w:val="17"/>
  </w:num>
  <w:num w:numId="13">
    <w:abstractNumId w:val="9"/>
  </w:num>
  <w:num w:numId="14">
    <w:abstractNumId w:val="3"/>
  </w:num>
  <w:num w:numId="15">
    <w:abstractNumId w:val="6"/>
  </w:num>
  <w:num w:numId="16">
    <w:abstractNumId w:val="7"/>
  </w:num>
  <w:num w:numId="17">
    <w:abstractNumId w:val="16"/>
  </w:num>
  <w:num w:numId="18">
    <w:abstractNumId w:val="5"/>
  </w:num>
  <w:num w:numId="19">
    <w:abstractNumId w:val="20"/>
  </w:num>
  <w:num w:numId="20">
    <w:abstractNumId w:val="26"/>
  </w:num>
  <w:num w:numId="21">
    <w:abstractNumId w:val="18"/>
  </w:num>
  <w:num w:numId="22">
    <w:abstractNumId w:val="10"/>
  </w:num>
  <w:num w:numId="23">
    <w:abstractNumId w:val="19"/>
  </w:num>
  <w:num w:numId="24">
    <w:abstractNumId w:val="25"/>
  </w:num>
  <w:num w:numId="25">
    <w:abstractNumId w:val="21"/>
  </w:num>
  <w:num w:numId="26">
    <w:abstractNumId w:val="2"/>
  </w:num>
  <w:num w:numId="27">
    <w:abstractNumId w:val="11"/>
  </w:num>
  <w:num w:numId="2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869C2B-02E3-467B-B1F1-26EFED372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Pr>
      <w:rFonts w:ascii="Arial" w:eastAsia="MS Mincho" w:hAnsi="Arial" w:cs="Times New Roman"/>
      <w:b/>
      <w:sz w:val="20"/>
      <w:szCs w:val="24"/>
      <w:lang w:val="en-US"/>
    </w:rPr>
  </w:style>
  <w:style w:type="paragraph" w:styleId="a5">
    <w:name w:val="Balloon Text"/>
    <w:basedOn w:val="a"/>
    <w:link w:val="Char1"/>
    <w:uiPriority w:val="99"/>
    <w:semiHidden/>
    <w:unhideWhenUsed/>
    <w:rPr>
      <w:rFonts w:ascii="Tahoma" w:hAnsi="Tahoma" w:cs="Tahoma"/>
      <w:sz w:val="16"/>
      <w:szCs w:val="16"/>
    </w:rPr>
  </w:style>
  <w:style w:type="character" w:customStyle="1" w:styleId="Char1">
    <w:name w:val="批注框文本 Char"/>
    <w:link w:val="a5"/>
    <w:uiPriority w:val="99"/>
    <w:semiHidden/>
    <w:rPr>
      <w:rFonts w:ascii="Tahoma" w:eastAsia="Times New Roman" w:hAnsi="Tahoma" w:cs="Tahoma"/>
      <w:sz w:val="16"/>
      <w:szCs w:val="16"/>
      <w:lang w:val="en-US"/>
    </w:rPr>
  </w:style>
  <w:style w:type="paragraph" w:styleId="a6">
    <w:name w:val="caption"/>
    <w:basedOn w:val="a"/>
    <w:next w:val="a"/>
    <w:uiPriority w:val="35"/>
    <w:unhideWhenUsed/>
    <w:qFormat/>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2"/>
    <w:uiPriority w:val="34"/>
    <w:qFormat/>
    <w:pPr>
      <w:ind w:left="720"/>
      <w:contextualSpacing/>
    </w:pPr>
  </w:style>
  <w:style w:type="character" w:styleId="a8">
    <w:name w:val="annotation reference"/>
    <w:uiPriority w:val="99"/>
    <w:unhideWhenUsed/>
    <w:rPr>
      <w:sz w:val="16"/>
      <w:szCs w:val="16"/>
    </w:rPr>
  </w:style>
  <w:style w:type="paragraph" w:styleId="a9">
    <w:name w:val="annotation text"/>
    <w:basedOn w:val="a"/>
    <w:link w:val="Char3"/>
    <w:uiPriority w:val="99"/>
    <w:unhideWhenUsed/>
    <w:rPr>
      <w:szCs w:val="20"/>
    </w:rPr>
  </w:style>
  <w:style w:type="character" w:customStyle="1" w:styleId="Char3">
    <w:name w:val="批注文字 Char"/>
    <w:link w:val="a9"/>
    <w:uiPriority w:val="99"/>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Pr>
      <w:b/>
      <w:bCs/>
    </w:rPr>
  </w:style>
  <w:style w:type="character" w:customStyle="1" w:styleId="Char4">
    <w:name w:val="批注主题 Char"/>
    <w:link w:val="aa"/>
    <w:uiPriority w:val="99"/>
    <w:semiHidden/>
    <w:rPr>
      <w:rFonts w:ascii="Times New Roman" w:eastAsia="Times New Roman" w:hAnsi="Times New Roman" w:cs="Times New Roman"/>
      <w:b/>
      <w:bCs/>
      <w:sz w:val="20"/>
      <w:szCs w:val="20"/>
      <w:lang w:val="en-US"/>
    </w:rPr>
  </w:style>
  <w:style w:type="paragraph" w:styleId="ab">
    <w:name w:val="footer"/>
    <w:basedOn w:val="a"/>
    <w:link w:val="Char5"/>
    <w:uiPriority w:val="99"/>
    <w:unhideWhenUsed/>
    <w:pPr>
      <w:tabs>
        <w:tab w:val="center" w:pos="4536"/>
        <w:tab w:val="right" w:pos="9072"/>
      </w:tabs>
    </w:pPr>
  </w:style>
  <w:style w:type="character" w:customStyle="1" w:styleId="Char5">
    <w:name w:val="页脚 Char"/>
    <w:link w:val="ab"/>
    <w:uiPriority w:val="99"/>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link w:val="a7"/>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c">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styleId="ad">
    <w:name w:val="Normal (Web)"/>
    <w:basedOn w:val="a"/>
    <w:uiPriority w:val="99"/>
    <w:unhideWhenUsed/>
    <w:pPr>
      <w:spacing w:before="100" w:beforeAutospacing="1" w:after="100" w:afterAutospacing="1"/>
    </w:pPr>
    <w:rPr>
      <w:rFonts w:eastAsia="宋体"/>
      <w:sz w:val="24"/>
      <w:lang w:eastAsia="zh-CN"/>
    </w:rPr>
  </w:style>
  <w:style w:type="character" w:styleId="ae">
    <w:name w:val="Placeholder Text"/>
    <w:basedOn w:val="a1"/>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52586974">
      <w:bodyDiv w:val="1"/>
      <w:marLeft w:val="0"/>
      <w:marRight w:val="0"/>
      <w:marTop w:val="0"/>
      <w:marBottom w:val="0"/>
      <w:divBdr>
        <w:top w:val="none" w:sz="0" w:space="0" w:color="auto"/>
        <w:left w:val="none" w:sz="0" w:space="0" w:color="auto"/>
        <w:bottom w:val="none" w:sz="0" w:space="0" w:color="auto"/>
        <w:right w:val="none" w:sz="0" w:space="0" w:color="auto"/>
      </w:divBdr>
      <w:divsChild>
        <w:div w:id="46343421">
          <w:marLeft w:val="1080"/>
          <w:marRight w:val="0"/>
          <w:marTop w:val="100"/>
          <w:marBottom w:val="0"/>
          <w:divBdr>
            <w:top w:val="none" w:sz="0" w:space="0" w:color="auto"/>
            <w:left w:val="none" w:sz="0" w:space="0" w:color="auto"/>
            <w:bottom w:val="none" w:sz="0" w:space="0" w:color="auto"/>
            <w:right w:val="none" w:sz="0" w:space="0" w:color="auto"/>
          </w:divBdr>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18733075">
      <w:bodyDiv w:val="1"/>
      <w:marLeft w:val="0"/>
      <w:marRight w:val="0"/>
      <w:marTop w:val="0"/>
      <w:marBottom w:val="0"/>
      <w:divBdr>
        <w:top w:val="none" w:sz="0" w:space="0" w:color="auto"/>
        <w:left w:val="none" w:sz="0" w:space="0" w:color="auto"/>
        <w:bottom w:val="none" w:sz="0" w:space="0" w:color="auto"/>
        <w:right w:val="none" w:sz="0" w:space="0" w:color="auto"/>
      </w:divBdr>
    </w:div>
    <w:div w:id="1526479502">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55788-3697-4888-BC78-4AF3EECEB956}">
  <ds:schemaRefs>
    <ds:schemaRef ds:uri="http://schemas.openxmlformats.org/officeDocument/2006/bibliography"/>
  </ds:schemaRefs>
</ds:datastoreItem>
</file>

<file path=customXml/itemProps2.xml><?xml version="1.0" encoding="utf-8"?>
<ds:datastoreItem xmlns:ds="http://schemas.openxmlformats.org/officeDocument/2006/customXml" ds:itemID="{C4B87BAC-39BF-45B5-AE87-4D8EBA4E2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80168151</cp:lastModifiedBy>
  <cp:revision>7</cp:revision>
  <dcterms:created xsi:type="dcterms:W3CDTF">2019-10-17T23:10:00Z</dcterms:created>
  <dcterms:modified xsi:type="dcterms:W3CDTF">2019-10-18T00:43:00Z</dcterms:modified>
</cp:coreProperties>
</file>