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746C8" w14:textId="1C3C4638"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223E89">
        <w:rPr>
          <w:b/>
          <w:sz w:val="24"/>
          <w:szCs w:val="24"/>
          <w:lang w:eastAsia="ko-KR"/>
        </w:rPr>
        <w:t>8</w:t>
      </w:r>
      <w:r w:rsidR="00E357A3">
        <w:rPr>
          <w:b/>
          <w:sz w:val="24"/>
          <w:szCs w:val="24"/>
          <w:lang w:eastAsia="ko-KR"/>
        </w:rPr>
        <w:t>b</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A27DE4" w:rsidRPr="00A27DE4">
        <w:rPr>
          <w:b/>
          <w:sz w:val="24"/>
          <w:szCs w:val="24"/>
          <w:lang w:eastAsia="ko-KR"/>
        </w:rPr>
        <w:t>R1-1910480</w:t>
      </w:r>
    </w:p>
    <w:bookmarkEnd w:id="0"/>
    <w:bookmarkEnd w:id="1"/>
    <w:p w14:paraId="238312DE" w14:textId="220C114A" w:rsidR="002B579B" w:rsidRPr="002B579B" w:rsidRDefault="00E357A3"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Chongqing</w:t>
      </w:r>
      <w:r w:rsidR="005D034E" w:rsidRPr="005D034E">
        <w:rPr>
          <w:rFonts w:ascii="Arial" w:eastAsia="Times New Roman" w:hAnsi="Arial"/>
          <w:b/>
          <w:noProof/>
          <w:color w:val="auto"/>
          <w:szCs w:val="20"/>
        </w:rPr>
        <w:t xml:space="preserve">, </w:t>
      </w:r>
      <w:r>
        <w:rPr>
          <w:rFonts w:ascii="Arial" w:eastAsia="Times New Roman" w:hAnsi="Arial"/>
          <w:b/>
          <w:noProof/>
          <w:color w:val="auto"/>
          <w:szCs w:val="20"/>
        </w:rPr>
        <w:t>China</w:t>
      </w:r>
      <w:r w:rsidR="005D034E" w:rsidRPr="005D034E">
        <w:rPr>
          <w:rFonts w:ascii="Arial" w:eastAsia="Times New Roman" w:hAnsi="Arial"/>
          <w:b/>
          <w:noProof/>
          <w:color w:val="auto"/>
          <w:szCs w:val="20"/>
        </w:rPr>
        <w:t xml:space="preserve">, </w:t>
      </w:r>
      <w:r>
        <w:rPr>
          <w:rFonts w:ascii="Arial" w:eastAsia="Times New Roman" w:hAnsi="Arial"/>
          <w:b/>
          <w:noProof/>
          <w:color w:val="auto"/>
          <w:szCs w:val="20"/>
        </w:rPr>
        <w:t>October</w:t>
      </w:r>
      <w:r w:rsidR="005D034E" w:rsidRPr="005D034E">
        <w:rPr>
          <w:rFonts w:ascii="Arial" w:eastAsia="Times New Roman" w:hAnsi="Arial"/>
          <w:b/>
          <w:noProof/>
          <w:color w:val="auto"/>
          <w:szCs w:val="20"/>
        </w:rPr>
        <w:t xml:space="preserve"> </w:t>
      </w:r>
      <w:r>
        <w:rPr>
          <w:rFonts w:ascii="Arial" w:eastAsia="Times New Roman" w:hAnsi="Arial"/>
          <w:b/>
          <w:noProof/>
          <w:color w:val="auto"/>
          <w:szCs w:val="20"/>
        </w:rPr>
        <w:t>14</w:t>
      </w:r>
      <w:r w:rsidR="005D034E" w:rsidRPr="005D034E">
        <w:rPr>
          <w:rFonts w:ascii="Arial" w:eastAsia="Times New Roman" w:hAnsi="Arial"/>
          <w:b/>
          <w:noProof/>
          <w:color w:val="auto"/>
          <w:szCs w:val="20"/>
          <w:vertAlign w:val="superscript"/>
        </w:rPr>
        <w:t>th</w:t>
      </w:r>
      <w:r w:rsidR="005D034E" w:rsidRPr="005D034E">
        <w:rPr>
          <w:rFonts w:ascii="Arial" w:eastAsia="Times New Roman" w:hAnsi="Arial"/>
          <w:b/>
          <w:noProof/>
          <w:color w:val="auto"/>
          <w:szCs w:val="20"/>
        </w:rPr>
        <w:t xml:space="preserve"> – </w:t>
      </w:r>
      <w:r>
        <w:rPr>
          <w:rFonts w:ascii="Arial" w:eastAsia="Times New Roman" w:hAnsi="Arial"/>
          <w:b/>
          <w:noProof/>
          <w:color w:val="auto"/>
          <w:szCs w:val="20"/>
        </w:rPr>
        <w:t>2</w:t>
      </w:r>
      <w:r w:rsidR="00273B2C">
        <w:rPr>
          <w:rFonts w:ascii="Arial" w:eastAsia="Times New Roman" w:hAnsi="Arial"/>
          <w:b/>
          <w:noProof/>
          <w:color w:val="auto"/>
          <w:szCs w:val="20"/>
        </w:rPr>
        <w:t>0</w:t>
      </w:r>
      <w:r w:rsidR="005D034E" w:rsidRPr="005D034E">
        <w:rPr>
          <w:rFonts w:ascii="Arial" w:eastAsia="Times New Roman" w:hAnsi="Arial"/>
          <w:b/>
          <w:noProof/>
          <w:color w:val="auto"/>
          <w:szCs w:val="20"/>
          <w:vertAlign w:val="superscript"/>
        </w:rPr>
        <w:t>th</w:t>
      </w:r>
      <w:r w:rsidR="005D034E" w:rsidRPr="005D034E">
        <w:rPr>
          <w:rFonts w:ascii="Arial" w:eastAsia="Times New Roman" w:hAnsi="Arial"/>
          <w:b/>
          <w:noProof/>
          <w:color w:val="auto"/>
          <w:szCs w:val="20"/>
        </w:rPr>
        <w:t>, 2019</w:t>
      </w:r>
    </w:p>
    <w:p w14:paraId="76778891" w14:textId="2AA5FBB3"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A07578">
        <w:rPr>
          <w:rFonts w:ascii="Arial" w:hAnsi="Arial"/>
          <w:lang w:eastAsia="ko-KR"/>
        </w:rPr>
        <w:t>2</w:t>
      </w:r>
    </w:p>
    <w:p w14:paraId="62BF17AD"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57FC26C8" w14:textId="3784BF27"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A0311A">
        <w:rPr>
          <w:rFonts w:ascii="Arial" w:hAnsi="Arial"/>
          <w:lang w:eastAsia="ko-KR"/>
        </w:rPr>
        <w:t xml:space="preserve">Physical layer control procedures </w:t>
      </w:r>
      <w:r w:rsidR="009329B0">
        <w:rPr>
          <w:rFonts w:ascii="Arial" w:hAnsi="Arial"/>
          <w:lang w:eastAsia="ko-KR"/>
        </w:rPr>
        <w:t>in</w:t>
      </w:r>
      <w:r w:rsidR="00A0311A">
        <w:rPr>
          <w:rFonts w:ascii="Arial" w:hAnsi="Arial"/>
          <w:lang w:eastAsia="ko-KR"/>
        </w:rPr>
        <w:t xml:space="preserve"> NTN</w:t>
      </w:r>
    </w:p>
    <w:p w14:paraId="7F68A5D0"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6CAE10A0" w14:textId="77777777" w:rsidR="0058518F" w:rsidRDefault="0058518F" w:rsidP="00494764">
      <w:pPr>
        <w:pStyle w:val="BodyText"/>
        <w:pBdr>
          <w:bottom w:val="single" w:sz="12" w:space="1" w:color="auto"/>
        </w:pBdr>
        <w:rPr>
          <w:rFonts w:eastAsia="SimSun"/>
          <w:color w:val="auto"/>
          <w:lang w:val="en-US" w:eastAsia="zh-CN"/>
        </w:rPr>
      </w:pPr>
    </w:p>
    <w:p w14:paraId="6CC0B1E6"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3775B46C"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3997746B" w14:textId="77777777" w:rsidR="001C0451" w:rsidRPr="001C0451" w:rsidRDefault="001C0451" w:rsidP="00A0311A">
      <w:pPr>
        <w:spacing w:after="120"/>
        <w:jc w:val="both"/>
        <w:rPr>
          <w:rFonts w:eastAsia="PMingLiU"/>
          <w:b/>
          <w:i/>
          <w:sz w:val="22"/>
          <w:szCs w:val="22"/>
          <w:lang w:eastAsia="zh-TW"/>
        </w:rPr>
      </w:pPr>
      <w:r w:rsidRPr="001C0451">
        <w:rPr>
          <w:rFonts w:eastAsia="PMingLiU"/>
          <w:b/>
          <w:i/>
          <w:sz w:val="22"/>
          <w:szCs w:val="22"/>
          <w:lang w:eastAsia="zh-TW"/>
        </w:rPr>
        <w:t>Physical layer</w:t>
      </w:r>
    </w:p>
    <w:p w14:paraId="0259F6E8" w14:textId="77777777" w:rsidR="001C0451" w:rsidRPr="001C0451" w:rsidRDefault="001C0451" w:rsidP="00A0311A">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5061C113"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138E8D8"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0F498961" w14:textId="77777777" w:rsidR="001C0451" w:rsidRPr="001C0451" w:rsidRDefault="001C0451" w:rsidP="00A0311A">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7F7DAAAB" w14:textId="77777777" w:rsidR="001C0451" w:rsidRPr="001C0451" w:rsidRDefault="001C0451" w:rsidP="00A0311A">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20703D4F" w14:textId="077B7F7C" w:rsidR="00273B2C" w:rsidRDefault="00273B2C" w:rsidP="006231E2">
      <w:pPr>
        <w:pStyle w:val="BodyText"/>
        <w:rPr>
          <w:rFonts w:eastAsia="SimSun"/>
          <w:color w:val="auto"/>
          <w:sz w:val="22"/>
          <w:szCs w:val="22"/>
          <w:lang w:val="en-US" w:eastAsia="zh-CN"/>
        </w:rPr>
      </w:pPr>
      <w:r>
        <w:rPr>
          <w:rFonts w:eastAsia="SimSun"/>
          <w:color w:val="auto"/>
          <w:sz w:val="22"/>
          <w:szCs w:val="22"/>
          <w:lang w:val="en-US" w:eastAsia="zh-CN"/>
        </w:rPr>
        <w:t>The following agreements were made in RAN1#97 [2]</w:t>
      </w:r>
      <w:r w:rsidR="00F67C14">
        <w:rPr>
          <w:rFonts w:eastAsia="SimSun"/>
          <w:color w:val="auto"/>
          <w:sz w:val="22"/>
          <w:szCs w:val="22"/>
          <w:lang w:val="en-US" w:eastAsia="zh-CN"/>
        </w:rPr>
        <w:t xml:space="preserve"> and RAN1#98 [3]</w:t>
      </w:r>
      <w:r>
        <w:rPr>
          <w:rFonts w:eastAsia="SimSun"/>
          <w:color w:val="auto"/>
          <w:sz w:val="22"/>
          <w:szCs w:val="22"/>
          <w:lang w:val="en-US" w:eastAsia="zh-CN"/>
        </w:rPr>
        <w:t>.</w:t>
      </w:r>
    </w:p>
    <w:p w14:paraId="41DB513D" w14:textId="77777777" w:rsidR="00273B2C" w:rsidRPr="00273B2C" w:rsidRDefault="00273B2C" w:rsidP="00273B2C">
      <w:pPr>
        <w:rPr>
          <w:sz w:val="22"/>
          <w:szCs w:val="22"/>
        </w:rPr>
      </w:pPr>
      <w:r w:rsidRPr="00273B2C">
        <w:rPr>
          <w:sz w:val="22"/>
          <w:szCs w:val="22"/>
          <w:highlight w:val="green"/>
        </w:rPr>
        <w:t>Agreement:</w:t>
      </w:r>
    </w:p>
    <w:p w14:paraId="15C869BA" w14:textId="77777777" w:rsidR="00273B2C" w:rsidRPr="00273B2C" w:rsidRDefault="00273B2C" w:rsidP="00273B2C">
      <w:pPr>
        <w:rPr>
          <w:sz w:val="22"/>
          <w:szCs w:val="22"/>
        </w:rPr>
      </w:pPr>
      <w:r w:rsidRPr="00273B2C">
        <w:rPr>
          <w:sz w:val="22"/>
          <w:szCs w:val="22"/>
        </w:rPr>
        <w:t xml:space="preserve">The need and the applicable scenarios for potential enhancements (with respect to the power control schemes in NR Rel-15) for both open-loop and closed-loop power control for NTN are to be studied.  </w:t>
      </w:r>
    </w:p>
    <w:p w14:paraId="448CD2DF" w14:textId="77777777" w:rsidR="00273B2C" w:rsidRPr="00273B2C" w:rsidRDefault="00273B2C" w:rsidP="00273B2C">
      <w:pPr>
        <w:rPr>
          <w:sz w:val="22"/>
          <w:szCs w:val="22"/>
        </w:rPr>
      </w:pPr>
    </w:p>
    <w:p w14:paraId="698287BB" w14:textId="77777777" w:rsidR="00273B2C" w:rsidRPr="00273B2C" w:rsidRDefault="00273B2C" w:rsidP="00273B2C">
      <w:pPr>
        <w:rPr>
          <w:sz w:val="22"/>
          <w:szCs w:val="22"/>
        </w:rPr>
      </w:pPr>
      <w:r w:rsidRPr="00273B2C">
        <w:rPr>
          <w:sz w:val="22"/>
          <w:szCs w:val="22"/>
          <w:highlight w:val="green"/>
        </w:rPr>
        <w:t>Agreement:</w:t>
      </w:r>
    </w:p>
    <w:p w14:paraId="4F9DFF27" w14:textId="77777777" w:rsidR="00273B2C" w:rsidRPr="00273B2C" w:rsidRDefault="00273B2C" w:rsidP="00273B2C">
      <w:pPr>
        <w:rPr>
          <w:sz w:val="22"/>
          <w:szCs w:val="22"/>
        </w:rPr>
      </w:pPr>
      <w:r w:rsidRPr="00273B2C">
        <w:rPr>
          <w:sz w:val="22"/>
          <w:szCs w:val="22"/>
        </w:rPr>
        <w:t>Study the performance of AMC in NTN considering at least the following solutions (some solutions may have no specification impact):</w:t>
      </w:r>
    </w:p>
    <w:p w14:paraId="7B525C6C" w14:textId="77777777" w:rsidR="00273B2C" w:rsidRPr="00273B2C" w:rsidRDefault="00273B2C" w:rsidP="00273B2C">
      <w:pPr>
        <w:numPr>
          <w:ilvl w:val="0"/>
          <w:numId w:val="40"/>
        </w:numPr>
        <w:rPr>
          <w:sz w:val="22"/>
          <w:szCs w:val="22"/>
        </w:rPr>
      </w:pPr>
      <w:r w:rsidRPr="00273B2C">
        <w:rPr>
          <w:sz w:val="22"/>
          <w:szCs w:val="22"/>
        </w:rPr>
        <w:t>Prediction-based link adaptation with prediction confidence level</w:t>
      </w:r>
    </w:p>
    <w:p w14:paraId="21B09299" w14:textId="77777777" w:rsidR="00273B2C" w:rsidRPr="00273B2C" w:rsidRDefault="00273B2C" w:rsidP="00273B2C">
      <w:pPr>
        <w:numPr>
          <w:ilvl w:val="0"/>
          <w:numId w:val="40"/>
        </w:numPr>
        <w:rPr>
          <w:sz w:val="22"/>
          <w:szCs w:val="22"/>
        </w:rPr>
      </w:pPr>
      <w:r w:rsidRPr="00273B2C">
        <w:rPr>
          <w:sz w:val="22"/>
          <w:szCs w:val="22"/>
        </w:rPr>
        <w:t>AMC with CQI reflecting only long-term fading</w:t>
      </w:r>
    </w:p>
    <w:p w14:paraId="0DF4B8B3" w14:textId="77777777" w:rsidR="00273B2C" w:rsidRPr="00273B2C" w:rsidRDefault="00273B2C" w:rsidP="00273B2C">
      <w:pPr>
        <w:numPr>
          <w:ilvl w:val="0"/>
          <w:numId w:val="40"/>
        </w:numPr>
        <w:rPr>
          <w:sz w:val="22"/>
          <w:szCs w:val="22"/>
        </w:rPr>
      </w:pPr>
      <w:r w:rsidRPr="00273B2C">
        <w:rPr>
          <w:sz w:val="22"/>
          <w:szCs w:val="22"/>
        </w:rPr>
        <w:t>Additional BLER targets for CQI reporting to limit number of retransmissions and latency</w:t>
      </w:r>
    </w:p>
    <w:p w14:paraId="005E5897" w14:textId="77777777" w:rsidR="00273B2C" w:rsidRPr="00273B2C" w:rsidRDefault="00273B2C" w:rsidP="00273B2C">
      <w:pPr>
        <w:numPr>
          <w:ilvl w:val="0"/>
          <w:numId w:val="40"/>
        </w:numPr>
        <w:rPr>
          <w:sz w:val="22"/>
          <w:szCs w:val="22"/>
        </w:rPr>
      </w:pPr>
      <w:r w:rsidRPr="00273B2C">
        <w:rPr>
          <w:sz w:val="22"/>
          <w:szCs w:val="22"/>
        </w:rPr>
        <w:t xml:space="preserve">CQI offset applied by </w:t>
      </w:r>
      <w:proofErr w:type="spellStart"/>
      <w:r w:rsidRPr="00273B2C">
        <w:rPr>
          <w:sz w:val="22"/>
          <w:szCs w:val="22"/>
        </w:rPr>
        <w:t>gNB</w:t>
      </w:r>
      <w:proofErr w:type="spellEnd"/>
    </w:p>
    <w:p w14:paraId="3E7936C1" w14:textId="77777777" w:rsidR="00273B2C" w:rsidRPr="00273B2C" w:rsidRDefault="00273B2C" w:rsidP="00273B2C">
      <w:pPr>
        <w:numPr>
          <w:ilvl w:val="0"/>
          <w:numId w:val="40"/>
        </w:numPr>
        <w:rPr>
          <w:sz w:val="22"/>
          <w:szCs w:val="22"/>
        </w:rPr>
      </w:pPr>
      <w:r w:rsidRPr="00273B2C">
        <w:rPr>
          <w:sz w:val="22"/>
          <w:szCs w:val="22"/>
        </w:rPr>
        <w:t>Finer granularity of CQI</w:t>
      </w:r>
    </w:p>
    <w:p w14:paraId="4B364FCC" w14:textId="77777777" w:rsidR="00273B2C" w:rsidRPr="00273B2C" w:rsidRDefault="00273B2C" w:rsidP="00273B2C">
      <w:pPr>
        <w:numPr>
          <w:ilvl w:val="0"/>
          <w:numId w:val="40"/>
        </w:numPr>
        <w:rPr>
          <w:sz w:val="22"/>
          <w:szCs w:val="22"/>
        </w:rPr>
      </w:pPr>
      <w:r w:rsidRPr="00273B2C">
        <w:rPr>
          <w:sz w:val="22"/>
          <w:szCs w:val="22"/>
        </w:rPr>
        <w:t>Prediction based CQI reporting</w:t>
      </w:r>
    </w:p>
    <w:p w14:paraId="5F2922D9" w14:textId="77777777" w:rsidR="00273B2C" w:rsidRDefault="00273B2C" w:rsidP="006231E2">
      <w:pPr>
        <w:pStyle w:val="BodyText"/>
        <w:rPr>
          <w:rFonts w:eastAsia="SimSun"/>
          <w:color w:val="auto"/>
          <w:sz w:val="22"/>
          <w:szCs w:val="22"/>
          <w:lang w:val="en-US" w:eastAsia="zh-CN"/>
        </w:rPr>
      </w:pPr>
    </w:p>
    <w:p w14:paraId="7A3F4188" w14:textId="77777777" w:rsidR="00F67C14" w:rsidRPr="00F67C14" w:rsidRDefault="00F67C14" w:rsidP="00F67C14">
      <w:pPr>
        <w:rPr>
          <w:sz w:val="22"/>
          <w:szCs w:val="22"/>
          <w:lang w:eastAsia="x-none"/>
        </w:rPr>
      </w:pPr>
      <w:r w:rsidRPr="00F67C14">
        <w:rPr>
          <w:sz w:val="22"/>
          <w:szCs w:val="22"/>
          <w:highlight w:val="green"/>
          <w:lang w:eastAsia="x-none"/>
        </w:rPr>
        <w:t>Agreement:</w:t>
      </w:r>
    </w:p>
    <w:p w14:paraId="67C1F504" w14:textId="77777777" w:rsidR="00F67C14" w:rsidRPr="00F67C14" w:rsidRDefault="00F67C14" w:rsidP="00F67C14">
      <w:pPr>
        <w:rPr>
          <w:sz w:val="22"/>
          <w:szCs w:val="22"/>
          <w:lang w:val="en-US" w:eastAsia="x-none"/>
        </w:rPr>
      </w:pPr>
      <w:r w:rsidRPr="00F67C14">
        <w:rPr>
          <w:sz w:val="22"/>
          <w:szCs w:val="22"/>
          <w:lang w:val="en-US" w:eastAsia="x-none"/>
        </w:rPr>
        <w:t xml:space="preserve">For UL transmission timing, introduce an offset </w:t>
      </w:r>
      <w:proofErr w:type="spellStart"/>
      <w:proofErr w:type="gramStart"/>
      <w:r w:rsidRPr="00F67C14">
        <w:rPr>
          <w:sz w:val="22"/>
          <w:szCs w:val="22"/>
          <w:lang w:val="en-US" w:eastAsia="x-none"/>
        </w:rPr>
        <w:t>K</w:t>
      </w:r>
      <w:r w:rsidRPr="00F67C14">
        <w:rPr>
          <w:sz w:val="22"/>
          <w:szCs w:val="22"/>
          <w:vertAlign w:val="subscript"/>
          <w:lang w:val="en-US" w:eastAsia="x-none"/>
        </w:rPr>
        <w:t>offset</w:t>
      </w:r>
      <w:proofErr w:type="spellEnd"/>
      <w:r w:rsidRPr="00F67C14" w:rsidDel="001F62B1">
        <w:rPr>
          <w:sz w:val="22"/>
          <w:szCs w:val="22"/>
          <w:lang w:val="en-US" w:eastAsia="x-none"/>
        </w:rPr>
        <w:t xml:space="preserve"> </w:t>
      </w:r>
      <w:r w:rsidRPr="00F67C14">
        <w:rPr>
          <w:sz w:val="22"/>
          <w:szCs w:val="22"/>
          <w:lang w:val="en-US" w:eastAsia="x-none"/>
        </w:rPr>
        <w:t xml:space="preserve"> for</w:t>
      </w:r>
      <w:proofErr w:type="gramEnd"/>
      <w:r w:rsidRPr="00F67C14">
        <w:rPr>
          <w:sz w:val="22"/>
          <w:szCs w:val="22"/>
          <w:lang w:val="en-US" w:eastAsia="x-none"/>
        </w:rPr>
        <w:t xml:space="preserve"> NR NTN.</w:t>
      </w:r>
    </w:p>
    <w:p w14:paraId="16E188FA" w14:textId="77777777" w:rsidR="00F67C14" w:rsidRPr="00F67C14" w:rsidRDefault="00F67C14" w:rsidP="00F67C14">
      <w:pPr>
        <w:numPr>
          <w:ilvl w:val="0"/>
          <w:numId w:val="41"/>
        </w:numPr>
        <w:rPr>
          <w:sz w:val="22"/>
          <w:szCs w:val="22"/>
          <w:lang w:val="en-US" w:eastAsia="x-none"/>
        </w:rPr>
      </w:pPr>
      <w:r w:rsidRPr="00F67C14">
        <w:rPr>
          <w:sz w:val="22"/>
          <w:szCs w:val="22"/>
          <w:lang w:val="en-US" w:eastAsia="x-none"/>
        </w:rPr>
        <w:t>For UL HARQ-ACK on PUCCH, where HARQ ACK on PUCCH is transmitted on slot n + K</w:t>
      </w:r>
      <w:r w:rsidRPr="00F67C14">
        <w:rPr>
          <w:sz w:val="22"/>
          <w:szCs w:val="22"/>
          <w:vertAlign w:val="subscript"/>
          <w:lang w:val="en-US" w:eastAsia="x-none"/>
        </w:rPr>
        <w:t>1</w:t>
      </w:r>
      <w:r w:rsidRPr="00F67C14">
        <w:rPr>
          <w:sz w:val="22"/>
          <w:szCs w:val="22"/>
          <w:lang w:val="en-US" w:eastAsia="x-none"/>
        </w:rPr>
        <w:t xml:space="preserve"> + </w:t>
      </w:r>
      <w:proofErr w:type="spellStart"/>
      <w:r w:rsidRPr="00F67C14">
        <w:rPr>
          <w:sz w:val="22"/>
          <w:szCs w:val="22"/>
          <w:lang w:val="en-US" w:eastAsia="x-none"/>
        </w:rPr>
        <w:t>K</w:t>
      </w:r>
      <w:r w:rsidRPr="00F67C14">
        <w:rPr>
          <w:sz w:val="22"/>
          <w:szCs w:val="22"/>
          <w:vertAlign w:val="subscript"/>
          <w:lang w:val="en-US" w:eastAsia="x-none"/>
        </w:rPr>
        <w:t>offset</w:t>
      </w:r>
      <w:proofErr w:type="spellEnd"/>
      <w:r w:rsidRPr="00F67C14">
        <w:rPr>
          <w:sz w:val="22"/>
          <w:szCs w:val="22"/>
          <w:lang w:val="en-US" w:eastAsia="x-none"/>
        </w:rPr>
        <w:t xml:space="preserve"> when a scheduling DCI is received in slot n.</w:t>
      </w:r>
    </w:p>
    <w:p w14:paraId="65508F39" w14:textId="77777777" w:rsidR="00F67C14" w:rsidRPr="00F67C14" w:rsidRDefault="00F67C14" w:rsidP="00F67C14">
      <w:pPr>
        <w:numPr>
          <w:ilvl w:val="0"/>
          <w:numId w:val="41"/>
        </w:numPr>
        <w:rPr>
          <w:sz w:val="22"/>
          <w:szCs w:val="22"/>
          <w:lang w:val="en-US" w:eastAsia="x-none"/>
        </w:rPr>
      </w:pPr>
      <w:r w:rsidRPr="00F67C14">
        <w:rPr>
          <w:sz w:val="22"/>
          <w:szCs w:val="22"/>
          <w:lang w:val="en-US" w:eastAsia="x-none"/>
        </w:rPr>
        <w:t xml:space="preserve">For UL transmission on PUSCH, where PUSCH is transmitted on slot </w:t>
      </w:r>
      <m:oMath>
        <m:d>
          <m:dPr>
            <m:begChr m:val="⌊"/>
            <m:endChr m:val="⌋"/>
            <m:ctrlPr>
              <w:rPr>
                <w:rFonts w:ascii="Cambria Math" w:eastAsia="MS Mincho" w:hAnsi="Cambria Math"/>
                <w:sz w:val="22"/>
                <w:szCs w:val="22"/>
                <w:lang w:val="en-US"/>
              </w:rPr>
            </m:ctrlPr>
          </m:dPr>
          <m:e>
            <m:r>
              <m:rPr>
                <m:sty m:val="p"/>
              </m:rPr>
              <w:rPr>
                <w:rFonts w:ascii="Cambria Math" w:eastAsia="MS Mincho" w:hAnsi="Cambria Math"/>
                <w:sz w:val="22"/>
                <w:szCs w:val="22"/>
                <w:lang w:val="en-US"/>
              </w:rPr>
              <m:t>n∙</m:t>
            </m:r>
            <m:sSup>
              <m:sSupPr>
                <m:ctrlPr>
                  <w:rPr>
                    <w:rFonts w:ascii="Cambria Math" w:eastAsia="MS Mincho" w:hAnsi="Cambria Math"/>
                    <w:sz w:val="22"/>
                    <w:szCs w:val="22"/>
                    <w:lang w:val="en-US"/>
                  </w:rPr>
                </m:ctrlPr>
              </m:sSupPr>
              <m:e>
                <m:r>
                  <m:rPr>
                    <m:sty m:val="p"/>
                  </m:rPr>
                  <w:rPr>
                    <w:rFonts w:ascii="Cambria Math" w:eastAsia="MS Mincho" w:hAnsi="Cambria Math"/>
                    <w:sz w:val="22"/>
                    <w:szCs w:val="22"/>
                    <w:lang w:val="en-US"/>
                  </w:rPr>
                  <m:t>2</m:t>
                </m:r>
              </m:e>
              <m:sup>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μ</m:t>
                    </m:r>
                  </m:e>
                  <m:sub>
                    <m:r>
                      <m:rPr>
                        <m:sty m:val="p"/>
                      </m:rPr>
                      <w:rPr>
                        <w:rFonts w:ascii="Cambria Math" w:eastAsia="MS Mincho" w:hAnsi="Cambria Math"/>
                        <w:sz w:val="22"/>
                        <w:szCs w:val="22"/>
                        <w:lang w:val="en-US"/>
                      </w:rPr>
                      <m:t>PUSCH</m:t>
                    </m:r>
                  </m:sub>
                </m:sSub>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μ</m:t>
                    </m:r>
                  </m:e>
                  <m:sub>
                    <m:r>
                      <m:rPr>
                        <m:sty m:val="p"/>
                      </m:rPr>
                      <w:rPr>
                        <w:rFonts w:ascii="Cambria Math" w:eastAsia="MS Mincho" w:hAnsi="Cambria Math"/>
                        <w:sz w:val="22"/>
                        <w:szCs w:val="22"/>
                        <w:lang w:val="en-US"/>
                      </w:rPr>
                      <m:t>PDCCH</m:t>
                    </m:r>
                  </m:sub>
                </m:sSub>
              </m:sup>
            </m:sSup>
          </m:e>
        </m:d>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K</m:t>
            </m:r>
          </m:e>
          <m:sub>
            <m:r>
              <m:rPr>
                <m:sty m:val="p"/>
              </m:rPr>
              <w:rPr>
                <w:rFonts w:ascii="Cambria Math" w:eastAsia="MS Mincho" w:hAnsi="Cambria Math"/>
                <w:sz w:val="22"/>
                <w:szCs w:val="22"/>
                <w:lang w:val="en-US"/>
              </w:rPr>
              <m:t>2</m:t>
            </m:r>
          </m:sub>
        </m:sSub>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K</m:t>
            </m:r>
          </m:e>
          <m:sub>
            <m:r>
              <m:rPr>
                <m:sty m:val="p"/>
              </m:rPr>
              <w:rPr>
                <w:rFonts w:ascii="Cambria Math" w:eastAsia="MS Mincho" w:hAnsi="Cambria Math"/>
                <w:sz w:val="22"/>
                <w:szCs w:val="22"/>
                <w:lang w:val="en-US"/>
              </w:rPr>
              <m:t>offset</m:t>
            </m:r>
          </m:sub>
        </m:sSub>
      </m:oMath>
      <w:r w:rsidRPr="00F67C14">
        <w:rPr>
          <w:sz w:val="22"/>
          <w:szCs w:val="22"/>
          <w:lang w:val="en-US" w:eastAsia="x-none"/>
        </w:rPr>
        <w:t xml:space="preserve"> when a scheduling DCI is received in slot n.</w:t>
      </w:r>
    </w:p>
    <w:p w14:paraId="5E936495" w14:textId="77777777" w:rsidR="00F67C14" w:rsidRPr="00F67C14" w:rsidRDefault="00F67C14" w:rsidP="00F67C14">
      <w:pPr>
        <w:numPr>
          <w:ilvl w:val="0"/>
          <w:numId w:val="41"/>
        </w:numPr>
        <w:rPr>
          <w:sz w:val="22"/>
          <w:szCs w:val="22"/>
          <w:lang w:val="en-US" w:eastAsia="x-none"/>
        </w:rPr>
      </w:pPr>
      <w:r w:rsidRPr="00F67C14">
        <w:rPr>
          <w:sz w:val="22"/>
          <w:szCs w:val="22"/>
          <w:lang w:val="en-US" w:eastAsia="x-none"/>
        </w:rPr>
        <w:t>For CSI transmission on PUSCH, where CSI on PUSCH is transmitted on slot n +</w:t>
      </w:r>
      <w:proofErr w:type="spellStart"/>
      <w:r w:rsidRPr="00F67C14">
        <w:rPr>
          <w:sz w:val="22"/>
          <w:szCs w:val="22"/>
          <w:lang w:val="en-US" w:eastAsia="x-none"/>
        </w:rPr>
        <w:t>K+K</w:t>
      </w:r>
      <w:r w:rsidRPr="00F67C14">
        <w:rPr>
          <w:sz w:val="22"/>
          <w:szCs w:val="22"/>
          <w:vertAlign w:val="subscript"/>
          <w:lang w:val="en-US" w:eastAsia="x-none"/>
        </w:rPr>
        <w:t>offset</w:t>
      </w:r>
      <w:proofErr w:type="spellEnd"/>
      <w:r w:rsidRPr="00F67C14">
        <w:rPr>
          <w:sz w:val="22"/>
          <w:szCs w:val="22"/>
          <w:lang w:val="en-US" w:eastAsia="x-none"/>
        </w:rPr>
        <w:t>, when the DCI with CSI request is received in slot n and K is selected by the DCI.</w:t>
      </w:r>
    </w:p>
    <w:p w14:paraId="57869107" w14:textId="2D63244B" w:rsidR="00F67C14" w:rsidRPr="00F67C14" w:rsidRDefault="00F67C14" w:rsidP="00F67C14">
      <w:pPr>
        <w:numPr>
          <w:ilvl w:val="0"/>
          <w:numId w:val="41"/>
        </w:numPr>
        <w:rPr>
          <w:sz w:val="22"/>
          <w:szCs w:val="22"/>
          <w:lang w:val="en-US" w:eastAsia="x-none"/>
        </w:rPr>
      </w:pPr>
      <w:r w:rsidRPr="00F67C14">
        <w:rPr>
          <w:sz w:val="22"/>
          <w:szCs w:val="22"/>
          <w:lang w:val="en-US" w:eastAsia="x-none"/>
        </w:rPr>
        <w:lastRenderedPageBreak/>
        <w:t>For a CSI report in uplink slot n’, the CSI reference resource is given in downlink slot n-</w:t>
      </w:r>
      <w:proofErr w:type="spellStart"/>
      <w:r w:rsidRPr="00F67C14">
        <w:rPr>
          <w:sz w:val="22"/>
          <w:szCs w:val="22"/>
          <w:lang w:val="en-US" w:eastAsia="x-none"/>
        </w:rPr>
        <w:t>n</w:t>
      </w:r>
      <w:r w:rsidRPr="00F67C14">
        <w:rPr>
          <w:sz w:val="22"/>
          <w:szCs w:val="22"/>
          <w:vertAlign w:val="subscript"/>
          <w:lang w:val="en-US" w:eastAsia="x-none"/>
        </w:rPr>
        <w:t>CSI_ref</w:t>
      </w:r>
      <w:proofErr w:type="spellEnd"/>
      <m:oMath>
        <m:r>
          <m:rPr>
            <m:sty m:val="p"/>
          </m:rPr>
          <w:rPr>
            <w:rFonts w:ascii="Cambria Math" w:eastAsia="MS Mincho" w:hAnsi="Cambria Math"/>
            <w:sz w:val="22"/>
            <w:szCs w:val="22"/>
            <w:lang w:val="en-US"/>
          </w:rPr>
          <m:t>-</m:t>
        </m:r>
        <m:sSub>
          <m:sSubPr>
            <m:ctrlPr>
              <w:rPr>
                <w:rFonts w:ascii="Cambria Math" w:eastAsia="MS Mincho" w:hAnsi="Cambria Math"/>
                <w:sz w:val="22"/>
                <w:szCs w:val="22"/>
                <w:lang w:val="en-US"/>
              </w:rPr>
            </m:ctrlPr>
          </m:sSubPr>
          <m:e>
            <m:r>
              <m:rPr>
                <m:sty m:val="p"/>
              </m:rPr>
              <w:rPr>
                <w:rFonts w:ascii="Cambria Math" w:eastAsia="MS Mincho" w:hAnsi="Cambria Math"/>
                <w:sz w:val="22"/>
                <w:szCs w:val="22"/>
                <w:lang w:val="en-US"/>
              </w:rPr>
              <m:t>K</m:t>
            </m:r>
          </m:e>
          <m:sub>
            <m:r>
              <m:rPr>
                <m:sty m:val="p"/>
              </m:rPr>
              <w:rPr>
                <w:rFonts w:ascii="Cambria Math" w:eastAsia="MS Mincho" w:hAnsi="Cambria Math"/>
                <w:sz w:val="22"/>
                <w:szCs w:val="22"/>
                <w:lang w:val="en-US"/>
              </w:rPr>
              <m:t>offset</m:t>
            </m:r>
          </m:sub>
        </m:sSub>
      </m:oMath>
      <w:r w:rsidRPr="00F67C14">
        <w:rPr>
          <w:sz w:val="22"/>
          <w:szCs w:val="22"/>
          <w:lang w:val="en-US" w:eastAsia="x-none"/>
        </w:rPr>
        <w:t xml:space="preserve">, where </w:t>
      </w:r>
      <w:r w:rsidRPr="00F67C14">
        <w:rPr>
          <w:noProof/>
          <w:sz w:val="22"/>
          <w:szCs w:val="22"/>
          <w:lang w:val="en-US" w:eastAsia="zh-CN"/>
        </w:rPr>
        <w:drawing>
          <wp:inline distT="0" distB="0" distL="0" distR="0" wp14:anchorId="5C17059D" wp14:editId="4AB21883">
            <wp:extent cx="74676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6760" cy="464820"/>
                    </a:xfrm>
                    <a:prstGeom prst="rect">
                      <a:avLst/>
                    </a:prstGeom>
                    <a:noFill/>
                    <a:ln>
                      <a:noFill/>
                    </a:ln>
                  </pic:spPr>
                </pic:pic>
              </a:graphicData>
            </a:graphic>
          </wp:inline>
        </w:drawing>
      </w:r>
      <w:r w:rsidRPr="00F67C14">
        <w:rPr>
          <w:sz w:val="22"/>
          <w:szCs w:val="22"/>
          <w:lang w:val="en-US" w:eastAsia="x-none"/>
        </w:rPr>
        <w:t xml:space="preserve"> and </w:t>
      </w:r>
      <w:proofErr w:type="spellStart"/>
      <w:r w:rsidRPr="00F67C14">
        <w:rPr>
          <w:sz w:val="22"/>
          <w:szCs w:val="22"/>
          <w:lang w:val="en-US" w:eastAsia="x-none"/>
        </w:rPr>
        <w:t>n</w:t>
      </w:r>
      <w:r w:rsidRPr="00F67C14">
        <w:rPr>
          <w:sz w:val="22"/>
          <w:szCs w:val="22"/>
          <w:vertAlign w:val="subscript"/>
          <w:lang w:val="en-US" w:eastAsia="x-none"/>
        </w:rPr>
        <w:t>CSI_ref</w:t>
      </w:r>
      <w:proofErr w:type="spellEnd"/>
      <w:r w:rsidRPr="00F67C14">
        <w:rPr>
          <w:sz w:val="22"/>
          <w:szCs w:val="22"/>
          <w:lang w:val="en-US" w:eastAsia="x-none"/>
        </w:rPr>
        <w:t xml:space="preserve"> is as defined in 38.214.</w:t>
      </w:r>
    </w:p>
    <w:p w14:paraId="60769EC5" w14:textId="77777777" w:rsidR="00F67C14" w:rsidRPr="00F67C14" w:rsidRDefault="00F67C14" w:rsidP="00F67C14">
      <w:pPr>
        <w:numPr>
          <w:ilvl w:val="0"/>
          <w:numId w:val="41"/>
        </w:numPr>
        <w:rPr>
          <w:sz w:val="22"/>
          <w:szCs w:val="22"/>
          <w:lang w:val="en-US" w:eastAsia="x-none"/>
        </w:rPr>
      </w:pPr>
      <w:proofErr w:type="spellStart"/>
      <w:r w:rsidRPr="00F67C14">
        <w:rPr>
          <w:sz w:val="22"/>
          <w:szCs w:val="22"/>
          <w:lang w:val="en-US" w:eastAsia="x-none"/>
        </w:rPr>
        <w:t>K</w:t>
      </w:r>
      <w:r w:rsidRPr="00F67C14">
        <w:rPr>
          <w:sz w:val="22"/>
          <w:szCs w:val="22"/>
          <w:vertAlign w:val="subscript"/>
          <w:lang w:val="en-US" w:eastAsia="x-none"/>
        </w:rPr>
        <w:t>offset</w:t>
      </w:r>
      <w:proofErr w:type="spellEnd"/>
      <w:r w:rsidRPr="00F67C14" w:rsidDel="004017F3">
        <w:rPr>
          <w:sz w:val="22"/>
          <w:szCs w:val="22"/>
          <w:lang w:val="en-US" w:eastAsia="x-none"/>
        </w:rPr>
        <w:t xml:space="preserve"> </w:t>
      </w:r>
      <w:r w:rsidRPr="00F67C14">
        <w:rPr>
          <w:sz w:val="22"/>
          <w:szCs w:val="22"/>
          <w:lang w:val="en-US" w:eastAsia="x-none"/>
        </w:rPr>
        <w:t xml:space="preserve"> is per beam or per-cell </w:t>
      </w:r>
    </w:p>
    <w:p w14:paraId="41B5D49E" w14:textId="77777777" w:rsidR="00F67C14" w:rsidRPr="00F67C14" w:rsidRDefault="00F67C14" w:rsidP="00F67C14">
      <w:pPr>
        <w:numPr>
          <w:ilvl w:val="1"/>
          <w:numId w:val="41"/>
        </w:numPr>
        <w:rPr>
          <w:sz w:val="22"/>
          <w:szCs w:val="22"/>
          <w:lang w:val="en-US" w:eastAsia="x-none"/>
        </w:rPr>
      </w:pPr>
      <w:r w:rsidRPr="00F67C14">
        <w:rPr>
          <w:sz w:val="22"/>
          <w:szCs w:val="22"/>
          <w:lang w:val="en-US" w:eastAsia="x-none"/>
        </w:rPr>
        <w:t xml:space="preserve">FFS: Whether </w:t>
      </w:r>
      <w:proofErr w:type="spellStart"/>
      <w:r w:rsidRPr="00F67C14">
        <w:rPr>
          <w:sz w:val="22"/>
          <w:szCs w:val="22"/>
          <w:lang w:val="en-US" w:eastAsia="x-none"/>
        </w:rPr>
        <w:t>K</w:t>
      </w:r>
      <w:r w:rsidRPr="00F67C14">
        <w:rPr>
          <w:sz w:val="22"/>
          <w:szCs w:val="22"/>
          <w:vertAlign w:val="subscript"/>
          <w:lang w:val="en-US" w:eastAsia="x-none"/>
        </w:rPr>
        <w:t>offset</w:t>
      </w:r>
      <w:proofErr w:type="spellEnd"/>
      <w:r w:rsidRPr="00F67C14">
        <w:rPr>
          <w:sz w:val="22"/>
          <w:szCs w:val="22"/>
          <w:lang w:val="en-US" w:eastAsia="x-none"/>
        </w:rPr>
        <w:t xml:space="preserve"> is derived from broadcast information or is signaled by higher layers</w:t>
      </w:r>
    </w:p>
    <w:p w14:paraId="27D67378" w14:textId="77777777" w:rsidR="00F67C14" w:rsidRDefault="00F67C14" w:rsidP="006231E2">
      <w:pPr>
        <w:pStyle w:val="BodyText"/>
        <w:rPr>
          <w:rFonts w:eastAsia="SimSun"/>
          <w:color w:val="auto"/>
          <w:sz w:val="22"/>
          <w:szCs w:val="22"/>
          <w:lang w:val="en-US" w:eastAsia="zh-CN"/>
        </w:rPr>
      </w:pPr>
    </w:p>
    <w:p w14:paraId="13095DAE" w14:textId="6A1C89F9"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t xml:space="preserve">This contribution discusses issues related to </w:t>
      </w:r>
      <w:r w:rsidR="00A0311A">
        <w:rPr>
          <w:rFonts w:eastAsia="SimSun"/>
          <w:color w:val="auto"/>
          <w:sz w:val="22"/>
          <w:szCs w:val="22"/>
          <w:lang w:val="en-US" w:eastAsia="zh-CN"/>
        </w:rPr>
        <w:t>physical layer control procedures, e.g., AMC, CSI feedback</w:t>
      </w:r>
      <w:r w:rsidR="00DA0C5A">
        <w:rPr>
          <w:rFonts w:eastAsia="SimSun"/>
          <w:color w:val="auto"/>
          <w:sz w:val="22"/>
          <w:szCs w:val="22"/>
          <w:lang w:val="en-US" w:eastAsia="zh-CN"/>
        </w:rPr>
        <w:t xml:space="preserve"> </w:t>
      </w:r>
      <w:r w:rsidR="00A0311A">
        <w:rPr>
          <w:rFonts w:eastAsia="SimSun"/>
          <w:color w:val="auto"/>
          <w:sz w:val="22"/>
          <w:szCs w:val="22"/>
          <w:lang w:val="en-US" w:eastAsia="zh-CN"/>
        </w:rPr>
        <w:t>and power control</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95BA3EA" w14:textId="77777777" w:rsidR="00494764" w:rsidRDefault="00494764" w:rsidP="006231E2">
      <w:pPr>
        <w:pStyle w:val="BodyText"/>
        <w:pBdr>
          <w:bottom w:val="single" w:sz="12" w:space="1" w:color="auto"/>
        </w:pBdr>
        <w:rPr>
          <w:rFonts w:eastAsia="SimSun"/>
          <w:color w:val="auto"/>
          <w:lang w:val="en-US" w:eastAsia="zh-CN"/>
        </w:rPr>
      </w:pPr>
    </w:p>
    <w:p w14:paraId="7BAC41B0" w14:textId="77777777" w:rsidR="00A94A04" w:rsidRDefault="00A0311A"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Discussions</w:t>
      </w:r>
    </w:p>
    <w:p w14:paraId="1A60FC8B" w14:textId="63E5F8A9" w:rsidR="00A0311A" w:rsidRDefault="00A0311A" w:rsidP="006231E2">
      <w:pPr>
        <w:spacing w:before="120" w:after="120"/>
        <w:jc w:val="both"/>
        <w:rPr>
          <w:sz w:val="22"/>
          <w:szCs w:val="22"/>
        </w:rPr>
      </w:pPr>
      <w:r>
        <w:rPr>
          <w:sz w:val="22"/>
          <w:szCs w:val="22"/>
        </w:rPr>
        <w:t xml:space="preserve">In NTN networks, due to the extremely large distance between the </w:t>
      </w:r>
      <w:proofErr w:type="spellStart"/>
      <w:r>
        <w:rPr>
          <w:sz w:val="22"/>
          <w:szCs w:val="22"/>
        </w:rPr>
        <w:t>gNB</w:t>
      </w:r>
      <w:proofErr w:type="spellEnd"/>
      <w:r>
        <w:rPr>
          <w:sz w:val="22"/>
          <w:szCs w:val="22"/>
        </w:rPr>
        <w:t xml:space="preserve"> and the UE, the propagation delay can </w:t>
      </w:r>
      <w:r w:rsidR="008C6EDA" w:rsidRPr="00A374E8">
        <w:rPr>
          <w:rFonts w:eastAsia="Malgun Gothic" w:hint="eastAsia"/>
          <w:sz w:val="22"/>
          <w:szCs w:val="22"/>
          <w:lang w:eastAsia="ko-KR"/>
        </w:rPr>
        <w:t>be</w:t>
      </w:r>
      <w:r w:rsidR="008C6EDA">
        <w:rPr>
          <w:sz w:val="22"/>
          <w:szCs w:val="22"/>
        </w:rPr>
        <w:t xml:space="preserve"> </w:t>
      </w:r>
      <w:r>
        <w:rPr>
          <w:sz w:val="22"/>
          <w:szCs w:val="22"/>
        </w:rPr>
        <w:t xml:space="preserve">up to a few </w:t>
      </w:r>
      <w:proofErr w:type="spellStart"/>
      <w:r>
        <w:rPr>
          <w:sz w:val="22"/>
          <w:szCs w:val="22"/>
        </w:rPr>
        <w:t>hundreds</w:t>
      </w:r>
      <w:proofErr w:type="spellEnd"/>
      <w:r>
        <w:rPr>
          <w:sz w:val="22"/>
          <w:szCs w:val="22"/>
        </w:rPr>
        <w:t xml:space="preserve"> </w:t>
      </w:r>
      <w:proofErr w:type="spellStart"/>
      <w:r>
        <w:rPr>
          <w:sz w:val="22"/>
          <w:szCs w:val="22"/>
        </w:rPr>
        <w:t>ms</w:t>
      </w:r>
      <w:proofErr w:type="spellEnd"/>
      <w:r>
        <w:rPr>
          <w:sz w:val="22"/>
          <w:szCs w:val="22"/>
        </w:rPr>
        <w:t xml:space="preserve"> for GEO satellites, especially for bent pipe scenario where the </w:t>
      </w:r>
      <w:r w:rsidRPr="00A0311A">
        <w:rPr>
          <w:sz w:val="22"/>
          <w:szCs w:val="22"/>
        </w:rPr>
        <w:t xml:space="preserve">satellite or the aerial embarks full or part of a </w:t>
      </w:r>
      <w:proofErr w:type="spellStart"/>
      <w:r w:rsidRPr="00A0311A">
        <w:rPr>
          <w:sz w:val="22"/>
          <w:szCs w:val="22"/>
        </w:rPr>
        <w:t>gNB</w:t>
      </w:r>
      <w:proofErr w:type="spellEnd"/>
      <w:r w:rsidRPr="00A0311A">
        <w:rPr>
          <w:sz w:val="22"/>
          <w:szCs w:val="22"/>
        </w:rPr>
        <w:t xml:space="preserve"> to generate/receive a "Satellite friendly" NR signal to/from the UEs</w:t>
      </w:r>
      <w:r w:rsidR="00540A59">
        <w:rPr>
          <w:sz w:val="22"/>
          <w:szCs w:val="22"/>
        </w:rPr>
        <w:t xml:space="preserve"> [</w:t>
      </w:r>
      <w:r w:rsidR="002B3279">
        <w:rPr>
          <w:sz w:val="22"/>
          <w:szCs w:val="22"/>
        </w:rPr>
        <w:t>2</w:t>
      </w:r>
      <w:r w:rsidR="00540A59">
        <w:rPr>
          <w:sz w:val="22"/>
          <w:szCs w:val="22"/>
        </w:rPr>
        <w:t>]</w:t>
      </w:r>
      <w:r>
        <w:rPr>
          <w:sz w:val="22"/>
          <w:szCs w:val="22"/>
        </w:rPr>
        <w:t>.</w:t>
      </w:r>
      <w:r w:rsidR="00DA0C5A">
        <w:rPr>
          <w:sz w:val="22"/>
          <w:szCs w:val="22"/>
        </w:rPr>
        <w:t xml:space="preserve"> </w:t>
      </w:r>
      <w:r w:rsidR="00917ED1">
        <w:rPr>
          <w:sz w:val="22"/>
          <w:szCs w:val="22"/>
        </w:rPr>
        <w:t xml:space="preserve">Another main issue for NTN is the Doppler Effect due to the fast relative movement between a </w:t>
      </w:r>
      <w:proofErr w:type="spellStart"/>
      <w:r w:rsidR="00917ED1">
        <w:rPr>
          <w:sz w:val="22"/>
          <w:szCs w:val="22"/>
        </w:rPr>
        <w:t>spaceborn</w:t>
      </w:r>
      <w:proofErr w:type="spellEnd"/>
      <w:r w:rsidR="00917ED1">
        <w:rPr>
          <w:sz w:val="22"/>
          <w:szCs w:val="22"/>
        </w:rPr>
        <w:t xml:space="preserve"> vehicles, e.g., LEO satellite, and the UE, which can be more than 7km per second and more than 20 ppm Doppler shift for 2 GHz carrier frequency. The long propagation delay and Doppler Effect have impacts on physical layer control procedures such as link adaptation, i.e., AMC, CSI feedback and power control because the channel feedback can be out of date easily. The current NR specifications </w:t>
      </w:r>
      <w:r w:rsidR="008C6EDA" w:rsidRPr="00A374E8">
        <w:rPr>
          <w:rFonts w:eastAsia="Malgun Gothic" w:hint="eastAsia"/>
          <w:sz w:val="22"/>
          <w:szCs w:val="22"/>
          <w:lang w:eastAsia="ko-KR"/>
        </w:rPr>
        <w:t>are</w:t>
      </w:r>
      <w:r w:rsidR="008C6EDA">
        <w:rPr>
          <w:sz w:val="22"/>
          <w:szCs w:val="22"/>
        </w:rPr>
        <w:t xml:space="preserve"> </w:t>
      </w:r>
      <w:r w:rsidR="00917ED1">
        <w:rPr>
          <w:sz w:val="22"/>
          <w:szCs w:val="22"/>
        </w:rPr>
        <w:t xml:space="preserve">mainly designed for cellular system and not supposed to handle such propagation delay and Doppler Effect and therefore the enhanced mechanisms are needed.   </w:t>
      </w:r>
    </w:p>
    <w:p w14:paraId="15C520DD" w14:textId="77777777" w:rsidR="00917ED1" w:rsidRPr="00674EC0" w:rsidRDefault="00917ED1" w:rsidP="00917ED1">
      <w:pPr>
        <w:spacing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1</w:t>
      </w:r>
      <w:r w:rsidRPr="00674EC0">
        <w:rPr>
          <w:rFonts w:ascii="Arial" w:hAnsi="Arial" w:cs="Arial"/>
          <w:sz w:val="28"/>
          <w:szCs w:val="28"/>
        </w:rPr>
        <w:t xml:space="preserve"> </w:t>
      </w:r>
      <w:r>
        <w:rPr>
          <w:rFonts w:ascii="Arial" w:hAnsi="Arial" w:cs="Arial"/>
          <w:sz w:val="28"/>
          <w:szCs w:val="28"/>
        </w:rPr>
        <w:t>Adaptive Modulation and Coding (AMC)</w:t>
      </w:r>
    </w:p>
    <w:p w14:paraId="468A72E2" w14:textId="6A7C66E6" w:rsidR="00917ED1" w:rsidRDefault="00917ED1" w:rsidP="0066016A">
      <w:pPr>
        <w:spacing w:before="120" w:after="120"/>
        <w:jc w:val="both"/>
        <w:rPr>
          <w:sz w:val="22"/>
          <w:szCs w:val="22"/>
        </w:rPr>
      </w:pPr>
      <w:r>
        <w:rPr>
          <w:sz w:val="22"/>
          <w:szCs w:val="22"/>
        </w:rPr>
        <w:t xml:space="preserve">AMC is employed in communication systems </w:t>
      </w:r>
      <w:r w:rsidR="008C6EDA" w:rsidRPr="00A374E8">
        <w:rPr>
          <w:rFonts w:eastAsia="Malgun Gothic" w:hint="eastAsia"/>
          <w:sz w:val="22"/>
          <w:szCs w:val="22"/>
          <w:lang w:eastAsia="ko-KR"/>
        </w:rPr>
        <w:t xml:space="preserve">to </w:t>
      </w:r>
      <w:r>
        <w:rPr>
          <w:sz w:val="22"/>
          <w:szCs w:val="22"/>
        </w:rPr>
        <w:t xml:space="preserve">adopt the variation of the channel condition </w:t>
      </w:r>
      <w:r w:rsidR="0066016A">
        <w:rPr>
          <w:sz w:val="22"/>
          <w:szCs w:val="22"/>
        </w:rPr>
        <w:t xml:space="preserve">from time to time. In DL, the UE can measure the channel, calculate CQI based on channel measurement and then feedback the CQI values to the </w:t>
      </w:r>
      <w:proofErr w:type="spellStart"/>
      <w:r w:rsidR="0066016A">
        <w:rPr>
          <w:sz w:val="22"/>
          <w:szCs w:val="22"/>
        </w:rPr>
        <w:t>gNB</w:t>
      </w:r>
      <w:proofErr w:type="spellEnd"/>
      <w:r w:rsidR="0066016A">
        <w:rPr>
          <w:sz w:val="22"/>
          <w:szCs w:val="22"/>
        </w:rPr>
        <w:t xml:space="preserve">. Then </w:t>
      </w:r>
      <w:proofErr w:type="spellStart"/>
      <w:r w:rsidR="0066016A">
        <w:rPr>
          <w:sz w:val="22"/>
          <w:szCs w:val="22"/>
        </w:rPr>
        <w:t>gNB</w:t>
      </w:r>
      <w:proofErr w:type="spellEnd"/>
      <w:r w:rsidR="0066016A">
        <w:rPr>
          <w:sz w:val="22"/>
          <w:szCs w:val="22"/>
        </w:rPr>
        <w:t xml:space="preserve"> choose appropriate modulation and coding schemes according to the CQI values. By doing this, a near optimal modulation coding scheme can always be used to achieve the maximum spectrum efficiency while at the same time meet</w:t>
      </w:r>
      <w:r w:rsidR="008C6EDA" w:rsidRPr="00A374E8">
        <w:rPr>
          <w:rFonts w:eastAsia="Malgun Gothic" w:hint="eastAsia"/>
          <w:sz w:val="22"/>
          <w:szCs w:val="22"/>
          <w:lang w:eastAsia="ko-KR"/>
        </w:rPr>
        <w:t>ing</w:t>
      </w:r>
      <w:r w:rsidR="0066016A">
        <w:rPr>
          <w:sz w:val="22"/>
          <w:szCs w:val="22"/>
        </w:rPr>
        <w:t xml:space="preserve"> the target BLER requirement. However, in NTN when the </w:t>
      </w:r>
      <w:proofErr w:type="spellStart"/>
      <w:r w:rsidR="0066016A">
        <w:rPr>
          <w:sz w:val="22"/>
          <w:szCs w:val="22"/>
        </w:rPr>
        <w:t>gNB</w:t>
      </w:r>
      <w:proofErr w:type="spellEnd"/>
      <w:r w:rsidR="0066016A">
        <w:rPr>
          <w:sz w:val="22"/>
          <w:szCs w:val="22"/>
        </w:rPr>
        <w:t xml:space="preserve"> receives the reported CQI values, the channel condition may have already changed and if the modulation and coding scheme is chosen based on the reported CQI values, it could either lead to higher BLER or lower spectrum efficiency. </w:t>
      </w:r>
    </w:p>
    <w:p w14:paraId="48663592" w14:textId="7D537D6A" w:rsidR="00FD42FB" w:rsidRPr="00A374E8" w:rsidRDefault="0066016A" w:rsidP="006231E2">
      <w:pPr>
        <w:spacing w:before="120" w:after="120"/>
        <w:jc w:val="both"/>
        <w:rPr>
          <w:rFonts w:eastAsia="Malgun Gothic"/>
          <w:sz w:val="22"/>
          <w:szCs w:val="22"/>
          <w:lang w:eastAsia="ko-KR"/>
        </w:rPr>
      </w:pPr>
      <w:r>
        <w:rPr>
          <w:sz w:val="22"/>
          <w:szCs w:val="22"/>
        </w:rPr>
        <w:t xml:space="preserve">From reliability perspective, </w:t>
      </w:r>
      <w:proofErr w:type="spellStart"/>
      <w:r>
        <w:rPr>
          <w:sz w:val="22"/>
          <w:szCs w:val="22"/>
        </w:rPr>
        <w:t>gNB</w:t>
      </w:r>
      <w:proofErr w:type="spellEnd"/>
      <w:r>
        <w:rPr>
          <w:sz w:val="22"/>
          <w:szCs w:val="22"/>
        </w:rPr>
        <w:t xml:space="preserve"> can choose operate in a conservative manner, </w:t>
      </w:r>
      <w:r w:rsidR="004177E3" w:rsidRPr="00A374E8">
        <w:rPr>
          <w:rFonts w:eastAsia="Malgun Gothic" w:hint="eastAsia"/>
          <w:sz w:val="22"/>
          <w:szCs w:val="22"/>
          <w:lang w:eastAsia="ko-KR"/>
        </w:rPr>
        <w:t>One way of this is that</w:t>
      </w:r>
      <w:r>
        <w:rPr>
          <w:sz w:val="22"/>
          <w:szCs w:val="22"/>
        </w:rPr>
        <w:t xml:space="preserve"> </w:t>
      </w:r>
      <w:proofErr w:type="spellStart"/>
      <w:r>
        <w:rPr>
          <w:sz w:val="22"/>
          <w:szCs w:val="22"/>
        </w:rPr>
        <w:t>gNB</w:t>
      </w:r>
      <w:proofErr w:type="spellEnd"/>
      <w:r>
        <w:rPr>
          <w:sz w:val="22"/>
          <w:szCs w:val="22"/>
        </w:rPr>
        <w:t xml:space="preserve"> can always choose </w:t>
      </w:r>
      <w:r w:rsidR="00FD42FB">
        <w:rPr>
          <w:sz w:val="22"/>
          <w:szCs w:val="22"/>
        </w:rPr>
        <w:t>to apply an offset between the modulation and coding rate based on the reported CQI values and actual modulation and coding rate</w:t>
      </w:r>
      <w:r w:rsidR="002B3279">
        <w:rPr>
          <w:sz w:val="22"/>
          <w:szCs w:val="22"/>
        </w:rPr>
        <w:t xml:space="preserve"> applied</w:t>
      </w:r>
      <w:r w:rsidR="00FD42FB">
        <w:rPr>
          <w:sz w:val="22"/>
          <w:szCs w:val="22"/>
        </w:rPr>
        <w:t xml:space="preserve">. In another word, </w:t>
      </w:r>
      <w:r>
        <w:rPr>
          <w:sz w:val="22"/>
          <w:szCs w:val="22"/>
        </w:rPr>
        <w:t>a lower modulation order and coding rate than that based on the reported CQI values</w:t>
      </w:r>
      <w:r w:rsidR="00FD42FB">
        <w:rPr>
          <w:sz w:val="22"/>
          <w:szCs w:val="22"/>
        </w:rPr>
        <w:t xml:space="preserve"> can be applied by the </w:t>
      </w:r>
      <w:proofErr w:type="spellStart"/>
      <w:r w:rsidR="00FD42FB">
        <w:rPr>
          <w:sz w:val="22"/>
          <w:szCs w:val="22"/>
        </w:rPr>
        <w:t>gNB</w:t>
      </w:r>
      <w:proofErr w:type="spellEnd"/>
      <w:r w:rsidR="00FD42FB">
        <w:rPr>
          <w:sz w:val="22"/>
          <w:szCs w:val="22"/>
        </w:rPr>
        <w:t xml:space="preserve"> to guarantee the reliability with cost of spectrum efficiency. This offset value should be configured in a UE specific manner </w:t>
      </w:r>
      <w:r w:rsidR="00EF6A9E">
        <w:rPr>
          <w:sz w:val="22"/>
          <w:szCs w:val="22"/>
        </w:rPr>
        <w:t>considering</w:t>
      </w:r>
      <w:r w:rsidR="00FD42FB">
        <w:rPr>
          <w:sz w:val="22"/>
          <w:szCs w:val="22"/>
        </w:rPr>
        <w:t xml:space="preserve"> UEs </w:t>
      </w:r>
      <w:r w:rsidR="00EF6A9E">
        <w:rPr>
          <w:sz w:val="22"/>
          <w:szCs w:val="22"/>
        </w:rPr>
        <w:t>i</w:t>
      </w:r>
      <w:r w:rsidR="00FD42FB">
        <w:rPr>
          <w:sz w:val="22"/>
          <w:szCs w:val="22"/>
        </w:rPr>
        <w:t xml:space="preserve">n different scenarios, and/or with different </w:t>
      </w:r>
      <w:r w:rsidR="00EF6A9E">
        <w:rPr>
          <w:sz w:val="22"/>
          <w:szCs w:val="22"/>
        </w:rPr>
        <w:t xml:space="preserve">reliability </w:t>
      </w:r>
      <w:r w:rsidR="00FD42FB">
        <w:rPr>
          <w:sz w:val="22"/>
          <w:szCs w:val="22"/>
        </w:rPr>
        <w:t>requirements</w:t>
      </w:r>
      <w:r w:rsidR="00EF6A9E">
        <w:rPr>
          <w:sz w:val="22"/>
          <w:szCs w:val="22"/>
        </w:rPr>
        <w:t xml:space="preserve">. </w:t>
      </w:r>
      <w:r w:rsidR="004177E3" w:rsidRPr="00A374E8">
        <w:rPr>
          <w:rFonts w:eastAsia="Malgun Gothic" w:hint="eastAsia"/>
          <w:sz w:val="22"/>
          <w:szCs w:val="22"/>
          <w:lang w:eastAsia="ko-KR"/>
        </w:rPr>
        <w:t xml:space="preserve">The other </w:t>
      </w:r>
      <w:r w:rsidR="008C6EDA" w:rsidRPr="00A374E8">
        <w:rPr>
          <w:rFonts w:eastAsia="Malgun Gothic" w:hint="eastAsia"/>
          <w:sz w:val="22"/>
          <w:szCs w:val="22"/>
          <w:lang w:eastAsia="ko-KR"/>
        </w:rPr>
        <w:t xml:space="preserve">conservative way is that </w:t>
      </w:r>
      <w:proofErr w:type="spellStart"/>
      <w:r w:rsidR="008C6EDA"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always use the lowest MCS without CQI reporting</w:t>
      </w:r>
      <w:r w:rsidR="004177E3" w:rsidRPr="00A374E8">
        <w:rPr>
          <w:rFonts w:eastAsia="Malgun Gothic" w:hint="eastAsia"/>
          <w:sz w:val="22"/>
          <w:szCs w:val="22"/>
          <w:lang w:eastAsia="ko-KR"/>
        </w:rPr>
        <w:t xml:space="preserve">, where UE does not need to report CQI to the </w:t>
      </w:r>
      <w:proofErr w:type="spellStart"/>
      <w:r w:rsidR="004177E3" w:rsidRPr="00A374E8">
        <w:rPr>
          <w:rFonts w:eastAsia="Malgun Gothic" w:hint="eastAsia"/>
          <w:sz w:val="22"/>
          <w:szCs w:val="22"/>
          <w:lang w:eastAsia="ko-KR"/>
        </w:rPr>
        <w:t>gNB</w:t>
      </w:r>
      <w:proofErr w:type="spellEnd"/>
      <w:r w:rsidR="008C6EDA" w:rsidRPr="00A374E8">
        <w:rPr>
          <w:rFonts w:eastAsia="Malgun Gothic" w:hint="eastAsia"/>
          <w:sz w:val="22"/>
          <w:szCs w:val="22"/>
          <w:lang w:eastAsia="ko-KR"/>
        </w:rPr>
        <w:t xml:space="preserve">. </w:t>
      </w:r>
      <w:r w:rsidR="00EF6A9E">
        <w:rPr>
          <w:sz w:val="22"/>
          <w:szCs w:val="22"/>
        </w:rPr>
        <w:t xml:space="preserve">Another solution is to explore long term channel condition, which is expected to be more stable than short term channel condition, to determine modulation and coding rate. </w:t>
      </w:r>
      <w:r w:rsidR="00D22AC6">
        <w:rPr>
          <w:sz w:val="22"/>
          <w:szCs w:val="22"/>
        </w:rPr>
        <w:t xml:space="preserve">In the meantime, the CQI report can also be based on long term channel measurement and the reporting periodicity can be longer. In order to improve spectrum efficiency, prediction based approach can also be considered where the </w:t>
      </w:r>
      <w:proofErr w:type="spellStart"/>
      <w:r w:rsidR="00D22AC6">
        <w:rPr>
          <w:sz w:val="22"/>
          <w:szCs w:val="22"/>
        </w:rPr>
        <w:t>gNB</w:t>
      </w:r>
      <w:proofErr w:type="spellEnd"/>
      <w:r w:rsidR="00D22AC6">
        <w:rPr>
          <w:sz w:val="22"/>
          <w:szCs w:val="22"/>
        </w:rPr>
        <w:t xml:space="preserve"> predict modulation and coding rate based on previous channel condition report, </w:t>
      </w:r>
      <w:proofErr w:type="spellStart"/>
      <w:r w:rsidR="00D22AC6">
        <w:rPr>
          <w:sz w:val="22"/>
          <w:szCs w:val="22"/>
        </w:rPr>
        <w:t>gNB</w:t>
      </w:r>
      <w:proofErr w:type="spellEnd"/>
      <w:r w:rsidR="00D22AC6">
        <w:rPr>
          <w:sz w:val="22"/>
          <w:szCs w:val="22"/>
        </w:rPr>
        <w:t xml:space="preserve"> and UE trajectory, etc.</w:t>
      </w:r>
      <w:r w:rsidR="00EF6A9E">
        <w:rPr>
          <w:sz w:val="22"/>
          <w:szCs w:val="22"/>
        </w:rPr>
        <w:t xml:space="preserve"> </w:t>
      </w:r>
      <w:r w:rsidR="00D22AC6">
        <w:rPr>
          <w:sz w:val="22"/>
          <w:szCs w:val="22"/>
        </w:rPr>
        <w:t>A confidence level can also be indicated with the prediction so that the UE can choose its own behaviour based on the confidence level.</w:t>
      </w:r>
      <w:r w:rsidR="007B75A7">
        <w:rPr>
          <w:sz w:val="22"/>
          <w:szCs w:val="22"/>
        </w:rPr>
        <w:t xml:space="preserve"> It should be noted that the same issue will also happen in UL and similar approaches can be employed</w:t>
      </w:r>
      <w:r w:rsidR="004177E3" w:rsidRPr="00A374E8">
        <w:rPr>
          <w:rFonts w:eastAsia="Malgun Gothic" w:hint="eastAsia"/>
          <w:sz w:val="22"/>
          <w:szCs w:val="22"/>
          <w:lang w:eastAsia="ko-KR"/>
        </w:rPr>
        <w:t>.</w:t>
      </w:r>
      <w:r w:rsidR="00A404F6">
        <w:rPr>
          <w:rFonts w:eastAsia="Malgun Gothic"/>
          <w:sz w:val="22"/>
          <w:szCs w:val="22"/>
          <w:lang w:eastAsia="ko-KR"/>
        </w:rPr>
        <w:t xml:space="preserve"> </w:t>
      </w:r>
      <w:r w:rsidR="00A404F6" w:rsidRPr="00A404F6">
        <w:rPr>
          <w:rFonts w:eastAsia="Malgun Gothic"/>
          <w:sz w:val="22"/>
          <w:szCs w:val="22"/>
          <w:lang w:eastAsia="ko-KR"/>
        </w:rPr>
        <w:t>Another solution is to introduce a CQI report disabling mechanism based on certain conditions such as satellite and/or UE location and speed, channel condition, etc. For example, if the distance between the UE and the satellite is very large and/or the propagation delay is larger than a certain threshold, CQI reporting is disabled</w:t>
      </w:r>
      <w:r w:rsidR="00A404F6">
        <w:rPr>
          <w:rFonts w:eastAsia="Malgun Gothic"/>
          <w:sz w:val="22"/>
          <w:szCs w:val="22"/>
          <w:lang w:eastAsia="ko-KR"/>
        </w:rPr>
        <w:t>.</w:t>
      </w:r>
    </w:p>
    <w:p w14:paraId="14220A58" w14:textId="77777777" w:rsidR="007B75A7" w:rsidRDefault="007B75A7" w:rsidP="006231E2">
      <w:pPr>
        <w:pStyle w:val="Caption"/>
        <w:spacing w:before="0"/>
        <w:jc w:val="both"/>
        <w:rPr>
          <w:b/>
          <w:sz w:val="22"/>
          <w:szCs w:val="22"/>
        </w:rPr>
      </w:pPr>
      <w:bookmarkStart w:id="2" w:name="_Ref509300562"/>
      <w:r>
        <w:rPr>
          <w:b/>
          <w:sz w:val="22"/>
          <w:szCs w:val="22"/>
        </w:rPr>
        <w:lastRenderedPageBreak/>
        <w:t>Proposal</w:t>
      </w:r>
      <w:r w:rsidR="00B11E19" w:rsidRPr="006D2504">
        <w:rPr>
          <w:b/>
          <w:sz w:val="22"/>
          <w:szCs w:val="22"/>
        </w:rPr>
        <w:t xml:space="preserve"> </w:t>
      </w:r>
      <w:r w:rsidR="00B11E19" w:rsidRPr="006D2504">
        <w:rPr>
          <w:b/>
          <w:sz w:val="22"/>
          <w:szCs w:val="22"/>
        </w:rPr>
        <w:fldChar w:fldCharType="begin"/>
      </w:r>
      <w:r w:rsidR="00B11E19" w:rsidRPr="006D2504">
        <w:rPr>
          <w:b/>
          <w:sz w:val="22"/>
          <w:szCs w:val="22"/>
        </w:rPr>
        <w:instrText xml:space="preserve"> SEQ Observation \* ARABIC </w:instrText>
      </w:r>
      <w:r w:rsidR="00B11E19" w:rsidRPr="006D2504">
        <w:rPr>
          <w:b/>
          <w:sz w:val="22"/>
          <w:szCs w:val="22"/>
        </w:rPr>
        <w:fldChar w:fldCharType="separate"/>
      </w:r>
      <w:r w:rsidR="00A60A3D">
        <w:rPr>
          <w:b/>
          <w:noProof/>
          <w:sz w:val="22"/>
          <w:szCs w:val="22"/>
        </w:rPr>
        <w:t>1</w:t>
      </w:r>
      <w:r w:rsidR="00B11E19" w:rsidRPr="006D2504">
        <w:rPr>
          <w:b/>
          <w:sz w:val="22"/>
          <w:szCs w:val="22"/>
        </w:rPr>
        <w:fldChar w:fldCharType="end"/>
      </w:r>
      <w:r w:rsidR="00B11E19" w:rsidRPr="006D2504">
        <w:rPr>
          <w:b/>
          <w:sz w:val="22"/>
          <w:szCs w:val="22"/>
        </w:rPr>
        <w:t xml:space="preserve">: </w:t>
      </w:r>
      <w:r w:rsidR="000F24B1" w:rsidRPr="006D2504">
        <w:rPr>
          <w:b/>
          <w:sz w:val="22"/>
          <w:szCs w:val="22"/>
        </w:rPr>
        <w:t xml:space="preserve">Large propagation delays in NTNs have impact on </w:t>
      </w:r>
      <w:r>
        <w:rPr>
          <w:b/>
          <w:sz w:val="22"/>
          <w:szCs w:val="22"/>
        </w:rPr>
        <w:t>AMC and following solutions can be considered</w:t>
      </w:r>
    </w:p>
    <w:p w14:paraId="78F37F72" w14:textId="77777777" w:rsidR="007B75A7" w:rsidRDefault="007B75A7" w:rsidP="007B75A7">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306D426F" w14:textId="77777777" w:rsidR="007B75A7" w:rsidRDefault="007B75A7" w:rsidP="007B75A7">
      <w:pPr>
        <w:pStyle w:val="Caption"/>
        <w:numPr>
          <w:ilvl w:val="0"/>
          <w:numId w:val="38"/>
        </w:numPr>
        <w:spacing w:before="0"/>
        <w:jc w:val="both"/>
        <w:rPr>
          <w:b/>
          <w:sz w:val="22"/>
          <w:szCs w:val="22"/>
        </w:rPr>
      </w:pPr>
      <w:r>
        <w:rPr>
          <w:b/>
          <w:sz w:val="22"/>
          <w:szCs w:val="22"/>
        </w:rPr>
        <w:t>AMC based on long term channel;</w:t>
      </w:r>
    </w:p>
    <w:bookmarkEnd w:id="2"/>
    <w:p w14:paraId="6A9A6647" w14:textId="129CE693" w:rsidR="00B11E19" w:rsidRDefault="007B75A7" w:rsidP="007B75A7">
      <w:pPr>
        <w:pStyle w:val="Caption"/>
        <w:numPr>
          <w:ilvl w:val="0"/>
          <w:numId w:val="38"/>
        </w:numPr>
        <w:spacing w:before="0"/>
        <w:jc w:val="both"/>
        <w:rPr>
          <w:b/>
          <w:sz w:val="22"/>
          <w:szCs w:val="22"/>
        </w:rPr>
      </w:pPr>
      <w:r>
        <w:rPr>
          <w:b/>
          <w:sz w:val="22"/>
          <w:szCs w:val="22"/>
        </w:rPr>
        <w:t>Prediction with confidence level</w:t>
      </w:r>
      <w:r w:rsidR="00A404F6">
        <w:rPr>
          <w:b/>
          <w:sz w:val="22"/>
          <w:szCs w:val="22"/>
        </w:rPr>
        <w:t>;</w:t>
      </w:r>
    </w:p>
    <w:p w14:paraId="53EDD52D" w14:textId="4420B12F" w:rsidR="00A404F6" w:rsidRDefault="00A404F6" w:rsidP="00A404F6">
      <w:pPr>
        <w:pStyle w:val="Caption"/>
        <w:numPr>
          <w:ilvl w:val="0"/>
          <w:numId w:val="38"/>
        </w:numPr>
        <w:spacing w:before="0"/>
        <w:jc w:val="both"/>
        <w:rPr>
          <w:b/>
          <w:sz w:val="22"/>
          <w:szCs w:val="22"/>
        </w:rPr>
      </w:pPr>
      <w:r>
        <w:rPr>
          <w:b/>
          <w:sz w:val="22"/>
          <w:szCs w:val="22"/>
        </w:rPr>
        <w:t>Distance based CQI reporting enabling/disabling.</w:t>
      </w:r>
    </w:p>
    <w:p w14:paraId="06FF572E" w14:textId="77777777" w:rsidR="00A404F6" w:rsidRPr="00A404F6" w:rsidRDefault="00A404F6" w:rsidP="00A404F6"/>
    <w:p w14:paraId="40529659"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7B75A7">
        <w:rPr>
          <w:rFonts w:ascii="Arial" w:hAnsi="Arial" w:cs="Arial"/>
          <w:sz w:val="28"/>
          <w:szCs w:val="28"/>
        </w:rPr>
        <w:t>CSI and RRM measurement</w:t>
      </w:r>
    </w:p>
    <w:p w14:paraId="3B5EA508" w14:textId="616D72B1" w:rsidR="00B36FD2" w:rsidRPr="006D2504" w:rsidRDefault="007B75A7" w:rsidP="00733582">
      <w:pPr>
        <w:spacing w:after="120"/>
        <w:jc w:val="both"/>
        <w:rPr>
          <w:sz w:val="22"/>
          <w:szCs w:val="22"/>
        </w:rPr>
      </w:pPr>
      <w:r>
        <w:rPr>
          <w:sz w:val="22"/>
          <w:szCs w:val="22"/>
        </w:rPr>
        <w:t xml:space="preserve">In NR, UE needs to measure the channel and feedback the CSI information so that the serving </w:t>
      </w:r>
      <w:proofErr w:type="spellStart"/>
      <w:r>
        <w:rPr>
          <w:sz w:val="22"/>
          <w:szCs w:val="22"/>
        </w:rPr>
        <w:t>gNB</w:t>
      </w:r>
      <w:proofErr w:type="spellEnd"/>
      <w:r>
        <w:rPr>
          <w:sz w:val="22"/>
          <w:szCs w:val="22"/>
        </w:rPr>
        <w:t xml:space="preserve"> can determine its transmission </w:t>
      </w:r>
      <w:r w:rsidR="004177E3" w:rsidRPr="00A374E8">
        <w:rPr>
          <w:rFonts w:eastAsia="Malgun Gothic" w:hint="eastAsia"/>
          <w:sz w:val="22"/>
          <w:szCs w:val="22"/>
          <w:lang w:eastAsia="ko-KR"/>
        </w:rPr>
        <w:t>parameters</w:t>
      </w:r>
      <w:r w:rsidR="004177E3">
        <w:rPr>
          <w:sz w:val="22"/>
          <w:szCs w:val="22"/>
        </w:rPr>
        <w:t xml:space="preserve"> </w:t>
      </w:r>
      <w:r>
        <w:rPr>
          <w:sz w:val="22"/>
          <w:szCs w:val="22"/>
        </w:rPr>
        <w:t xml:space="preserve">including pre-coding, </w:t>
      </w:r>
      <w:r w:rsidR="004177E3" w:rsidRPr="00A374E8">
        <w:rPr>
          <w:rFonts w:eastAsia="Malgun Gothic" w:hint="eastAsia"/>
          <w:sz w:val="22"/>
          <w:szCs w:val="22"/>
          <w:lang w:eastAsia="ko-KR"/>
        </w:rPr>
        <w:t>MCS</w:t>
      </w:r>
      <w:r>
        <w:rPr>
          <w:sz w:val="22"/>
          <w:szCs w:val="22"/>
        </w:rPr>
        <w:t xml:space="preserve">, RS configurations, etc. In the meantime, UE also need to conduct RRM measurement via SSB/CSI-RS and report the measurements back to the serving </w:t>
      </w:r>
      <w:proofErr w:type="spellStart"/>
      <w:r>
        <w:rPr>
          <w:sz w:val="22"/>
          <w:szCs w:val="22"/>
        </w:rPr>
        <w:t>gNB</w:t>
      </w:r>
      <w:proofErr w:type="spellEnd"/>
      <w:r>
        <w:rPr>
          <w:sz w:val="22"/>
          <w:szCs w:val="22"/>
        </w:rPr>
        <w:t xml:space="preserve"> to facilitate procedures such as mobility management. </w:t>
      </w:r>
      <w:r w:rsidR="00733582">
        <w:rPr>
          <w:sz w:val="22"/>
          <w:szCs w:val="22"/>
        </w:rPr>
        <w:t>A</w:t>
      </w:r>
      <w:r>
        <w:rPr>
          <w:sz w:val="22"/>
          <w:szCs w:val="22"/>
        </w:rPr>
        <w:t>s aforementioned, the measurement reports could be out of date due to the extremely</w:t>
      </w:r>
      <w:r w:rsidR="00733582">
        <w:rPr>
          <w:sz w:val="22"/>
          <w:szCs w:val="22"/>
        </w:rPr>
        <w:t xml:space="preserve"> long propagation delay. In this regard, long term channel </w:t>
      </w:r>
      <w:bookmarkStart w:id="3" w:name="_GoBack"/>
      <w:r w:rsidR="00733582">
        <w:rPr>
          <w:sz w:val="22"/>
          <w:szCs w:val="22"/>
        </w:rPr>
        <w:t xml:space="preserve">measurement seems more feasible. However, it does not mean short term CSI and RRM measurement and feedback are not needed. They </w:t>
      </w:r>
      <w:bookmarkEnd w:id="3"/>
      <w:r w:rsidR="00733582">
        <w:rPr>
          <w:sz w:val="22"/>
          <w:szCs w:val="22"/>
        </w:rPr>
        <w:t xml:space="preserve">can be at least used for channel prediction. The feasibility of both long term and short term CSI and RRM measurement and feedback should be further investigated. </w:t>
      </w:r>
    </w:p>
    <w:p w14:paraId="38EDEF6F" w14:textId="77777777" w:rsidR="00C120E9" w:rsidRDefault="00733582" w:rsidP="006231E2">
      <w:pPr>
        <w:pStyle w:val="Caption"/>
        <w:spacing w:before="0"/>
        <w:jc w:val="both"/>
        <w:rPr>
          <w:b/>
          <w:sz w:val="22"/>
          <w:szCs w:val="22"/>
        </w:rPr>
      </w:pPr>
      <w:bookmarkStart w:id="4" w:name="_Ref509300587"/>
      <w:r>
        <w:rPr>
          <w:b/>
          <w:sz w:val="22"/>
          <w:szCs w:val="22"/>
        </w:rPr>
        <w:t xml:space="preserve">Proposal 2: </w:t>
      </w:r>
      <w:r w:rsidRPr="00733582">
        <w:rPr>
          <w:b/>
          <w:sz w:val="22"/>
          <w:szCs w:val="22"/>
        </w:rPr>
        <w:t>The feasibility of both long term and short term CSI and RRM measurement and feedback should be further investigated.</w:t>
      </w:r>
      <w:bookmarkEnd w:id="4"/>
    </w:p>
    <w:p w14:paraId="1B0752C3" w14:textId="77777777"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FD42FB">
        <w:rPr>
          <w:rFonts w:ascii="Arial" w:hAnsi="Arial" w:cs="Arial"/>
          <w:sz w:val="28"/>
          <w:szCs w:val="28"/>
        </w:rPr>
        <w:t>3</w:t>
      </w:r>
      <w:r w:rsidRPr="00674EC0">
        <w:rPr>
          <w:rFonts w:ascii="Arial" w:hAnsi="Arial" w:cs="Arial"/>
          <w:sz w:val="28"/>
          <w:szCs w:val="28"/>
        </w:rPr>
        <w:t xml:space="preserve"> </w:t>
      </w:r>
      <w:r w:rsidR="00FD42FB">
        <w:rPr>
          <w:rFonts w:ascii="Arial" w:hAnsi="Arial" w:cs="Arial"/>
          <w:sz w:val="28"/>
          <w:szCs w:val="28"/>
        </w:rPr>
        <w:t>Power control</w:t>
      </w:r>
    </w:p>
    <w:p w14:paraId="02FEC9BA" w14:textId="1BA2BEEA" w:rsidR="00F4150F" w:rsidRDefault="00F4150F" w:rsidP="00F4150F">
      <w:pPr>
        <w:spacing w:after="120"/>
        <w:jc w:val="both"/>
        <w:rPr>
          <w:sz w:val="22"/>
          <w:szCs w:val="22"/>
        </w:rPr>
      </w:pPr>
      <w:r w:rsidRPr="00F4150F">
        <w:rPr>
          <w:sz w:val="22"/>
          <w:szCs w:val="22"/>
        </w:rPr>
        <w:t xml:space="preserve">Power control can be categorized into open loop and closed loop depending on whether feedback is </w:t>
      </w:r>
      <w:r w:rsidR="00555795" w:rsidRPr="00A374E8">
        <w:rPr>
          <w:rFonts w:eastAsia="Malgun Gothic" w:hint="eastAsia"/>
          <w:sz w:val="22"/>
          <w:szCs w:val="22"/>
          <w:lang w:eastAsia="ko-KR"/>
        </w:rPr>
        <w:t>applied</w:t>
      </w:r>
      <w:r w:rsidRPr="00F4150F">
        <w:rPr>
          <w:sz w:val="22"/>
          <w:szCs w:val="22"/>
        </w:rPr>
        <w:t xml:space="preserve">. </w:t>
      </w:r>
      <w:r>
        <w:rPr>
          <w:sz w:val="22"/>
          <w:szCs w:val="22"/>
        </w:rPr>
        <w:t xml:space="preserve">For NTN, open loop power control without feedback seems more suitable considering the long propagation delay. </w:t>
      </w:r>
      <w:r w:rsidR="00957B73">
        <w:rPr>
          <w:sz w:val="22"/>
          <w:szCs w:val="22"/>
        </w:rPr>
        <w:t>F</w:t>
      </w:r>
      <w:r>
        <w:rPr>
          <w:sz w:val="22"/>
          <w:szCs w:val="22"/>
        </w:rPr>
        <w:t xml:space="preserve">or open loop power control, UE should be allowed to </w:t>
      </w:r>
      <w:r w:rsidR="00957B73">
        <w:rPr>
          <w:sz w:val="22"/>
          <w:szCs w:val="22"/>
        </w:rPr>
        <w:t>adjust/</w:t>
      </w:r>
      <w:r>
        <w:rPr>
          <w:sz w:val="22"/>
          <w:szCs w:val="22"/>
        </w:rPr>
        <w:t xml:space="preserve">predict its own transmission power not only based on DL measurement, e.g., </w:t>
      </w:r>
      <w:proofErr w:type="spellStart"/>
      <w:r>
        <w:rPr>
          <w:sz w:val="22"/>
          <w:szCs w:val="22"/>
        </w:rPr>
        <w:t>pathloss</w:t>
      </w:r>
      <w:proofErr w:type="spellEnd"/>
      <w:r>
        <w:rPr>
          <w:sz w:val="22"/>
          <w:szCs w:val="22"/>
        </w:rPr>
        <w:t xml:space="preserve"> measurement but also other available information, such as </w:t>
      </w:r>
      <w:proofErr w:type="spellStart"/>
      <w:r>
        <w:rPr>
          <w:sz w:val="22"/>
          <w:szCs w:val="22"/>
        </w:rPr>
        <w:t>gNB</w:t>
      </w:r>
      <w:proofErr w:type="spellEnd"/>
      <w:r>
        <w:rPr>
          <w:sz w:val="22"/>
          <w:szCs w:val="22"/>
        </w:rPr>
        <w:t xml:space="preserve"> </w:t>
      </w:r>
      <w:r w:rsidRPr="00F4150F">
        <w:rPr>
          <w:sz w:val="22"/>
          <w:szCs w:val="22"/>
        </w:rPr>
        <w:t>ephemeris</w:t>
      </w:r>
      <w:r>
        <w:rPr>
          <w:sz w:val="22"/>
          <w:szCs w:val="22"/>
        </w:rPr>
        <w:t xml:space="preserve"> and UE trajectory. </w:t>
      </w:r>
    </w:p>
    <w:p w14:paraId="038D919B" w14:textId="77777777" w:rsidR="00F4150F" w:rsidRDefault="00F4150F" w:rsidP="00F4150F">
      <w:pPr>
        <w:pStyle w:val="Caption"/>
        <w:spacing w:before="0"/>
        <w:jc w:val="both"/>
        <w:rPr>
          <w:b/>
          <w:sz w:val="22"/>
          <w:szCs w:val="22"/>
        </w:rPr>
      </w:pPr>
      <w:r>
        <w:rPr>
          <w:b/>
          <w:sz w:val="22"/>
          <w:szCs w:val="22"/>
        </w:rPr>
        <w:t xml:space="preserve">Proposal 3: </w:t>
      </w:r>
      <w:r w:rsidR="00106F56">
        <w:rPr>
          <w:b/>
          <w:sz w:val="22"/>
          <w:szCs w:val="22"/>
        </w:rPr>
        <w:t xml:space="preserve">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6917A127" w14:textId="6EC0F027" w:rsidR="00F4150F" w:rsidRDefault="00F4150F" w:rsidP="00F4150F">
      <w:pPr>
        <w:spacing w:after="120"/>
        <w:jc w:val="both"/>
        <w:rPr>
          <w:sz w:val="22"/>
          <w:szCs w:val="22"/>
        </w:rPr>
      </w:pPr>
      <w:r>
        <w:rPr>
          <w:sz w:val="22"/>
          <w:szCs w:val="22"/>
        </w:rPr>
        <w:t xml:space="preserve">Closed loop </w:t>
      </w:r>
      <w:r w:rsidR="00106F56">
        <w:rPr>
          <w:sz w:val="22"/>
          <w:szCs w:val="22"/>
        </w:rPr>
        <w:t xml:space="preserve">power control can also be considered in addition to open loop mechanism. </w:t>
      </w:r>
      <w:r w:rsidR="002B3279">
        <w:rPr>
          <w:sz w:val="22"/>
          <w:szCs w:val="22"/>
        </w:rPr>
        <w:t xml:space="preserve">For certain types of NTN, e.g., GEO satellite, it is static relative to the earth. In this case, the change of path loss with respect to time will be slow. Therefore, closed loop (and open loop) power control can benefit if the UE can get the information of what type of the </w:t>
      </w:r>
      <w:proofErr w:type="spellStart"/>
      <w:r w:rsidR="002B3279">
        <w:rPr>
          <w:sz w:val="22"/>
          <w:szCs w:val="22"/>
        </w:rPr>
        <w:t>gNB</w:t>
      </w:r>
      <w:proofErr w:type="spellEnd"/>
      <w:r w:rsidR="002B3279">
        <w:rPr>
          <w:sz w:val="22"/>
          <w:szCs w:val="22"/>
        </w:rPr>
        <w:t xml:space="preserve"> is. </w:t>
      </w:r>
      <w:r w:rsidR="00106F56">
        <w:rPr>
          <w:sz w:val="22"/>
          <w:szCs w:val="22"/>
        </w:rPr>
        <w:t xml:space="preserve">Moreover, the distance between the different UEs and the serving </w:t>
      </w:r>
      <w:proofErr w:type="spellStart"/>
      <w:r w:rsidR="00106F56">
        <w:rPr>
          <w:sz w:val="22"/>
          <w:szCs w:val="22"/>
        </w:rPr>
        <w:t>gNB</w:t>
      </w:r>
      <w:proofErr w:type="spellEnd"/>
      <w:r w:rsidR="00106F56">
        <w:rPr>
          <w:sz w:val="22"/>
          <w:szCs w:val="22"/>
        </w:rPr>
        <w:t xml:space="preserve"> actually does not differ much considering the long distance, e.g., 35786 km for GEO satellite. In this regard, the transmission power of different UEs can be adjusted as a group with a reference UE transmission power.</w:t>
      </w:r>
    </w:p>
    <w:p w14:paraId="4A8E4EB1" w14:textId="77777777" w:rsidR="00106F56" w:rsidRDefault="00106F56" w:rsidP="00106F56">
      <w:pPr>
        <w:pStyle w:val="Caption"/>
        <w:spacing w:before="0"/>
        <w:jc w:val="both"/>
        <w:rPr>
          <w:b/>
          <w:sz w:val="22"/>
          <w:szCs w:val="22"/>
        </w:rPr>
      </w:pPr>
      <w:r>
        <w:rPr>
          <w:b/>
          <w:sz w:val="22"/>
          <w:szCs w:val="22"/>
        </w:rPr>
        <w:t xml:space="preserve">Proposal </w:t>
      </w:r>
      <w:r w:rsidR="00037642">
        <w:rPr>
          <w:b/>
          <w:sz w:val="22"/>
          <w:szCs w:val="22"/>
        </w:rPr>
        <w:t>4</w:t>
      </w:r>
      <w:r>
        <w:rPr>
          <w:b/>
          <w:sz w:val="22"/>
          <w:szCs w:val="22"/>
        </w:rPr>
        <w:t xml:space="preserve">: </w:t>
      </w:r>
      <w:r w:rsidR="00037642">
        <w:rPr>
          <w:b/>
          <w:sz w:val="22"/>
          <w:szCs w:val="22"/>
        </w:rPr>
        <w:t>Closed loop power control should be studied in NTN and group power control can be considered</w:t>
      </w:r>
      <w:r w:rsidRPr="00733582">
        <w:rPr>
          <w:b/>
          <w:sz w:val="22"/>
          <w:szCs w:val="22"/>
        </w:rPr>
        <w:t>.</w:t>
      </w:r>
    </w:p>
    <w:p w14:paraId="506DBEAE" w14:textId="77777777" w:rsidR="00B26D3D" w:rsidRPr="00674EC0" w:rsidRDefault="00B26D3D" w:rsidP="00B26D3D">
      <w:pPr>
        <w:spacing w:before="240" w:after="120"/>
        <w:jc w:val="both"/>
        <w:rPr>
          <w:rFonts w:ascii="Arial" w:hAnsi="Arial" w:cs="Arial"/>
          <w:sz w:val="28"/>
          <w:szCs w:val="28"/>
        </w:rPr>
      </w:pPr>
      <w:r w:rsidRPr="00674EC0">
        <w:rPr>
          <w:rFonts w:ascii="Arial" w:hAnsi="Arial" w:cs="Arial"/>
          <w:sz w:val="28"/>
          <w:szCs w:val="28"/>
        </w:rPr>
        <w:t>2.</w:t>
      </w:r>
      <w:r>
        <w:rPr>
          <w:rFonts w:ascii="Arial" w:hAnsi="Arial" w:cs="Arial"/>
          <w:sz w:val="28"/>
          <w:szCs w:val="28"/>
        </w:rPr>
        <w:t>4</w:t>
      </w:r>
      <w:r w:rsidRPr="00674EC0">
        <w:rPr>
          <w:rFonts w:ascii="Arial" w:hAnsi="Arial" w:cs="Arial"/>
          <w:sz w:val="28"/>
          <w:szCs w:val="28"/>
        </w:rPr>
        <w:t xml:space="preserve"> </w:t>
      </w:r>
      <w:r>
        <w:rPr>
          <w:rFonts w:ascii="Arial" w:hAnsi="Arial" w:cs="Arial"/>
          <w:sz w:val="28"/>
          <w:szCs w:val="28"/>
        </w:rPr>
        <w:t>Bent-pipe architecture</w:t>
      </w:r>
    </w:p>
    <w:p w14:paraId="1D390602" w14:textId="33037E05" w:rsidR="00B26D3D" w:rsidRDefault="00B26D3D" w:rsidP="00B26D3D">
      <w:pPr>
        <w:spacing w:after="120"/>
        <w:jc w:val="both"/>
        <w:rPr>
          <w:sz w:val="22"/>
          <w:szCs w:val="22"/>
        </w:rPr>
      </w:pPr>
      <w:r>
        <w:rPr>
          <w:sz w:val="22"/>
          <w:szCs w:val="22"/>
        </w:rPr>
        <w:t xml:space="preserve">Another issue for physical layer procedures in NTN is for the bent-pipe architecture where the </w:t>
      </w:r>
      <w:r w:rsidRPr="00B26D3D">
        <w:rPr>
          <w:sz w:val="22"/>
          <w:szCs w:val="22"/>
        </w:rPr>
        <w:t xml:space="preserve">satellite will relay </w:t>
      </w:r>
      <w:r>
        <w:rPr>
          <w:sz w:val="22"/>
          <w:szCs w:val="22"/>
        </w:rPr>
        <w:t xml:space="preserve">the </w:t>
      </w:r>
      <w:r w:rsidRPr="00B26D3D">
        <w:rPr>
          <w:sz w:val="22"/>
          <w:szCs w:val="22"/>
        </w:rPr>
        <w:t xml:space="preserve">signal between the </w:t>
      </w:r>
      <w:proofErr w:type="spellStart"/>
      <w:r w:rsidRPr="00B26D3D">
        <w:rPr>
          <w:sz w:val="22"/>
          <w:szCs w:val="22"/>
        </w:rPr>
        <w:t>gNB</w:t>
      </w:r>
      <w:proofErr w:type="spellEnd"/>
      <w:r w:rsidRPr="00B26D3D">
        <w:rPr>
          <w:sz w:val="22"/>
          <w:szCs w:val="22"/>
        </w:rPr>
        <w:t xml:space="preserve"> and </w:t>
      </w:r>
      <w:r>
        <w:rPr>
          <w:sz w:val="22"/>
          <w:szCs w:val="22"/>
        </w:rPr>
        <w:t xml:space="preserve">the UEs in a transparent manner. For example, in such a case, the power control needs to take both </w:t>
      </w:r>
      <w:r w:rsidR="00957B73">
        <w:rPr>
          <w:sz w:val="22"/>
          <w:szCs w:val="22"/>
        </w:rPr>
        <w:t xml:space="preserve">the </w:t>
      </w:r>
      <w:r>
        <w:rPr>
          <w:sz w:val="22"/>
          <w:szCs w:val="22"/>
        </w:rPr>
        <w:t xml:space="preserve">link </w:t>
      </w:r>
      <w:r w:rsidR="00957B73">
        <w:rPr>
          <w:sz w:val="22"/>
          <w:szCs w:val="22"/>
        </w:rPr>
        <w:t xml:space="preserve">between the UE and the satellite </w:t>
      </w:r>
      <w:r>
        <w:rPr>
          <w:sz w:val="22"/>
          <w:szCs w:val="22"/>
        </w:rPr>
        <w:t xml:space="preserve">and </w:t>
      </w:r>
      <w:r w:rsidR="00957B73">
        <w:rPr>
          <w:sz w:val="22"/>
          <w:szCs w:val="22"/>
        </w:rPr>
        <w:t xml:space="preserve">the link between the satellite and the </w:t>
      </w:r>
      <w:proofErr w:type="spellStart"/>
      <w:r w:rsidR="00957B73">
        <w:rPr>
          <w:sz w:val="22"/>
          <w:szCs w:val="22"/>
        </w:rPr>
        <w:t>gNB</w:t>
      </w:r>
      <w:proofErr w:type="spellEnd"/>
      <w:r w:rsidR="00957B73">
        <w:rPr>
          <w:sz w:val="22"/>
          <w:szCs w:val="22"/>
        </w:rPr>
        <w:t xml:space="preserve"> on ground</w:t>
      </w:r>
      <w:r>
        <w:rPr>
          <w:sz w:val="22"/>
          <w:szCs w:val="22"/>
        </w:rPr>
        <w:t xml:space="preserve"> into account.</w:t>
      </w:r>
      <w:r w:rsidR="007C7C9C">
        <w:rPr>
          <w:sz w:val="22"/>
          <w:szCs w:val="22"/>
        </w:rPr>
        <w:t xml:space="preserve"> The controlling mechanism as well as the signalling procedure needs to be further studied.</w:t>
      </w:r>
    </w:p>
    <w:p w14:paraId="2FA84AAD" w14:textId="280650F9" w:rsidR="00B26D3D" w:rsidRPr="007C7C9C" w:rsidRDefault="007C7C9C" w:rsidP="00B26D3D">
      <w:pPr>
        <w:spacing w:after="120"/>
        <w:jc w:val="both"/>
        <w:rPr>
          <w:b/>
          <w:sz w:val="22"/>
          <w:szCs w:val="22"/>
        </w:rPr>
      </w:pPr>
      <w:r w:rsidRPr="007C7C9C">
        <w:rPr>
          <w:b/>
          <w:sz w:val="22"/>
          <w:szCs w:val="22"/>
        </w:rPr>
        <w:t>Proposal 5</w:t>
      </w:r>
      <w:r w:rsidR="00B26D3D" w:rsidRPr="007C7C9C">
        <w:rPr>
          <w:b/>
          <w:sz w:val="22"/>
          <w:szCs w:val="22"/>
        </w:rPr>
        <w:t xml:space="preserve">: </w:t>
      </w:r>
      <w:r w:rsidRPr="007C7C9C">
        <w:rPr>
          <w:b/>
          <w:sz w:val="22"/>
          <w:szCs w:val="22"/>
        </w:rPr>
        <w:t xml:space="preserve">Physical layer procedures for bent-pipe architecture need to be further studied taking both </w:t>
      </w:r>
      <w:r w:rsidR="00593FAD" w:rsidRPr="00593FAD">
        <w:rPr>
          <w:b/>
          <w:sz w:val="22"/>
          <w:szCs w:val="22"/>
        </w:rPr>
        <w:t xml:space="preserve">the link between the UE and the satellite and the link between the satellite and the </w:t>
      </w:r>
      <w:proofErr w:type="spellStart"/>
      <w:r w:rsidR="00593FAD" w:rsidRPr="00593FAD">
        <w:rPr>
          <w:b/>
          <w:sz w:val="22"/>
          <w:szCs w:val="22"/>
        </w:rPr>
        <w:t>gNB</w:t>
      </w:r>
      <w:proofErr w:type="spellEnd"/>
      <w:r w:rsidR="00593FAD" w:rsidRPr="00593FAD">
        <w:rPr>
          <w:b/>
          <w:sz w:val="22"/>
          <w:szCs w:val="22"/>
        </w:rPr>
        <w:t xml:space="preserve"> on ground</w:t>
      </w:r>
      <w:r w:rsidR="00593FAD">
        <w:rPr>
          <w:b/>
          <w:sz w:val="22"/>
          <w:szCs w:val="22"/>
        </w:rPr>
        <w:t xml:space="preserve"> </w:t>
      </w:r>
      <w:r w:rsidRPr="007C7C9C">
        <w:rPr>
          <w:b/>
          <w:sz w:val="22"/>
          <w:szCs w:val="22"/>
        </w:rPr>
        <w:t>into account.</w:t>
      </w:r>
      <w:r w:rsidR="00B26D3D" w:rsidRPr="007C7C9C">
        <w:rPr>
          <w:b/>
          <w:sz w:val="22"/>
          <w:szCs w:val="22"/>
        </w:rPr>
        <w:t xml:space="preserve"> </w:t>
      </w:r>
    </w:p>
    <w:p w14:paraId="6645A16B" w14:textId="77777777" w:rsidR="00B26D3D" w:rsidRPr="00C0328A" w:rsidRDefault="00B26D3D" w:rsidP="006231E2">
      <w:pPr>
        <w:pStyle w:val="BodyText"/>
        <w:pBdr>
          <w:bottom w:val="single" w:sz="12" w:space="1" w:color="auto"/>
        </w:pBdr>
        <w:rPr>
          <w:b/>
          <w:sz w:val="22"/>
          <w:szCs w:val="22"/>
        </w:rPr>
      </w:pPr>
    </w:p>
    <w:p w14:paraId="184E6628"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2B1CFAC" w14:textId="4A12F224" w:rsidR="0012256C" w:rsidRPr="00674EC0" w:rsidRDefault="0012256C" w:rsidP="006231E2">
      <w:pPr>
        <w:pStyle w:val="BodyText"/>
        <w:spacing w:before="120"/>
        <w:rPr>
          <w:rFonts w:eastAsia="SimSun"/>
          <w:color w:val="auto"/>
          <w:sz w:val="20"/>
          <w:szCs w:val="20"/>
          <w:lang w:val="en-US" w:eastAsia="zh-CN"/>
        </w:rPr>
      </w:pPr>
      <w:r w:rsidRPr="00674EC0">
        <w:rPr>
          <w:rFonts w:eastAsia="SimSun"/>
          <w:color w:val="auto"/>
          <w:sz w:val="20"/>
          <w:szCs w:val="20"/>
          <w:lang w:val="en-US" w:eastAsia="zh-CN"/>
        </w:rPr>
        <w:t>In this contribution, we have discussed</w:t>
      </w:r>
      <w:r w:rsidR="0072627C" w:rsidRPr="00674EC0">
        <w:rPr>
          <w:rFonts w:eastAsia="SimSun"/>
          <w:color w:val="auto"/>
          <w:sz w:val="20"/>
          <w:szCs w:val="20"/>
          <w:lang w:val="en-US" w:eastAsia="zh-CN"/>
        </w:rPr>
        <w:t xml:space="preserve"> </w:t>
      </w:r>
      <w:r w:rsidR="00D76340">
        <w:rPr>
          <w:rFonts w:eastAsia="SimSun"/>
          <w:color w:val="auto"/>
          <w:sz w:val="20"/>
          <w:szCs w:val="20"/>
          <w:lang w:val="en-US" w:eastAsia="zh-CN"/>
        </w:rPr>
        <w:t xml:space="preserve">impacts of large propagation delay </w:t>
      </w:r>
      <w:r w:rsidR="00791391">
        <w:rPr>
          <w:rFonts w:eastAsia="SimSun"/>
          <w:color w:val="auto"/>
          <w:sz w:val="20"/>
          <w:szCs w:val="20"/>
          <w:lang w:val="en-US" w:eastAsia="zh-CN"/>
        </w:rPr>
        <w:t xml:space="preserve">and extended Doppler </w:t>
      </w:r>
      <w:r w:rsidR="00D76340">
        <w:rPr>
          <w:rFonts w:eastAsia="SimSun"/>
          <w:color w:val="auto"/>
          <w:sz w:val="20"/>
          <w:szCs w:val="20"/>
          <w:lang w:val="en-US" w:eastAsia="zh-CN"/>
        </w:rPr>
        <w:t xml:space="preserve">on </w:t>
      </w:r>
      <w:r w:rsidR="00791391" w:rsidRPr="00791391">
        <w:rPr>
          <w:rFonts w:eastAsia="SimSun"/>
          <w:color w:val="auto"/>
          <w:sz w:val="20"/>
          <w:szCs w:val="20"/>
          <w:lang w:val="en-US" w:eastAsia="zh-CN"/>
        </w:rPr>
        <w:t>physical layer control procedures, e.g., AMC, CSI feedback and power control</w:t>
      </w:r>
      <w:r w:rsidR="00791391" w:rsidRPr="00791391" w:rsidDel="00791391">
        <w:rPr>
          <w:rFonts w:eastAsia="SimSun"/>
          <w:color w:val="auto"/>
          <w:sz w:val="20"/>
          <w:szCs w:val="20"/>
          <w:lang w:val="en-US" w:eastAsia="zh-CN"/>
        </w:rPr>
        <w:t xml:space="preserve"> </w:t>
      </w:r>
      <w:r w:rsidR="00D76340">
        <w:rPr>
          <w:rFonts w:eastAsia="SimSun"/>
          <w:color w:val="auto"/>
          <w:sz w:val="20"/>
          <w:szCs w:val="20"/>
          <w:lang w:val="en-US" w:eastAsia="zh-CN"/>
        </w:rPr>
        <w:t xml:space="preserve">and provided </w:t>
      </w:r>
      <w:r w:rsidR="00791391">
        <w:rPr>
          <w:rFonts w:eastAsia="SimSun"/>
          <w:color w:val="auto"/>
          <w:sz w:val="20"/>
          <w:szCs w:val="20"/>
          <w:lang w:val="en-US" w:eastAsia="zh-CN"/>
        </w:rPr>
        <w:t xml:space="preserve">some </w:t>
      </w:r>
      <w:r w:rsidR="00D76340">
        <w:rPr>
          <w:rFonts w:eastAsia="SimSun"/>
          <w:color w:val="auto"/>
          <w:sz w:val="20"/>
          <w:szCs w:val="20"/>
          <w:lang w:val="en-US" w:eastAsia="zh-CN"/>
        </w:rPr>
        <w:t>solution</w:t>
      </w:r>
      <w:r w:rsidR="00791391">
        <w:rPr>
          <w:rFonts w:eastAsia="SimSun"/>
          <w:color w:val="auto"/>
          <w:sz w:val="20"/>
          <w:szCs w:val="20"/>
          <w:lang w:val="en-US" w:eastAsia="zh-CN"/>
        </w:rPr>
        <w:t>s</w:t>
      </w:r>
      <w:r w:rsidR="00D76340">
        <w:rPr>
          <w:rFonts w:eastAsia="SimSun"/>
          <w:color w:val="auto"/>
          <w:sz w:val="20"/>
          <w:szCs w:val="20"/>
          <w:lang w:val="en-US" w:eastAsia="zh-CN"/>
        </w:rPr>
        <w:t>. To sum up, we have the following observations and proposals.</w:t>
      </w:r>
    </w:p>
    <w:p w14:paraId="4A78A35E" w14:textId="77777777" w:rsidR="00037642" w:rsidRDefault="00037642" w:rsidP="00037642">
      <w:pPr>
        <w:pStyle w:val="Caption"/>
        <w:spacing w:before="0"/>
        <w:jc w:val="both"/>
        <w:rPr>
          <w:b/>
          <w:sz w:val="22"/>
          <w:szCs w:val="22"/>
        </w:rPr>
      </w:pPr>
      <w:r>
        <w:rPr>
          <w:b/>
          <w:sz w:val="22"/>
          <w:szCs w:val="22"/>
        </w:rPr>
        <w:t>Proposal</w:t>
      </w:r>
      <w:r w:rsidRPr="006D2504">
        <w:rPr>
          <w:b/>
          <w:sz w:val="22"/>
          <w:szCs w:val="22"/>
        </w:rPr>
        <w:t xml:space="preserve">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Large propagation delays in NTNs have impact on </w:t>
      </w:r>
      <w:r>
        <w:rPr>
          <w:b/>
          <w:sz w:val="22"/>
          <w:szCs w:val="22"/>
        </w:rPr>
        <w:t>AMC and following solutions can be considered</w:t>
      </w:r>
    </w:p>
    <w:p w14:paraId="11203B99" w14:textId="77777777" w:rsidR="00037642" w:rsidRDefault="00037642" w:rsidP="00037642">
      <w:pPr>
        <w:pStyle w:val="Caption"/>
        <w:numPr>
          <w:ilvl w:val="0"/>
          <w:numId w:val="38"/>
        </w:numPr>
        <w:spacing w:before="0"/>
        <w:jc w:val="both"/>
        <w:rPr>
          <w:b/>
          <w:sz w:val="22"/>
          <w:szCs w:val="22"/>
        </w:rPr>
      </w:pPr>
      <w:proofErr w:type="spellStart"/>
      <w:r>
        <w:rPr>
          <w:b/>
          <w:sz w:val="22"/>
          <w:szCs w:val="22"/>
        </w:rPr>
        <w:t>gNB</w:t>
      </w:r>
      <w:proofErr w:type="spellEnd"/>
      <w:r>
        <w:rPr>
          <w:b/>
          <w:sz w:val="22"/>
          <w:szCs w:val="22"/>
        </w:rPr>
        <w:t xml:space="preserve"> applies AMC offset;</w:t>
      </w:r>
    </w:p>
    <w:p w14:paraId="1C9B0605" w14:textId="77777777" w:rsidR="00037642" w:rsidRDefault="00037642" w:rsidP="00037642">
      <w:pPr>
        <w:pStyle w:val="Caption"/>
        <w:numPr>
          <w:ilvl w:val="0"/>
          <w:numId w:val="38"/>
        </w:numPr>
        <w:spacing w:before="0"/>
        <w:jc w:val="both"/>
        <w:rPr>
          <w:b/>
          <w:sz w:val="22"/>
          <w:szCs w:val="22"/>
        </w:rPr>
      </w:pPr>
      <w:r>
        <w:rPr>
          <w:b/>
          <w:sz w:val="22"/>
          <w:szCs w:val="22"/>
        </w:rPr>
        <w:t>AMC based on long term channel;</w:t>
      </w:r>
    </w:p>
    <w:p w14:paraId="0E63702E" w14:textId="77777777" w:rsidR="00A404F6" w:rsidRDefault="00A404F6" w:rsidP="00A404F6">
      <w:pPr>
        <w:pStyle w:val="Caption"/>
        <w:numPr>
          <w:ilvl w:val="0"/>
          <w:numId w:val="38"/>
        </w:numPr>
        <w:spacing w:before="0"/>
        <w:jc w:val="both"/>
        <w:rPr>
          <w:b/>
          <w:sz w:val="22"/>
          <w:szCs w:val="22"/>
        </w:rPr>
      </w:pPr>
      <w:r>
        <w:rPr>
          <w:b/>
          <w:sz w:val="22"/>
          <w:szCs w:val="22"/>
        </w:rPr>
        <w:t>Prediction with confidence level;</w:t>
      </w:r>
    </w:p>
    <w:p w14:paraId="0242B274" w14:textId="30E416C9" w:rsidR="00037642" w:rsidRPr="00A404F6" w:rsidRDefault="00A404F6" w:rsidP="00A404F6">
      <w:pPr>
        <w:pStyle w:val="Caption"/>
        <w:numPr>
          <w:ilvl w:val="0"/>
          <w:numId w:val="38"/>
        </w:numPr>
        <w:spacing w:before="0"/>
        <w:jc w:val="both"/>
        <w:rPr>
          <w:b/>
          <w:sz w:val="22"/>
          <w:szCs w:val="22"/>
        </w:rPr>
      </w:pPr>
      <w:r>
        <w:rPr>
          <w:b/>
          <w:sz w:val="22"/>
          <w:szCs w:val="22"/>
        </w:rPr>
        <w:t>Distance based CQI reporting enabling/disabling.</w:t>
      </w:r>
    </w:p>
    <w:p w14:paraId="53C4CE4D" w14:textId="77777777" w:rsidR="00037642" w:rsidRDefault="00037642" w:rsidP="0033286D">
      <w:pPr>
        <w:pStyle w:val="Caption"/>
        <w:spacing w:before="0"/>
        <w:jc w:val="both"/>
        <w:rPr>
          <w:b/>
          <w:sz w:val="22"/>
          <w:szCs w:val="22"/>
        </w:rPr>
      </w:pPr>
      <w:r>
        <w:rPr>
          <w:b/>
          <w:sz w:val="22"/>
          <w:szCs w:val="22"/>
        </w:rPr>
        <w:t xml:space="preserve">Proposal 2: </w:t>
      </w:r>
      <w:r w:rsidRPr="00733582">
        <w:rPr>
          <w:b/>
          <w:sz w:val="22"/>
          <w:szCs w:val="22"/>
        </w:rPr>
        <w:t>The feasibility of both long term and short term CSI and RRM measurement and feedback should be further investigated.</w:t>
      </w:r>
    </w:p>
    <w:p w14:paraId="402B48BA" w14:textId="77777777" w:rsidR="00037642" w:rsidRDefault="00037642" w:rsidP="0033286D">
      <w:pPr>
        <w:pStyle w:val="Caption"/>
        <w:spacing w:before="0"/>
        <w:jc w:val="both"/>
        <w:rPr>
          <w:b/>
          <w:sz w:val="22"/>
          <w:szCs w:val="22"/>
        </w:rPr>
      </w:pPr>
      <w:r>
        <w:rPr>
          <w:b/>
          <w:sz w:val="22"/>
          <w:szCs w:val="22"/>
        </w:rPr>
        <w:t xml:space="preserve">Proposal 3: Open loop power control should be further studied in NTN and </w:t>
      </w:r>
      <w:r w:rsidRPr="00F4150F">
        <w:rPr>
          <w:b/>
          <w:sz w:val="22"/>
          <w:szCs w:val="22"/>
        </w:rPr>
        <w:t xml:space="preserve">UE should be allowed to predict its own transmission power not only based on DL measurement, e.g., </w:t>
      </w:r>
      <w:proofErr w:type="spellStart"/>
      <w:r w:rsidRPr="00F4150F">
        <w:rPr>
          <w:b/>
          <w:sz w:val="22"/>
          <w:szCs w:val="22"/>
        </w:rPr>
        <w:t>pathloss</w:t>
      </w:r>
      <w:proofErr w:type="spellEnd"/>
      <w:r w:rsidRPr="00F4150F">
        <w:rPr>
          <w:b/>
          <w:sz w:val="22"/>
          <w:szCs w:val="22"/>
        </w:rPr>
        <w:t xml:space="preserve"> measurement but also other available information, such as </w:t>
      </w:r>
      <w:proofErr w:type="spellStart"/>
      <w:r w:rsidRPr="00F4150F">
        <w:rPr>
          <w:b/>
          <w:sz w:val="22"/>
          <w:szCs w:val="22"/>
        </w:rPr>
        <w:t>gNB</w:t>
      </w:r>
      <w:proofErr w:type="spellEnd"/>
      <w:r w:rsidRPr="00F4150F">
        <w:rPr>
          <w:b/>
          <w:sz w:val="22"/>
          <w:szCs w:val="22"/>
        </w:rPr>
        <w:t xml:space="preserve"> ephemeris and UE trajectory</w:t>
      </w:r>
      <w:r w:rsidRPr="00733582">
        <w:rPr>
          <w:b/>
          <w:sz w:val="22"/>
          <w:szCs w:val="22"/>
        </w:rPr>
        <w:t>.</w:t>
      </w:r>
    </w:p>
    <w:p w14:paraId="5791CF80" w14:textId="77777777" w:rsidR="006231E2" w:rsidRDefault="00037642" w:rsidP="0033286D">
      <w:pPr>
        <w:pStyle w:val="Caption"/>
        <w:jc w:val="both"/>
        <w:rPr>
          <w:b/>
          <w:sz w:val="22"/>
          <w:szCs w:val="22"/>
        </w:rPr>
      </w:pPr>
      <w:r>
        <w:rPr>
          <w:b/>
          <w:sz w:val="22"/>
          <w:szCs w:val="22"/>
        </w:rPr>
        <w:t>Proposal 4: Closed loop power control should be studied in NTN and group power control can be considered</w:t>
      </w:r>
      <w:r w:rsidRPr="00733582">
        <w:rPr>
          <w:b/>
          <w:sz w:val="22"/>
          <w:szCs w:val="22"/>
        </w:rPr>
        <w:t>.</w:t>
      </w:r>
    </w:p>
    <w:p w14:paraId="0FD249BB" w14:textId="0881581F" w:rsidR="007C7C9C" w:rsidRPr="007C7C9C" w:rsidRDefault="00593FAD" w:rsidP="0033286D">
      <w:pPr>
        <w:jc w:val="both"/>
      </w:pPr>
      <w:r w:rsidRPr="007C7C9C">
        <w:rPr>
          <w:b/>
          <w:sz w:val="22"/>
          <w:szCs w:val="22"/>
        </w:rPr>
        <w:t xml:space="preserve">Proposal 5: Physical layer procedures for bent-pipe architecture need to be further studied taking both </w:t>
      </w:r>
      <w:r w:rsidRPr="00593FAD">
        <w:rPr>
          <w:b/>
          <w:sz w:val="22"/>
          <w:szCs w:val="22"/>
        </w:rPr>
        <w:t xml:space="preserve">the link between the UE and the satellite and the link between the satellite and the </w:t>
      </w:r>
      <w:proofErr w:type="spellStart"/>
      <w:r w:rsidRPr="00593FAD">
        <w:rPr>
          <w:b/>
          <w:sz w:val="22"/>
          <w:szCs w:val="22"/>
        </w:rPr>
        <w:t>gNB</w:t>
      </w:r>
      <w:proofErr w:type="spellEnd"/>
      <w:r w:rsidRPr="00593FAD">
        <w:rPr>
          <w:b/>
          <w:sz w:val="22"/>
          <w:szCs w:val="22"/>
        </w:rPr>
        <w:t xml:space="preserve"> on ground</w:t>
      </w:r>
      <w:r>
        <w:rPr>
          <w:b/>
          <w:sz w:val="22"/>
          <w:szCs w:val="22"/>
        </w:rPr>
        <w:t xml:space="preserve"> </w:t>
      </w:r>
      <w:r w:rsidRPr="007C7C9C">
        <w:rPr>
          <w:b/>
          <w:sz w:val="22"/>
          <w:szCs w:val="22"/>
        </w:rPr>
        <w:t>into account</w:t>
      </w:r>
      <w:r w:rsidR="007C7C9C" w:rsidRPr="007C7C9C">
        <w:rPr>
          <w:b/>
          <w:sz w:val="22"/>
          <w:szCs w:val="22"/>
        </w:rPr>
        <w:t>.</w:t>
      </w:r>
    </w:p>
    <w:p w14:paraId="11633173" w14:textId="77777777" w:rsidR="00FC15F2" w:rsidRDefault="00FC15F2" w:rsidP="000768C4">
      <w:pPr>
        <w:pStyle w:val="BodyText"/>
        <w:pBdr>
          <w:bottom w:val="single" w:sz="12" w:space="1" w:color="auto"/>
        </w:pBdr>
        <w:rPr>
          <w:b/>
        </w:rPr>
      </w:pPr>
    </w:p>
    <w:p w14:paraId="256CCA31"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5" w:name="_Ref444081453"/>
    </w:p>
    <w:p w14:paraId="5995833B"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107EDDF1" w14:textId="09EBFC59" w:rsidR="00F67C14" w:rsidRPr="00C0328A" w:rsidRDefault="00F67C14" w:rsidP="00F67C14">
      <w:pPr>
        <w:pStyle w:val="BodyText"/>
        <w:rPr>
          <w:rFonts w:eastAsia="SimSun" w:cs="Arial"/>
          <w:noProof/>
          <w:sz w:val="20"/>
          <w:szCs w:val="20"/>
          <w:lang w:eastAsia="zh-CN"/>
        </w:rPr>
      </w:pPr>
      <w:r>
        <w:rPr>
          <w:rFonts w:eastAsia="SimSun" w:cs="Arial"/>
          <w:noProof/>
          <w:sz w:val="20"/>
          <w:szCs w:val="20"/>
          <w:lang w:eastAsia="zh-CN"/>
        </w:rPr>
        <w:t>[2] RAN1#97 Chairman’s Notes.</w:t>
      </w:r>
    </w:p>
    <w:p w14:paraId="6E15287C" w14:textId="56F02785" w:rsidR="00F67C14" w:rsidRPr="00C0328A" w:rsidRDefault="00F67C14" w:rsidP="00F67C14">
      <w:pPr>
        <w:pStyle w:val="BodyText"/>
        <w:rPr>
          <w:rFonts w:eastAsia="SimSun" w:cs="Arial"/>
          <w:noProof/>
          <w:sz w:val="20"/>
          <w:szCs w:val="20"/>
          <w:lang w:eastAsia="zh-CN"/>
        </w:rPr>
      </w:pPr>
      <w:r>
        <w:rPr>
          <w:rFonts w:eastAsia="SimSun" w:cs="Arial"/>
          <w:noProof/>
          <w:sz w:val="20"/>
          <w:szCs w:val="20"/>
          <w:lang w:eastAsia="zh-CN"/>
        </w:rPr>
        <w:t>[3] RAN1#98 Chairman’s Notes.</w:t>
      </w:r>
    </w:p>
    <w:bookmarkEnd w:id="5"/>
    <w:p w14:paraId="041ABADA" w14:textId="77777777" w:rsidR="00F67C14" w:rsidRDefault="00F67C14" w:rsidP="00494764">
      <w:pPr>
        <w:pStyle w:val="BodyText"/>
        <w:rPr>
          <w:rFonts w:eastAsia="SimSun" w:cs="Arial"/>
          <w:bCs/>
          <w:sz w:val="20"/>
          <w:szCs w:val="20"/>
          <w:lang w:eastAsia="zh-CN"/>
        </w:rPr>
      </w:pPr>
    </w:p>
    <w:sectPr w:rsidR="00F67C1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DEFA3" w14:textId="77777777" w:rsidR="00141415" w:rsidRDefault="00141415">
      <w:r>
        <w:separator/>
      </w:r>
    </w:p>
  </w:endnote>
  <w:endnote w:type="continuationSeparator" w:id="0">
    <w:p w14:paraId="24CAC990" w14:textId="77777777" w:rsidR="00141415" w:rsidRDefault="0014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041EE" w14:textId="77777777" w:rsidR="00141415" w:rsidRDefault="00141415">
      <w:r>
        <w:separator/>
      </w:r>
    </w:p>
  </w:footnote>
  <w:footnote w:type="continuationSeparator" w:id="0">
    <w:p w14:paraId="01BDBF3F" w14:textId="77777777" w:rsidR="00141415" w:rsidRDefault="00141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07EBE" w14:textId="77777777" w:rsidR="009651DF" w:rsidRDefault="009651D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7A5CE9"/>
    <w:multiLevelType w:val="hybridMultilevel"/>
    <w:tmpl w:val="6326FE28"/>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D8608C"/>
    <w:multiLevelType w:val="hybridMultilevel"/>
    <w:tmpl w:val="DAD6C5B6"/>
    <w:lvl w:ilvl="0" w:tplc="02DC04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6C1B15D0"/>
    <w:multiLevelType w:val="hybridMultilevel"/>
    <w:tmpl w:val="E5FC7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2"/>
  </w:num>
  <w:num w:numId="3">
    <w:abstractNumId w:val="0"/>
  </w:num>
  <w:num w:numId="4">
    <w:abstractNumId w:val="2"/>
  </w:num>
  <w:num w:numId="5">
    <w:abstractNumId w:val="35"/>
  </w:num>
  <w:num w:numId="6">
    <w:abstractNumId w:val="3"/>
  </w:num>
  <w:num w:numId="7">
    <w:abstractNumId w:val="15"/>
  </w:num>
  <w:num w:numId="8">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2"/>
  </w:num>
  <w:num w:numId="11">
    <w:abstractNumId w:val="16"/>
  </w:num>
  <w:num w:numId="12">
    <w:abstractNumId w:val="12"/>
  </w:num>
  <w:num w:numId="13">
    <w:abstractNumId w:val="1"/>
  </w:num>
  <w:num w:numId="14">
    <w:abstractNumId w:val="8"/>
  </w:num>
  <w:num w:numId="15">
    <w:abstractNumId w:val="31"/>
  </w:num>
  <w:num w:numId="16">
    <w:abstractNumId w:val="6"/>
  </w:num>
  <w:num w:numId="17">
    <w:abstractNumId w:val="27"/>
  </w:num>
  <w:num w:numId="18">
    <w:abstractNumId w:val="29"/>
  </w:num>
  <w:num w:numId="19">
    <w:abstractNumId w:val="0"/>
  </w:num>
  <w:num w:numId="20">
    <w:abstractNumId w:val="17"/>
  </w:num>
  <w:num w:numId="21">
    <w:abstractNumId w:val="0"/>
  </w:num>
  <w:num w:numId="22">
    <w:abstractNumId w:val="33"/>
  </w:num>
  <w:num w:numId="23">
    <w:abstractNumId w:val="0"/>
  </w:num>
  <w:num w:numId="24">
    <w:abstractNumId w:val="0"/>
  </w:num>
  <w:num w:numId="25">
    <w:abstractNumId w:val="23"/>
  </w:num>
  <w:num w:numId="26">
    <w:abstractNumId w:val="20"/>
  </w:num>
  <w:num w:numId="27">
    <w:abstractNumId w:val="11"/>
  </w:num>
  <w:num w:numId="28">
    <w:abstractNumId w:val="13"/>
  </w:num>
  <w:num w:numId="29">
    <w:abstractNumId w:val="24"/>
  </w:num>
  <w:num w:numId="30">
    <w:abstractNumId w:val="14"/>
  </w:num>
  <w:num w:numId="31">
    <w:abstractNumId w:val="4"/>
  </w:num>
  <w:num w:numId="32">
    <w:abstractNumId w:val="18"/>
  </w:num>
  <w:num w:numId="33">
    <w:abstractNumId w:val="26"/>
  </w:num>
  <w:num w:numId="34">
    <w:abstractNumId w:val="7"/>
  </w:num>
  <w:num w:numId="35">
    <w:abstractNumId w:val="19"/>
  </w:num>
  <w:num w:numId="36">
    <w:abstractNumId w:val="25"/>
  </w:num>
  <w:num w:numId="37">
    <w:abstractNumId w:val="5"/>
  </w:num>
  <w:num w:numId="38">
    <w:abstractNumId w:val="30"/>
  </w:num>
  <w:num w:numId="39">
    <w:abstractNumId w:val="21"/>
  </w:num>
  <w:num w:numId="40">
    <w:abstractNumId w:val="10"/>
  </w:num>
  <w:num w:numId="4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642"/>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403"/>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6DC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5A1F"/>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6F56"/>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7B0"/>
    <w:rsid w:val="00135BB1"/>
    <w:rsid w:val="001365AE"/>
    <w:rsid w:val="0013684C"/>
    <w:rsid w:val="0013707E"/>
    <w:rsid w:val="001371D4"/>
    <w:rsid w:val="001404DB"/>
    <w:rsid w:val="001406C8"/>
    <w:rsid w:val="001408AA"/>
    <w:rsid w:val="00141415"/>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1A0"/>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3CC"/>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E89"/>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B2C"/>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279"/>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286D"/>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2C7"/>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7E3"/>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26C"/>
    <w:rsid w:val="00495700"/>
    <w:rsid w:val="00495AC2"/>
    <w:rsid w:val="00497399"/>
    <w:rsid w:val="00497B96"/>
    <w:rsid w:val="00497DEE"/>
    <w:rsid w:val="004A0E4C"/>
    <w:rsid w:val="004A2692"/>
    <w:rsid w:val="004A2FB9"/>
    <w:rsid w:val="004A335E"/>
    <w:rsid w:val="004A3698"/>
    <w:rsid w:val="004A3C87"/>
    <w:rsid w:val="004A3DC5"/>
    <w:rsid w:val="004A68D5"/>
    <w:rsid w:val="004A714C"/>
    <w:rsid w:val="004B00E4"/>
    <w:rsid w:val="004B0193"/>
    <w:rsid w:val="004B08DD"/>
    <w:rsid w:val="004B0A57"/>
    <w:rsid w:val="004B0E56"/>
    <w:rsid w:val="004B1732"/>
    <w:rsid w:val="004B193A"/>
    <w:rsid w:val="004B1B92"/>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28"/>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A59"/>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795"/>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AD"/>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34E"/>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22E"/>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500"/>
    <w:rsid w:val="00656C8D"/>
    <w:rsid w:val="00656D13"/>
    <w:rsid w:val="0065730F"/>
    <w:rsid w:val="006574A8"/>
    <w:rsid w:val="0066016A"/>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582"/>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1391"/>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249C"/>
    <w:rsid w:val="007B36BD"/>
    <w:rsid w:val="007B36D0"/>
    <w:rsid w:val="007B45F2"/>
    <w:rsid w:val="007B4791"/>
    <w:rsid w:val="007B4B81"/>
    <w:rsid w:val="007B57B9"/>
    <w:rsid w:val="007B6410"/>
    <w:rsid w:val="007B6792"/>
    <w:rsid w:val="007B6F45"/>
    <w:rsid w:val="007B70BB"/>
    <w:rsid w:val="007B70E8"/>
    <w:rsid w:val="007B731A"/>
    <w:rsid w:val="007B75A7"/>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6DBF"/>
    <w:rsid w:val="007C7C9C"/>
    <w:rsid w:val="007C7D3D"/>
    <w:rsid w:val="007D02B9"/>
    <w:rsid w:val="007D1695"/>
    <w:rsid w:val="007D1A93"/>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A7E46"/>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6EDA"/>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ED1"/>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830"/>
    <w:rsid w:val="00927C4A"/>
    <w:rsid w:val="00927CA4"/>
    <w:rsid w:val="00930672"/>
    <w:rsid w:val="009307EE"/>
    <w:rsid w:val="00930B1F"/>
    <w:rsid w:val="00930CDE"/>
    <w:rsid w:val="009329B0"/>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57B73"/>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8B1"/>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3E1E"/>
    <w:rsid w:val="009F40F1"/>
    <w:rsid w:val="009F46E8"/>
    <w:rsid w:val="009F4821"/>
    <w:rsid w:val="009F655D"/>
    <w:rsid w:val="009F6B56"/>
    <w:rsid w:val="009F6D32"/>
    <w:rsid w:val="009F70B6"/>
    <w:rsid w:val="009F7134"/>
    <w:rsid w:val="009F760B"/>
    <w:rsid w:val="009F7658"/>
    <w:rsid w:val="009F7AE4"/>
    <w:rsid w:val="00A003E1"/>
    <w:rsid w:val="00A00E1B"/>
    <w:rsid w:val="00A0249F"/>
    <w:rsid w:val="00A02941"/>
    <w:rsid w:val="00A0311A"/>
    <w:rsid w:val="00A03C1B"/>
    <w:rsid w:val="00A0443B"/>
    <w:rsid w:val="00A049A9"/>
    <w:rsid w:val="00A05703"/>
    <w:rsid w:val="00A0595D"/>
    <w:rsid w:val="00A05C7F"/>
    <w:rsid w:val="00A05F67"/>
    <w:rsid w:val="00A06432"/>
    <w:rsid w:val="00A06D08"/>
    <w:rsid w:val="00A07501"/>
    <w:rsid w:val="00A07578"/>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71AB"/>
    <w:rsid w:val="00A27DE4"/>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4E8"/>
    <w:rsid w:val="00A3763D"/>
    <w:rsid w:val="00A37838"/>
    <w:rsid w:val="00A379C3"/>
    <w:rsid w:val="00A37D5A"/>
    <w:rsid w:val="00A37EB2"/>
    <w:rsid w:val="00A37F0B"/>
    <w:rsid w:val="00A40261"/>
    <w:rsid w:val="00A404F6"/>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8B"/>
    <w:rsid w:val="00A60A3D"/>
    <w:rsid w:val="00A6177F"/>
    <w:rsid w:val="00A62501"/>
    <w:rsid w:val="00A62EAE"/>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694"/>
    <w:rsid w:val="00A72D0E"/>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38"/>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26D3D"/>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E8E"/>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17DA"/>
    <w:rsid w:val="00C525DE"/>
    <w:rsid w:val="00C5498D"/>
    <w:rsid w:val="00C5564B"/>
    <w:rsid w:val="00C558D5"/>
    <w:rsid w:val="00C56BDC"/>
    <w:rsid w:val="00C57515"/>
    <w:rsid w:val="00C57858"/>
    <w:rsid w:val="00C600CB"/>
    <w:rsid w:val="00C6028C"/>
    <w:rsid w:val="00C604FB"/>
    <w:rsid w:val="00C610AB"/>
    <w:rsid w:val="00C61A99"/>
    <w:rsid w:val="00C62556"/>
    <w:rsid w:val="00C6281D"/>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4783"/>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C2F"/>
    <w:rsid w:val="00D21D7C"/>
    <w:rsid w:val="00D220FA"/>
    <w:rsid w:val="00D222B4"/>
    <w:rsid w:val="00D223B9"/>
    <w:rsid w:val="00D224D1"/>
    <w:rsid w:val="00D22676"/>
    <w:rsid w:val="00D22AC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0C5A"/>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C2C"/>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7A3"/>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4B2F"/>
    <w:rsid w:val="00EC5307"/>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A9E"/>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50F"/>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59EB"/>
    <w:rsid w:val="00F65C3B"/>
    <w:rsid w:val="00F67C14"/>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2F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5206F"/>
  <w15:chartTrackingRefBased/>
  <w15:docId w15:val="{DDCA950A-81D6-44D5-850F-3E581A998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D1A9E8E6-973F-4BA1-B854-C6B4F8EC5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1718</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Hongbo Si</cp:lastModifiedBy>
  <cp:revision>7</cp:revision>
  <cp:lastPrinted>2015-11-06T18:27:00Z</cp:lastPrinted>
  <dcterms:created xsi:type="dcterms:W3CDTF">2019-09-19T10:43:00Z</dcterms:created>
  <dcterms:modified xsi:type="dcterms:W3CDTF">2019-10-01T14:23:00Z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F7C5CEA6D6A1A472D527E61DAB7E82D4001253F4314725812516702E82918060</vt:lpwstr>
  </property>
  <property fmtid="{D5CDD505-2E9C-101B-9397-08002B2CF9AE}" pid="2" name="NSCPROP">
    <vt:lpwstr>NSCCustomProperty</vt:lpwstr>
  </property>
  <property fmtid="{D5CDD505-2E9C-101B-9397-08002B2CF9AE}" pid="3" name="NSCPROP_SA">
    <vt:lpwstr>C:\Users\yinan.qi\Desktop\R1-19xxxxx_PHY_Procedure_for_NTN_v2_Hyunseok.doc</vt:lpwstr>
  </property>
</Properties>
</file>